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喀什地区林木种苗管理站2024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35BDCAC">
      <w:r>
        <w:br w:type="page"/>
      </w:r>
    </w:p>
    <w:p w14:paraId="245EDB57">
      <w:pPr>
        <w:spacing w:line="640" w:lineRule="exact"/>
        <w:jc w:val="center"/>
        <w:outlineLvl w:val="1"/>
      </w:pPr>
      <w:r>
        <w:rPr>
          <w:rFonts w:ascii="黑体" w:hAnsi="黑体" w:eastAsia="黑体"/>
          <w:sz w:val="32"/>
        </w:rPr>
        <w:t>第一部分 部门概况</w:t>
      </w:r>
    </w:p>
    <w:p w14:paraId="54A17A44">
      <w:pPr>
        <w:spacing w:line="640" w:lineRule="exact"/>
        <w:ind w:firstLine="640"/>
        <w:jc w:val="both"/>
        <w:outlineLvl w:val="2"/>
      </w:pPr>
      <w:r>
        <w:rPr>
          <w:rFonts w:ascii="黑体" w:hAnsi="黑体" w:eastAsia="黑体"/>
          <w:sz w:val="32"/>
        </w:rPr>
        <w:t>一、主要职能</w:t>
      </w:r>
    </w:p>
    <w:p w14:paraId="68CA3285">
      <w:pPr>
        <w:spacing w:line="580" w:lineRule="exact"/>
        <w:ind w:firstLine="640"/>
        <w:jc w:val="both"/>
      </w:pPr>
      <w:r>
        <w:rPr>
          <w:rFonts w:ascii="仿宋_GB2312" w:hAnsi="仿宋_GB2312" w:eastAsia="仿宋_GB2312"/>
          <w:sz w:val="32"/>
        </w:rPr>
        <w:t>宣传、贯彻执行国家和自治区有关林木种苗管理的法律、法规和方针、政策；负责全地区林木种子资源保护、林木新品种权的保护、使用管理等工作；承担林木种苗行政执法、市场监管和行政许可制度的执行及许可证的监督管理；负责全地区林木种苗工作的行业管理、技术指导、监督检查等工作；组织开展林木新品种和良种的引进、驯化、试验、选育及种苗先进技术的推广；负责组织全地区林木种苗生产、调剂、贮备工作，承担林木种苗信息引导服务。</w:t>
      </w:r>
    </w:p>
    <w:p w14:paraId="56575E6F">
      <w:pPr>
        <w:spacing w:line="640" w:lineRule="exact"/>
        <w:ind w:firstLine="640"/>
        <w:jc w:val="both"/>
        <w:outlineLvl w:val="2"/>
      </w:pPr>
      <w:r>
        <w:rPr>
          <w:rFonts w:ascii="黑体" w:hAnsi="黑体" w:eastAsia="黑体"/>
          <w:sz w:val="32"/>
        </w:rPr>
        <w:t>二、机构设置及人员情况</w:t>
      </w:r>
    </w:p>
    <w:p w14:paraId="0FA68701">
      <w:pPr>
        <w:spacing w:line="580" w:lineRule="exact"/>
        <w:ind w:firstLine="640"/>
        <w:jc w:val="both"/>
      </w:pPr>
      <w:r>
        <w:rPr>
          <w:rFonts w:ascii="仿宋_GB2312" w:hAnsi="仿宋_GB2312" w:eastAsia="仿宋_GB2312"/>
          <w:sz w:val="32"/>
        </w:rPr>
        <w:t>喀什地区林木种苗管理站2024年度，实有人数15人，其中：在职人员9人，减少1人；离休人员0人，增加0人；退休人员6人,增加0人。</w:t>
      </w:r>
    </w:p>
    <w:p w14:paraId="6CAF90AA">
      <w:pPr>
        <w:spacing w:line="580" w:lineRule="exact"/>
        <w:ind w:firstLine="640"/>
        <w:jc w:val="both"/>
      </w:pPr>
      <w:r>
        <w:rPr>
          <w:rFonts w:ascii="仿宋_GB2312" w:hAnsi="仿宋_GB2312" w:eastAsia="仿宋_GB2312"/>
          <w:sz w:val="32"/>
        </w:rPr>
        <w:t>喀什地区林木种苗管理站无下属预算单位，下设1个科室，分别是：办公室。</w:t>
      </w:r>
    </w:p>
    <w:p w14:paraId="710A22DB">
      <w:r>
        <w:br w:type="page"/>
      </w:r>
    </w:p>
    <w:p w14:paraId="12ADD12D">
      <w:pPr>
        <w:spacing w:line="240" w:lineRule="auto"/>
        <w:jc w:val="center"/>
        <w:outlineLvl w:val="1"/>
      </w:pPr>
      <w:r>
        <w:rPr>
          <w:rFonts w:ascii="黑体" w:hAnsi="黑体" w:eastAsia="黑体"/>
          <w:sz w:val="32"/>
        </w:rPr>
        <w:t>第二部分 部门决算情况说明</w:t>
      </w:r>
    </w:p>
    <w:p w14:paraId="1ACFAC17">
      <w:pPr>
        <w:spacing w:line="640" w:lineRule="exact"/>
        <w:ind w:firstLine="640"/>
        <w:jc w:val="both"/>
        <w:outlineLvl w:val="2"/>
      </w:pPr>
      <w:r>
        <w:rPr>
          <w:rFonts w:ascii="黑体" w:hAnsi="黑体" w:eastAsia="黑体"/>
          <w:sz w:val="32"/>
        </w:rPr>
        <w:t>一、收入支出决算总体情况说明</w:t>
      </w:r>
    </w:p>
    <w:p w14:paraId="6298D610">
      <w:pPr>
        <w:spacing w:line="580" w:lineRule="exact"/>
        <w:ind w:firstLine="640"/>
        <w:jc w:val="both"/>
      </w:pPr>
      <w:r>
        <w:rPr>
          <w:rFonts w:ascii="仿宋_GB2312" w:hAnsi="仿宋_GB2312" w:eastAsia="仿宋_GB2312"/>
          <w:b/>
          <w:sz w:val="32"/>
        </w:rPr>
        <w:t>2024年度收入总计178.84万元，</w:t>
      </w:r>
      <w:r>
        <w:rPr>
          <w:rFonts w:ascii="仿宋_GB2312" w:hAnsi="仿宋_GB2312" w:eastAsia="仿宋_GB2312"/>
          <w:b w:val="0"/>
          <w:sz w:val="32"/>
        </w:rPr>
        <w:t>其中：本年收入合计178.84万元，使用非财政拨款结余（含专用结余）0.00万元，年初结转和结余0.00万元。</w:t>
      </w:r>
    </w:p>
    <w:p w14:paraId="0869AF37">
      <w:pPr>
        <w:spacing w:line="580" w:lineRule="exact"/>
        <w:ind w:firstLine="640"/>
        <w:jc w:val="both"/>
      </w:pPr>
      <w:r>
        <w:rPr>
          <w:rFonts w:ascii="仿宋_GB2312" w:hAnsi="仿宋_GB2312" w:eastAsia="仿宋_GB2312"/>
          <w:b/>
          <w:sz w:val="32"/>
        </w:rPr>
        <w:t>2024年度支出总计178.84万元，</w:t>
      </w:r>
      <w:r>
        <w:rPr>
          <w:rFonts w:ascii="仿宋_GB2312" w:hAnsi="仿宋_GB2312" w:eastAsia="仿宋_GB2312"/>
          <w:b w:val="0"/>
          <w:sz w:val="32"/>
        </w:rPr>
        <w:t>其中：本年支出合计178.84万元，结余分配0.00万元，年末结转和结余0.00万元。</w:t>
      </w:r>
    </w:p>
    <w:p w14:paraId="02ACEDA4">
      <w:pPr>
        <w:spacing w:line="580" w:lineRule="exact"/>
        <w:ind w:firstLine="640"/>
        <w:jc w:val="both"/>
      </w:pPr>
      <w:r>
        <w:rPr>
          <w:rFonts w:ascii="仿宋_GB2312" w:hAnsi="仿宋_GB2312" w:eastAsia="仿宋_GB2312"/>
          <w:b w:val="0"/>
          <w:sz w:val="32"/>
        </w:rPr>
        <w:t>收入支出总体与上年相比，减少9.70万元，下降5.14%，主要原因是：一是本年在职人员减少，相关人员经费较上年减少；二是本年按照业务工作任务的调整变化，减少林木种苗技术指导与检查验收项目工作经费。</w:t>
      </w:r>
    </w:p>
    <w:p w14:paraId="3EEE29CC">
      <w:pPr>
        <w:spacing w:line="640" w:lineRule="exact"/>
        <w:ind w:firstLine="640"/>
        <w:jc w:val="both"/>
        <w:outlineLvl w:val="2"/>
      </w:pPr>
      <w:r>
        <w:rPr>
          <w:rFonts w:ascii="黑体" w:hAnsi="黑体" w:eastAsia="黑体"/>
          <w:sz w:val="32"/>
        </w:rPr>
        <w:t>二、收入决算情况说明</w:t>
      </w:r>
    </w:p>
    <w:p w14:paraId="7C1E2C79">
      <w:pPr>
        <w:spacing w:line="580" w:lineRule="exact"/>
        <w:ind w:firstLine="640"/>
        <w:jc w:val="both"/>
      </w:pPr>
      <w:r>
        <w:rPr>
          <w:rFonts w:ascii="仿宋_GB2312" w:hAnsi="仿宋_GB2312" w:eastAsia="仿宋_GB2312"/>
          <w:b/>
          <w:sz w:val="32"/>
        </w:rPr>
        <w:t>本年收入178.84万元，</w:t>
      </w:r>
      <w:r>
        <w:rPr>
          <w:rFonts w:ascii="仿宋_GB2312" w:hAnsi="仿宋_GB2312" w:eastAsia="仿宋_GB2312"/>
          <w:b w:val="0"/>
          <w:sz w:val="32"/>
        </w:rPr>
        <w:t>其中：财政拨款收入178.84万元，占100.00%；上级补助收入0.00万元，占0.00%；事业收入0.00万元，占0.00%；经营收入0.00万元，占0.00%；附属单位上缴收入0.00万元，占0.00%；其他收入0.00万元，占0.00%。</w:t>
      </w:r>
    </w:p>
    <w:p w14:paraId="5855E832">
      <w:pPr>
        <w:spacing w:line="640" w:lineRule="exact"/>
        <w:ind w:firstLine="640"/>
        <w:jc w:val="both"/>
        <w:outlineLvl w:val="2"/>
      </w:pPr>
      <w:r>
        <w:rPr>
          <w:rFonts w:ascii="黑体" w:hAnsi="黑体" w:eastAsia="黑体"/>
          <w:sz w:val="32"/>
        </w:rPr>
        <w:t>三、支出决算情况说明</w:t>
      </w:r>
    </w:p>
    <w:p w14:paraId="1A006F9C">
      <w:pPr>
        <w:spacing w:line="580" w:lineRule="exact"/>
        <w:ind w:firstLine="640"/>
        <w:jc w:val="both"/>
      </w:pPr>
      <w:r>
        <w:rPr>
          <w:rFonts w:ascii="仿宋_GB2312" w:hAnsi="仿宋_GB2312" w:eastAsia="仿宋_GB2312"/>
          <w:b/>
          <w:sz w:val="32"/>
        </w:rPr>
        <w:t>本年支出178.84万元，</w:t>
      </w:r>
      <w:r>
        <w:rPr>
          <w:rFonts w:ascii="仿宋_GB2312" w:hAnsi="仿宋_GB2312" w:eastAsia="仿宋_GB2312"/>
          <w:b w:val="0"/>
          <w:sz w:val="32"/>
        </w:rPr>
        <w:t>其中：基本支出178.84万元，占100.00%；项目支出0.00万元，占0.00%；上缴上级支出0.00万元，占0.00%；经营支出0.00万元，占0.00%；对附属单位补助支出0.00万元，占0.00%。</w:t>
      </w:r>
    </w:p>
    <w:p w14:paraId="25F2B71C">
      <w:pPr>
        <w:spacing w:line="640" w:lineRule="exact"/>
        <w:ind w:firstLine="640"/>
        <w:jc w:val="both"/>
        <w:outlineLvl w:val="2"/>
      </w:pPr>
      <w:r>
        <w:rPr>
          <w:rFonts w:ascii="黑体" w:hAnsi="黑体" w:eastAsia="黑体"/>
          <w:sz w:val="32"/>
        </w:rPr>
        <w:t>四、财政拨款收入支出决算总体情况说明</w:t>
      </w:r>
    </w:p>
    <w:p w14:paraId="25827281">
      <w:pPr>
        <w:spacing w:line="580" w:lineRule="exact"/>
        <w:ind w:firstLine="640"/>
        <w:jc w:val="both"/>
      </w:pPr>
      <w:r>
        <w:rPr>
          <w:rFonts w:ascii="仿宋_GB2312" w:hAnsi="仿宋_GB2312" w:eastAsia="仿宋_GB2312"/>
          <w:b/>
          <w:sz w:val="32"/>
        </w:rPr>
        <w:t>2024年度财政拨款收入总计178.84万元，</w:t>
      </w:r>
      <w:r>
        <w:rPr>
          <w:rFonts w:ascii="仿宋_GB2312" w:hAnsi="仿宋_GB2312" w:eastAsia="仿宋_GB2312"/>
          <w:b w:val="0"/>
          <w:sz w:val="32"/>
        </w:rPr>
        <w:t>其中：年初财政拨款结转和结余0.00万元，本年财政拨款收入178.84万元。</w:t>
      </w:r>
      <w:r>
        <w:rPr>
          <w:rFonts w:ascii="仿宋_GB2312" w:hAnsi="仿宋_GB2312" w:eastAsia="仿宋_GB2312"/>
          <w:b/>
          <w:sz w:val="32"/>
        </w:rPr>
        <w:t>财政拨款支出总计178.84万元，</w:t>
      </w:r>
      <w:r>
        <w:rPr>
          <w:rFonts w:ascii="仿宋_GB2312" w:hAnsi="仿宋_GB2312" w:eastAsia="仿宋_GB2312"/>
          <w:b w:val="0"/>
          <w:sz w:val="32"/>
        </w:rPr>
        <w:t>其中：年末财政拨款结转和结余0.00万元，本年财政拨款支出178.84万元。</w:t>
      </w:r>
    </w:p>
    <w:p w14:paraId="23B2FC0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减少9.70万元，下降5.14%，主要原因是：一是本年在职人员减少，相关人员经费较上年减少；二是本年按照业务工作任务的调整变化，减少林木种苗技术指导与检查验收项目工作经费。</w:t>
      </w:r>
      <w:r>
        <w:rPr>
          <w:rFonts w:ascii="仿宋_GB2312" w:hAnsi="仿宋_GB2312" w:eastAsia="仿宋_GB2312"/>
          <w:b/>
          <w:sz w:val="32"/>
        </w:rPr>
        <w:t>与年初预算相比，</w:t>
      </w:r>
      <w:r>
        <w:rPr>
          <w:rFonts w:ascii="仿宋_GB2312" w:hAnsi="仿宋_GB2312" w:eastAsia="仿宋_GB2312"/>
          <w:b w:val="0"/>
          <w:sz w:val="32"/>
        </w:rPr>
        <w:t>年初预算数195.24万元，决算数178.84万元，预决算差异率-8.40%，主要原因是：一是本年在职人员减少，年中调减人员经费；二是本年按照业务工作任务的调整变化，</w:t>
      </w:r>
      <w:r>
        <w:rPr>
          <w:rFonts w:hint="eastAsia" w:ascii="仿宋_GB2312" w:hAnsi="仿宋_GB2312" w:eastAsia="仿宋_GB2312"/>
          <w:b w:val="0"/>
          <w:sz w:val="32"/>
          <w:lang w:val="en-US" w:eastAsia="zh-CN"/>
        </w:rPr>
        <w:t>调减</w:t>
      </w:r>
      <w:r>
        <w:rPr>
          <w:rFonts w:ascii="仿宋_GB2312" w:hAnsi="仿宋_GB2312" w:eastAsia="仿宋_GB2312"/>
          <w:b w:val="0"/>
          <w:sz w:val="32"/>
        </w:rPr>
        <w:t>林木种苗技术指导与检查验收项目工作经费，导致预决算存在差异。</w:t>
      </w:r>
    </w:p>
    <w:p w14:paraId="525CA401">
      <w:pPr>
        <w:spacing w:line="640" w:lineRule="exact"/>
        <w:ind w:firstLine="640"/>
        <w:jc w:val="both"/>
        <w:outlineLvl w:val="2"/>
      </w:pPr>
      <w:r>
        <w:rPr>
          <w:rFonts w:ascii="黑体" w:hAnsi="黑体" w:eastAsia="黑体"/>
          <w:sz w:val="32"/>
        </w:rPr>
        <w:t>五、一般公共预算财政拨款支出决算情况说明</w:t>
      </w:r>
    </w:p>
    <w:p w14:paraId="307C2881">
      <w:pPr>
        <w:spacing w:line="640" w:lineRule="exact"/>
        <w:ind w:firstLine="640"/>
        <w:jc w:val="both"/>
        <w:outlineLvl w:val="3"/>
      </w:pPr>
      <w:r>
        <w:rPr>
          <w:rFonts w:ascii="楷体_GB2312" w:hAnsi="楷体_GB2312" w:eastAsia="楷体_GB2312"/>
          <w:b/>
          <w:sz w:val="32"/>
        </w:rPr>
        <w:t>（一）一般公共预算财政拨款支出决算总体情况</w:t>
      </w:r>
    </w:p>
    <w:p w14:paraId="687F84A8">
      <w:pPr>
        <w:spacing w:line="580" w:lineRule="exact"/>
        <w:ind w:firstLine="640"/>
        <w:jc w:val="both"/>
      </w:pPr>
      <w:r>
        <w:rPr>
          <w:rFonts w:ascii="仿宋_GB2312" w:hAnsi="仿宋_GB2312" w:eastAsia="仿宋_GB2312"/>
          <w:b/>
          <w:sz w:val="32"/>
        </w:rPr>
        <w:t>2024年度一般公共预算财政拨款支出178.84万元，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减少9.70万元，下降5.14%，主要原因是：一是本年在职人员减少，相关人员经费较上年减少；二是本年按照业务工作任务的调整变化，减少林木种苗技术指导与检查验收项目工作经费。</w:t>
      </w:r>
      <w:r>
        <w:rPr>
          <w:rFonts w:ascii="仿宋_GB2312" w:hAnsi="仿宋_GB2312" w:eastAsia="仿宋_GB2312"/>
          <w:b/>
          <w:sz w:val="32"/>
        </w:rPr>
        <w:t>与年初预算相比,</w:t>
      </w:r>
      <w:r>
        <w:rPr>
          <w:rFonts w:ascii="仿宋_GB2312" w:hAnsi="仿宋_GB2312" w:eastAsia="仿宋_GB2312"/>
          <w:b w:val="0"/>
          <w:sz w:val="32"/>
        </w:rPr>
        <w:t>年初预算数195.24万元，决算数178.84万元，预决算差异率-8.40%，主要原因是：一是本年在职人员减少，年中调减人员经费；二是本年按照业务工作任务的调整变化，</w:t>
      </w:r>
      <w:r>
        <w:rPr>
          <w:rFonts w:hint="eastAsia" w:ascii="仿宋_GB2312" w:hAnsi="仿宋_GB2312" w:eastAsia="仿宋_GB2312"/>
          <w:b w:val="0"/>
          <w:sz w:val="32"/>
          <w:lang w:val="en-US" w:eastAsia="zh-CN"/>
        </w:rPr>
        <w:t>调减</w:t>
      </w:r>
      <w:r>
        <w:rPr>
          <w:rFonts w:ascii="仿宋_GB2312" w:hAnsi="仿宋_GB2312" w:eastAsia="仿宋_GB2312"/>
          <w:b w:val="0"/>
          <w:sz w:val="32"/>
        </w:rPr>
        <w:t>林木种苗技术指导与检查验收项目工作经费，导致预决算存在差异。</w:t>
      </w:r>
    </w:p>
    <w:p w14:paraId="7EB867AF">
      <w:pPr>
        <w:spacing w:line="640" w:lineRule="exact"/>
        <w:ind w:firstLine="640"/>
        <w:jc w:val="both"/>
        <w:outlineLvl w:val="3"/>
      </w:pPr>
      <w:r>
        <w:rPr>
          <w:rFonts w:ascii="楷体_GB2312" w:hAnsi="楷体_GB2312" w:eastAsia="楷体_GB2312"/>
          <w:b/>
          <w:sz w:val="32"/>
        </w:rPr>
        <w:t>（二）一般公共预算财政拨款支出决算结构情况</w:t>
      </w:r>
    </w:p>
    <w:p w14:paraId="1DBDFD7A">
      <w:pPr>
        <w:spacing w:line="580" w:lineRule="exact"/>
        <w:ind w:firstLine="640"/>
        <w:jc w:val="both"/>
      </w:pPr>
      <w:r>
        <w:rPr>
          <w:rFonts w:ascii="仿宋_GB2312" w:hAnsi="仿宋_GB2312" w:eastAsia="仿宋_GB2312"/>
          <w:b w:val="0"/>
          <w:sz w:val="32"/>
        </w:rPr>
        <w:t>1.社会保障和就业支出(类)24.63万元,占13.77%。</w:t>
      </w:r>
    </w:p>
    <w:p w14:paraId="36CC3822">
      <w:pPr>
        <w:spacing w:line="580" w:lineRule="exact"/>
        <w:ind w:firstLine="640"/>
        <w:jc w:val="both"/>
      </w:pPr>
      <w:r>
        <w:rPr>
          <w:rFonts w:ascii="仿宋_GB2312" w:hAnsi="仿宋_GB2312" w:eastAsia="仿宋_GB2312"/>
          <w:b w:val="0"/>
          <w:sz w:val="32"/>
        </w:rPr>
        <w:t>2.卫生健康支出(类)8.77万元,占4.90%。</w:t>
      </w:r>
    </w:p>
    <w:p w14:paraId="723080F0">
      <w:pPr>
        <w:spacing w:line="580" w:lineRule="exact"/>
        <w:ind w:firstLine="640"/>
        <w:jc w:val="both"/>
      </w:pPr>
      <w:r>
        <w:rPr>
          <w:rFonts w:ascii="仿宋_GB2312" w:hAnsi="仿宋_GB2312" w:eastAsia="仿宋_GB2312"/>
          <w:b w:val="0"/>
          <w:sz w:val="32"/>
        </w:rPr>
        <w:t>3.农林水支出(类)131.33万元,占73.43%。</w:t>
      </w:r>
    </w:p>
    <w:p w14:paraId="53D6AA3A">
      <w:pPr>
        <w:spacing w:line="580" w:lineRule="exact"/>
        <w:ind w:firstLine="640"/>
        <w:jc w:val="both"/>
      </w:pPr>
      <w:r>
        <w:rPr>
          <w:rFonts w:ascii="仿宋_GB2312" w:hAnsi="仿宋_GB2312" w:eastAsia="仿宋_GB2312"/>
          <w:b w:val="0"/>
          <w:sz w:val="32"/>
        </w:rPr>
        <w:t>4.住房保障支出(类)14.12万元,占7.90%。</w:t>
      </w:r>
    </w:p>
    <w:p w14:paraId="5BD5641B">
      <w:pPr>
        <w:spacing w:line="640" w:lineRule="exact"/>
        <w:ind w:firstLine="640"/>
        <w:jc w:val="both"/>
        <w:outlineLvl w:val="3"/>
      </w:pPr>
      <w:r>
        <w:rPr>
          <w:rFonts w:ascii="楷体_GB2312" w:hAnsi="楷体_GB2312" w:eastAsia="楷体_GB2312"/>
          <w:b/>
          <w:sz w:val="32"/>
        </w:rPr>
        <w:t>（三）一般公共预算财政拨款支出决算具体情况</w:t>
      </w:r>
    </w:p>
    <w:p w14:paraId="421707B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1.社会保障和就业支出(类)行政事业单位养老支出(款)行政单位离退休(项):支出决算数为8.27万元，比上年决算增加2.10万元，增长34.04%,主要原因是：本年增加退休人员基础绩效奖，退休费支出增加。</w:t>
      </w:r>
    </w:p>
    <w:p w14:paraId="1F20F25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16.36万元，比上年决算减少0.41万元，下降2.44%,主要原因是：本年在职人员减少，单位基本养老保险缴费较上年减少。</w:t>
      </w:r>
    </w:p>
    <w:p w14:paraId="3244E34D">
      <w:pPr>
        <w:spacing w:line="580" w:lineRule="exact"/>
        <w:ind w:firstLine="640"/>
        <w:jc w:val="both"/>
      </w:pPr>
      <w:r>
        <w:rPr>
          <w:rFonts w:ascii="仿宋_GB2312" w:hAnsi="仿宋_GB2312" w:eastAsia="仿宋_GB2312"/>
          <w:b w:val="0"/>
          <w:sz w:val="32"/>
        </w:rPr>
        <w:t>3.卫生健康支出(类)行政事业单位医疗(款)行政单位医疗(项):支出决算数为6.95万元，比上年决算减少0.18万元，下降2.52%,主要原因是：本年在职人员减少，行政单位医疗支出较上年减少。</w:t>
      </w:r>
    </w:p>
    <w:p w14:paraId="5E4C4D94">
      <w:pPr>
        <w:spacing w:line="580" w:lineRule="exact"/>
        <w:ind w:firstLine="640"/>
        <w:jc w:val="both"/>
      </w:pPr>
      <w:r>
        <w:rPr>
          <w:rFonts w:ascii="仿宋_GB2312" w:hAnsi="仿宋_GB2312" w:eastAsia="仿宋_GB2312"/>
          <w:b w:val="0"/>
          <w:sz w:val="32"/>
        </w:rPr>
        <w:t>4.卫生健康支出(类)行政事业单位医疗(款)公务员医疗补助(项):支出决算数为1.81万元，比上年决算减少0.08万元，下降4.23%,主要原因是：本年在职人员减少，公务员医疗补助较上年减少。</w:t>
      </w:r>
    </w:p>
    <w:p w14:paraId="536462D1">
      <w:pPr>
        <w:spacing w:line="580" w:lineRule="exact"/>
        <w:ind w:firstLine="640"/>
        <w:jc w:val="both"/>
      </w:pPr>
      <w:r>
        <w:rPr>
          <w:rFonts w:ascii="仿宋_GB2312" w:hAnsi="仿宋_GB2312" w:eastAsia="仿宋_GB2312"/>
          <w:b w:val="0"/>
          <w:sz w:val="32"/>
        </w:rPr>
        <w:t>5.农林水支出(类)林业和草原(款)行政运行(项):支出决算数为131.33万元，比上年决算减少7.83万元，下降5.63%,主要原因是：本年在职人员减少，相应人员经费较上年减少。</w:t>
      </w:r>
    </w:p>
    <w:p w14:paraId="38B2AE81">
      <w:pPr>
        <w:spacing w:line="580" w:lineRule="exact"/>
        <w:ind w:firstLine="640"/>
        <w:jc w:val="both"/>
      </w:pPr>
      <w:r>
        <w:rPr>
          <w:rFonts w:ascii="仿宋_GB2312" w:hAnsi="仿宋_GB2312" w:eastAsia="仿宋_GB2312"/>
          <w:b w:val="0"/>
          <w:sz w:val="32"/>
        </w:rPr>
        <w:t>6.农林水支出(类)林业和草原(款)森林资源培育(项):支出决算数为0.00万元，比上年决算减少3.49万元，下降100.00%,主要原因是：本年按照业务工作任务的调整变化，减少林木种苗技术指导与检查验收项目工作经费。</w:t>
      </w:r>
    </w:p>
    <w:p w14:paraId="168D6A36">
      <w:pPr>
        <w:spacing w:line="580" w:lineRule="exact"/>
        <w:ind w:firstLine="640"/>
        <w:jc w:val="both"/>
      </w:pPr>
      <w:r>
        <w:rPr>
          <w:rFonts w:ascii="仿宋_GB2312" w:hAnsi="仿宋_GB2312" w:eastAsia="仿宋_GB2312"/>
          <w:b w:val="0"/>
          <w:sz w:val="32"/>
        </w:rPr>
        <w:t>7.住房保障支出(类)住房改革支出(款)住房公积金(项):支出决算数为14.12万元，比上年决算增加0.18万元，增长1.29%,主要原因是：本年在职人员工资基数调增，公积金缴费基数上涨，相应支出增加。</w:t>
      </w:r>
    </w:p>
    <w:p w14:paraId="78E30260">
      <w:pPr>
        <w:spacing w:line="640" w:lineRule="exact"/>
        <w:ind w:firstLine="640"/>
        <w:jc w:val="both"/>
        <w:outlineLvl w:val="2"/>
      </w:pPr>
      <w:r>
        <w:rPr>
          <w:rFonts w:ascii="黑体" w:hAnsi="黑体" w:eastAsia="黑体"/>
          <w:sz w:val="32"/>
        </w:rPr>
        <w:t>六、一般公共预算财政拨款基本支出决算情况说明</w:t>
      </w:r>
    </w:p>
    <w:p w14:paraId="48DA4A7C">
      <w:pPr>
        <w:spacing w:line="580" w:lineRule="exact"/>
        <w:ind w:firstLine="640"/>
        <w:jc w:val="both"/>
      </w:pPr>
      <w:r>
        <w:rPr>
          <w:rFonts w:ascii="仿宋_GB2312" w:hAnsi="仿宋_GB2312" w:eastAsia="仿宋_GB2312"/>
          <w:b w:val="0"/>
          <w:sz w:val="32"/>
        </w:rPr>
        <w:t>2024年度一般公共预算财政拨款基本支出178.84万元，其中：</w:t>
      </w:r>
      <w:r>
        <w:rPr>
          <w:rFonts w:ascii="仿宋_GB2312" w:hAnsi="仿宋_GB2312" w:eastAsia="仿宋_GB2312"/>
          <w:b/>
          <w:sz w:val="32"/>
        </w:rPr>
        <w:t>人员经费171.84万元，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包括：基本工资、津贴补贴、奖金、机关事业单位基本养老保险缴费、职工基本医疗保险缴费、公务员医疗补助缴费、其他社会保障缴费、住房公积金、退休费、生活补助、奖励金。</w:t>
      </w:r>
    </w:p>
    <w:p w14:paraId="7B2C04B0">
      <w:pPr>
        <w:spacing w:line="580" w:lineRule="exact"/>
        <w:ind w:firstLine="640"/>
        <w:jc w:val="both"/>
      </w:pPr>
      <w:r>
        <w:rPr>
          <w:rFonts w:ascii="仿宋_GB2312" w:hAnsi="仿宋_GB2312" w:eastAsia="仿宋_GB2312"/>
          <w:b/>
          <w:sz w:val="32"/>
        </w:rPr>
        <w:t>公用经费6.99万元，</w:t>
      </w:r>
      <w:r>
        <w:rPr>
          <w:rFonts w:ascii="仿宋_GB2312" w:hAnsi="仿宋_GB2312" w:eastAsia="仿宋_GB2312"/>
          <w:b w:val="0"/>
          <w:sz w:val="32"/>
        </w:rPr>
        <w:t>包括：办公费、邮电费、差旅费、专用材料费、工会经费、其他商品和服务支出。</w:t>
      </w:r>
    </w:p>
    <w:p w14:paraId="12DA0CB4">
      <w:pPr>
        <w:spacing w:line="640" w:lineRule="exact"/>
        <w:ind w:firstLine="640"/>
        <w:jc w:val="both"/>
        <w:outlineLvl w:val="2"/>
      </w:pPr>
      <w:r>
        <w:rPr>
          <w:rFonts w:ascii="黑体" w:hAnsi="黑体" w:eastAsia="黑体"/>
          <w:sz w:val="32"/>
        </w:rPr>
        <w:t>七、政府性基金预算财政拨款收入支出决算情况说明</w:t>
      </w:r>
    </w:p>
    <w:p w14:paraId="1EABF97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59F22F4">
      <w:pPr>
        <w:spacing w:line="640" w:lineRule="exact"/>
        <w:ind w:firstLine="640"/>
        <w:jc w:val="both"/>
        <w:outlineLvl w:val="2"/>
      </w:pPr>
      <w:r>
        <w:rPr>
          <w:rFonts w:ascii="黑体" w:hAnsi="黑体" w:eastAsia="黑体"/>
          <w:sz w:val="32"/>
        </w:rPr>
        <w:t>八、国有资本经营预算财政拨款收入支出决算情况说明</w:t>
      </w:r>
    </w:p>
    <w:p w14:paraId="1F971B7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9C44170">
      <w:pPr>
        <w:spacing w:line="640" w:lineRule="exact"/>
        <w:ind w:firstLine="640"/>
        <w:jc w:val="both"/>
        <w:outlineLvl w:val="2"/>
      </w:pPr>
      <w:r>
        <w:rPr>
          <w:rFonts w:ascii="黑体" w:hAnsi="黑体" w:eastAsia="黑体"/>
          <w:sz w:val="32"/>
        </w:rPr>
        <w:t>九、财政拨款“三公”经费支出决算情况说明</w:t>
      </w:r>
    </w:p>
    <w:p w14:paraId="2486553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AE11A08">
      <w:pPr>
        <w:spacing w:line="580" w:lineRule="exact"/>
        <w:ind w:firstLine="640"/>
        <w:jc w:val="both"/>
      </w:pPr>
      <w:r>
        <w:rPr>
          <w:rFonts w:ascii="仿宋_GB2312" w:hAnsi="仿宋_GB2312" w:eastAsia="仿宋_GB2312"/>
          <w:b/>
          <w:sz w:val="32"/>
        </w:rPr>
        <w:t>具体情况如下：</w:t>
      </w:r>
    </w:p>
    <w:p w14:paraId="6C820C8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3F3168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08529A12">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95C2B9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694E22E1">
      <w:pPr>
        <w:spacing w:line="640" w:lineRule="exact"/>
        <w:ind w:firstLine="640"/>
        <w:jc w:val="both"/>
        <w:outlineLvl w:val="2"/>
      </w:pPr>
      <w:r>
        <w:rPr>
          <w:rFonts w:ascii="黑体" w:hAnsi="黑体" w:eastAsia="黑体"/>
          <w:sz w:val="32"/>
        </w:rPr>
        <w:t>十、其他重要事项的情况说明</w:t>
      </w:r>
    </w:p>
    <w:p w14:paraId="4A991975">
      <w:pPr>
        <w:spacing w:line="640" w:lineRule="exact"/>
        <w:ind w:firstLine="640"/>
        <w:jc w:val="both"/>
        <w:outlineLvl w:val="3"/>
      </w:pPr>
      <w:r>
        <w:rPr>
          <w:rFonts w:ascii="楷体_GB2312" w:hAnsi="楷体_GB2312" w:eastAsia="楷体_GB2312"/>
          <w:b/>
          <w:sz w:val="32"/>
        </w:rPr>
        <w:t>（一）机关运行经费及公用经费支出情况</w:t>
      </w:r>
    </w:p>
    <w:p w14:paraId="6AABEC82">
      <w:pPr>
        <w:spacing w:line="580" w:lineRule="exact"/>
        <w:ind w:firstLine="640"/>
        <w:jc w:val="both"/>
      </w:pPr>
      <w:r>
        <w:rPr>
          <w:rFonts w:ascii="仿宋_GB2312" w:hAnsi="仿宋_GB2312" w:eastAsia="仿宋_GB2312"/>
          <w:b w:val="0"/>
          <w:sz w:val="32"/>
        </w:rPr>
        <w:t>2024年度喀什地区林木种苗管理站（行政单位和参照公务员法管理事业单位）机关运行经费支出6.99万元，比上年减少0.54万元，下降7.17%，主要原因是：严控经费支出，厉行节约，减少经费支出。</w:t>
      </w:r>
    </w:p>
    <w:p w14:paraId="1EDCE968">
      <w:pPr>
        <w:spacing w:line="640" w:lineRule="exact"/>
        <w:ind w:firstLine="640"/>
        <w:jc w:val="both"/>
        <w:outlineLvl w:val="3"/>
      </w:pPr>
      <w:r>
        <w:rPr>
          <w:rFonts w:ascii="楷体_GB2312" w:hAnsi="楷体_GB2312" w:eastAsia="楷体_GB2312"/>
          <w:b/>
          <w:sz w:val="32"/>
        </w:rPr>
        <w:t>（二）政府采购情况</w:t>
      </w:r>
    </w:p>
    <w:p w14:paraId="6BA747B7">
      <w:pPr>
        <w:spacing w:line="580" w:lineRule="exact"/>
        <w:ind w:firstLine="640"/>
        <w:jc w:val="both"/>
      </w:pPr>
      <w:r>
        <w:rPr>
          <w:rFonts w:ascii="仿宋_GB2312" w:hAnsi="仿宋_GB2312" w:eastAsia="仿宋_GB2312"/>
          <w:b w:val="0"/>
          <w:sz w:val="32"/>
        </w:rPr>
        <w:t>2024年度政府采购支出总额1.71万元，其中：政府采购货物支出1.71万元、政府采购工程支出0.00万元、政府采购服务支出0.00万元。</w:t>
      </w:r>
    </w:p>
    <w:p w14:paraId="37B391B4">
      <w:pPr>
        <w:spacing w:line="580" w:lineRule="exact"/>
        <w:ind w:firstLine="640"/>
        <w:jc w:val="both"/>
      </w:pPr>
      <w:r>
        <w:rPr>
          <w:rFonts w:ascii="仿宋_GB2312" w:hAnsi="仿宋_GB2312" w:eastAsia="仿宋_GB2312"/>
          <w:b w:val="0"/>
          <w:sz w:val="32"/>
        </w:rPr>
        <w:t>授予中小企业合同金额1.71万元，占政府采购支出总额的100.00%，其中：授予小微企业合同金额0.87万元，占政府采购支出总额的50.88%。</w:t>
      </w:r>
    </w:p>
    <w:p w14:paraId="1FEC2AC8">
      <w:pPr>
        <w:spacing w:line="640" w:lineRule="exact"/>
        <w:ind w:firstLine="640"/>
        <w:jc w:val="both"/>
        <w:outlineLvl w:val="3"/>
      </w:pPr>
      <w:r>
        <w:rPr>
          <w:rFonts w:ascii="楷体_GB2312" w:hAnsi="楷体_GB2312" w:eastAsia="楷体_GB2312"/>
          <w:b/>
          <w:sz w:val="32"/>
        </w:rPr>
        <w:t>（三）国有资产占用情况说明</w:t>
      </w:r>
    </w:p>
    <w:p w14:paraId="777862EB">
      <w:pPr>
        <w:spacing w:line="580" w:lineRule="exact"/>
        <w:ind w:firstLine="640"/>
        <w:jc w:val="both"/>
      </w:pPr>
      <w:r>
        <w:rPr>
          <w:rFonts w:ascii="仿宋_GB2312" w:hAnsi="仿宋_GB2312" w:eastAsia="仿宋_GB2312"/>
          <w:b w:val="0"/>
          <w:sz w:val="32"/>
        </w:rPr>
        <w:t>截至2024年12月31日，房屋176.00平方米，价值6.80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142D75F4">
      <w:pPr>
        <w:spacing w:line="640" w:lineRule="exact"/>
        <w:ind w:firstLine="640"/>
        <w:jc w:val="both"/>
        <w:outlineLvl w:val="2"/>
      </w:pPr>
      <w:r>
        <w:rPr>
          <w:rFonts w:ascii="黑体" w:hAnsi="黑体" w:eastAsia="黑体"/>
          <w:sz w:val="32"/>
        </w:rPr>
        <w:t>十一、预算绩效的情况说明</w:t>
      </w:r>
    </w:p>
    <w:p w14:paraId="3F81C56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178.84万元，实际执行总额178.84万元；预算绩效评价项目0个，全年预算数0.00万元，全年执行数0.00万元。预算绩效管理取得的成效：一是科学编制绩效目标，确保预算编制精准；二是在预算执行过程中，及时科学有效</w:t>
      </w:r>
      <w:r>
        <w:rPr>
          <w:rFonts w:hint="eastAsia" w:ascii="仿宋_GB2312" w:hAnsi="仿宋_GB2312" w:eastAsia="仿宋_GB2312"/>
          <w:b w:val="0"/>
          <w:sz w:val="32"/>
          <w:lang w:eastAsia="zh-CN"/>
        </w:rPr>
        <w:t>地</w:t>
      </w:r>
      <w:r>
        <w:rPr>
          <w:rFonts w:ascii="仿宋_GB2312" w:hAnsi="仿宋_GB2312" w:eastAsia="仿宋_GB2312"/>
          <w:b w:val="0"/>
          <w:sz w:val="32"/>
        </w:rPr>
        <w:t>调整绩效目标，确保资金有效执行。发现的问题及原因：整体支出绩效目标值设置不精准，未按实际开展的业务工作情况合理设置目标。下一步改进措施：一是在计划开展业务工作实施中，根据实际情况，合理考虑突发情况的发生并制定相关预案，保质保量完成业务工作；二是加大预算绩效工作宣传力度，强化预算绩效理念。提升预算精细化准确化管理水平；三是继续完善预算绩效管理相关工作制度，建立全过程预算绩效管理链条，有效贯彻落实全面实施绩效管理的精神。具体附部门整体支出绩效自评表。</w:t>
      </w:r>
    </w:p>
    <w:p w14:paraId="7766410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3885E67">
        <w:tblPrEx>
          <w:tblCellMar>
            <w:top w:w="0" w:type="dxa"/>
            <w:left w:w="108" w:type="dxa"/>
            <w:bottom w:w="0" w:type="dxa"/>
            <w:right w:w="108" w:type="dxa"/>
          </w:tblCellMar>
        </w:tblPrEx>
        <w:tc>
          <w:tcPr>
            <w:tcW w:w="8847" w:type="dxa"/>
            <w:gridSpan w:val="9"/>
            <w:vAlign w:val="center"/>
          </w:tcPr>
          <w:p w14:paraId="08A6EE09">
            <w:pPr>
              <w:jc w:val="center"/>
            </w:pPr>
            <w:r>
              <w:rPr>
                <w:rFonts w:ascii="宋体" w:hAnsi="宋体" w:eastAsia="宋体"/>
                <w:sz w:val="24"/>
              </w:rPr>
              <w:t>部门整体支出绩效自评表</w:t>
            </w:r>
          </w:p>
        </w:tc>
      </w:tr>
      <w:tr w14:paraId="3F5D304D">
        <w:tblPrEx>
          <w:tblCellMar>
            <w:top w:w="0" w:type="dxa"/>
            <w:left w:w="108" w:type="dxa"/>
            <w:bottom w:w="0" w:type="dxa"/>
            <w:right w:w="108" w:type="dxa"/>
          </w:tblCellMar>
        </w:tblPrEx>
        <w:tc>
          <w:tcPr>
            <w:tcW w:w="8847" w:type="dxa"/>
            <w:gridSpan w:val="9"/>
            <w:vAlign w:val="center"/>
          </w:tcPr>
          <w:p w14:paraId="49C55A9F">
            <w:pPr>
              <w:jc w:val="center"/>
            </w:pPr>
            <w:r>
              <w:rPr>
                <w:rFonts w:ascii="宋体" w:hAnsi="宋体" w:eastAsia="宋体"/>
                <w:sz w:val="24"/>
              </w:rPr>
              <w:t>（2024年度）</w:t>
            </w:r>
          </w:p>
        </w:tc>
      </w:tr>
      <w:tr w14:paraId="72EEAC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32614">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3482E2">
            <w:pPr>
              <w:jc w:val="center"/>
            </w:pPr>
            <w:r>
              <w:rPr>
                <w:rFonts w:ascii="宋体" w:hAnsi="宋体" w:eastAsia="宋体"/>
                <w:sz w:val="16"/>
              </w:rPr>
              <w:t>喀什地区林木种苗管理站</w:t>
            </w:r>
          </w:p>
        </w:tc>
      </w:tr>
      <w:tr w14:paraId="6F1018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E70E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AFA4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EB0F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BDB9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5C23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DAFB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0124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CFB84">
            <w:pPr>
              <w:jc w:val="center"/>
            </w:pPr>
            <w:r>
              <w:rPr>
                <w:rFonts w:ascii="宋体" w:hAnsi="宋体" w:eastAsia="宋体"/>
                <w:sz w:val="16"/>
              </w:rPr>
              <w:t>得分</w:t>
            </w:r>
          </w:p>
        </w:tc>
      </w:tr>
      <w:tr w14:paraId="284B60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428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3874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035F">
            <w:pPr>
              <w:jc w:val="center"/>
            </w:pPr>
            <w:r>
              <w:rPr>
                <w:rFonts w:ascii="宋体" w:hAnsi="宋体" w:eastAsia="宋体"/>
                <w:sz w:val="16"/>
              </w:rPr>
              <w:t>195.24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4F8EE">
            <w:pPr>
              <w:jc w:val="center"/>
            </w:pPr>
            <w:r>
              <w:rPr>
                <w:rFonts w:ascii="宋体" w:hAnsi="宋体" w:eastAsia="宋体"/>
                <w:sz w:val="16"/>
              </w:rPr>
              <w:t>178.84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5D652">
            <w:pPr>
              <w:jc w:val="center"/>
            </w:pPr>
            <w:r>
              <w:rPr>
                <w:rFonts w:ascii="宋体" w:hAnsi="宋体" w:eastAsia="宋体"/>
                <w:sz w:val="16"/>
              </w:rPr>
              <w:t>178.84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C63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C62D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54541">
            <w:pPr>
              <w:jc w:val="center"/>
            </w:pPr>
            <w:r>
              <w:rPr>
                <w:rFonts w:ascii="宋体" w:hAnsi="宋体" w:eastAsia="宋体"/>
                <w:sz w:val="16"/>
              </w:rPr>
              <w:t>10</w:t>
            </w:r>
          </w:p>
        </w:tc>
      </w:tr>
      <w:tr w14:paraId="0B7732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D7E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4D20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910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3B7C7">
            <w:pPr>
              <w:jc w:val="center"/>
            </w:pPr>
            <w:r>
              <w:rPr>
                <w:rFonts w:ascii="宋体" w:hAnsi="宋体" w:eastAsia="宋体"/>
                <w:sz w:val="16"/>
              </w:rPr>
              <w:t>2.73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98ABF">
            <w:pPr>
              <w:jc w:val="center"/>
            </w:pPr>
            <w:r>
              <w:rPr>
                <w:rFonts w:ascii="宋体" w:hAnsi="宋体" w:eastAsia="宋体"/>
                <w:sz w:val="16"/>
              </w:rPr>
              <w:t>2.73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946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9463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B000">
            <w:pPr>
              <w:jc w:val="center"/>
            </w:pPr>
            <w:r>
              <w:rPr>
                <w:rFonts w:ascii="宋体" w:hAnsi="宋体" w:eastAsia="宋体"/>
                <w:sz w:val="16"/>
              </w:rPr>
              <w:t>—</w:t>
            </w:r>
          </w:p>
        </w:tc>
      </w:tr>
      <w:tr w14:paraId="52508F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DA7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9881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B62C1">
            <w:pPr>
              <w:jc w:val="center"/>
            </w:pPr>
            <w:r>
              <w:rPr>
                <w:rFonts w:ascii="宋体" w:hAnsi="宋体" w:eastAsia="宋体"/>
                <w:sz w:val="16"/>
              </w:rPr>
              <w:t>195.24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55608">
            <w:pPr>
              <w:jc w:val="center"/>
            </w:pPr>
            <w:r>
              <w:rPr>
                <w:rFonts w:ascii="宋体" w:hAnsi="宋体" w:eastAsia="宋体"/>
                <w:sz w:val="16"/>
              </w:rPr>
              <w:t>176.11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2A5CF">
            <w:pPr>
              <w:jc w:val="center"/>
            </w:pPr>
            <w:r>
              <w:rPr>
                <w:rFonts w:ascii="宋体" w:hAnsi="宋体" w:eastAsia="宋体"/>
                <w:sz w:val="16"/>
              </w:rPr>
              <w:t>176.11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126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27D1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D7BCD">
            <w:pPr>
              <w:jc w:val="center"/>
            </w:pPr>
            <w:r>
              <w:rPr>
                <w:rFonts w:ascii="宋体" w:hAnsi="宋体" w:eastAsia="宋体"/>
                <w:sz w:val="16"/>
              </w:rPr>
              <w:t>—</w:t>
            </w:r>
          </w:p>
        </w:tc>
      </w:tr>
      <w:tr w14:paraId="26E051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6AD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B4F0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833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EEF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813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BB2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2EB6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CE57B">
            <w:pPr>
              <w:jc w:val="center"/>
            </w:pPr>
            <w:r>
              <w:rPr>
                <w:rFonts w:ascii="宋体" w:hAnsi="宋体" w:eastAsia="宋体"/>
                <w:sz w:val="16"/>
              </w:rPr>
              <w:t>—</w:t>
            </w:r>
          </w:p>
        </w:tc>
      </w:tr>
      <w:tr w14:paraId="3B4DB2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CF13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4EEAD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390F0E">
            <w:pPr>
              <w:jc w:val="center"/>
            </w:pPr>
            <w:r>
              <w:rPr>
                <w:rFonts w:ascii="宋体" w:hAnsi="宋体" w:eastAsia="宋体"/>
                <w:sz w:val="16"/>
              </w:rPr>
              <w:t>实际完成情况</w:t>
            </w:r>
          </w:p>
        </w:tc>
      </w:tr>
      <w:tr w14:paraId="5D78B1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13CE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7F8DC6">
            <w:pPr>
              <w:jc w:val="both"/>
            </w:pPr>
            <w:r>
              <w:rPr>
                <w:rFonts w:ascii="宋体" w:hAnsi="宋体" w:eastAsia="宋体"/>
                <w:sz w:val="16"/>
              </w:rPr>
              <w:t>指导各县市加大种苗培育力度，有效提高苗木自繁自育能力，强化造林用苗质量的合格率达到100%，监管抽查检验苗木质量不少于12批次。按时上报苗木筹备保供、培育进度等相关数据信息。做好林木种苗项目申报工作，指导服务好5个县市高质量申报项目和完成好2024年中央和自治区财政转移支付林木良种培育补助项目。做好11个县市林果种质资源汇集库（圃）建设的指导服务。全面完成林果种质资源汇集保存目标，建立健全相应的林果种质资源档案，为我区特色林果产业品种更新、升级换代做好资源储备。依法开展林草种子生产经营许可证发放管理、指导督促生产经营单位规范建立生产经营档案、林草种苗质量抽查、林草种子生产经营许可“双随机、一公开”抽查1家单位、打击制售假劣种苗和保护植物新品种权等林草种子行政执法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C5556">
            <w:pPr>
              <w:jc w:val="both"/>
            </w:pPr>
            <w:bookmarkStart w:id="0" w:name="_GoBack"/>
            <w:r>
              <w:rPr>
                <w:rFonts w:hint="eastAsia" w:ascii="宋体" w:hAnsi="宋体"/>
                <w:sz w:val="16"/>
                <w:lang w:eastAsia="zh-CN"/>
              </w:rPr>
              <w:t>本部门</w:t>
            </w:r>
            <w:bookmarkEnd w:id="0"/>
            <w:r>
              <w:rPr>
                <w:rFonts w:ascii="宋体" w:hAnsi="宋体" w:eastAsia="宋体"/>
                <w:sz w:val="16"/>
              </w:rPr>
              <w:t>年度完成指导各县市加大种苗培育力度，有效提高了苗木自繁自育能力，保证了造林用苗质量的合格率达到100%，按时完成了抽查检验苗木质量27批次。及时上报苗木筹备保供、培育进度等相关数据信息。并且指导和审核各县市向上级单位申报了8个项目，指导服务各县市完成2024年中央和自治区财政转移支付林木良种培育补助项目。做好了11个县市的12个林果种质资源汇集库（圃）建设的指导服务。全面完成了林果种质资源汇集保存目标，建立健全了相应的林果种质资源档案，为我区特色林果产业品种更新、升级换代做好资源储备。</w:t>
            </w:r>
            <w:r>
              <w:rPr>
                <w:rFonts w:hint="eastAsia" w:ascii="宋体" w:hAnsi="宋体"/>
                <w:sz w:val="16"/>
                <w:lang w:eastAsia="zh-CN"/>
              </w:rPr>
              <w:t>并</w:t>
            </w:r>
            <w:r>
              <w:rPr>
                <w:rFonts w:ascii="宋体" w:hAnsi="宋体" w:eastAsia="宋体"/>
                <w:sz w:val="16"/>
              </w:rPr>
              <w:t>依法开展林草种子生产经营许可证发放管理、指导督促生产经营单位规范建立生产经营档案和林草种苗质量抽查，按照规定对林草种子生产经营许可“双随机、一公开”的要求，抽查了1家单位、打击制售假劣种苗和保护植物新品种权等林草种子行政执法工作。</w:t>
            </w:r>
          </w:p>
        </w:tc>
      </w:tr>
      <w:tr w14:paraId="4CD5A0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87C2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8405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6D76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6076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3362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53C1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BC1E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6665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CD245">
            <w:pPr>
              <w:jc w:val="center"/>
            </w:pPr>
            <w:r>
              <w:rPr>
                <w:rFonts w:ascii="宋体" w:hAnsi="宋体" w:eastAsia="宋体"/>
                <w:sz w:val="16"/>
              </w:rPr>
              <w:t>得分</w:t>
            </w:r>
          </w:p>
        </w:tc>
      </w:tr>
      <w:tr w14:paraId="31C334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4026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8274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4D6B9">
            <w:pPr>
              <w:jc w:val="center"/>
            </w:pPr>
            <w:r>
              <w:rPr>
                <w:rFonts w:ascii="宋体" w:hAnsi="宋体" w:eastAsia="宋体"/>
                <w:sz w:val="16"/>
              </w:rPr>
              <w:t>指导服务林果种质资源汇集圃数量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268C4">
            <w:pPr>
              <w:jc w:val="center"/>
            </w:pPr>
            <w:r>
              <w:rPr>
                <w:rFonts w:ascii="宋体" w:hAnsi="宋体" w:eastAsia="宋体"/>
                <w:sz w:val="16"/>
              </w:rPr>
              <w:t>=11个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5A5C4">
            <w:pPr>
              <w:jc w:val="center"/>
            </w:pPr>
            <w:r>
              <w:rPr>
                <w:rFonts w:ascii="宋体" w:hAnsi="宋体" w:eastAsia="宋体"/>
                <w:sz w:val="16"/>
              </w:rPr>
              <w:t>2024年喀什地区林木种苗管理站工作计划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322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0F8A2">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96265">
            <w:pPr>
              <w:jc w:val="center"/>
            </w:pPr>
            <w:r>
              <w:rPr>
                <w:rFonts w:ascii="宋体" w:hAnsi="宋体" w:eastAsia="宋体"/>
                <w:sz w:val="16"/>
              </w:rPr>
              <w:t>109.09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583DC">
            <w:pPr>
              <w:jc w:val="center"/>
            </w:pPr>
            <w:r>
              <w:rPr>
                <w:rFonts w:ascii="宋体" w:hAnsi="宋体" w:eastAsia="宋体"/>
                <w:sz w:val="16"/>
              </w:rPr>
              <w:t>20</w:t>
            </w:r>
          </w:p>
        </w:tc>
      </w:tr>
      <w:tr w14:paraId="1A3C90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AE3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61B9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7BC27">
            <w:pPr>
              <w:jc w:val="center"/>
            </w:pPr>
            <w:r>
              <w:rPr>
                <w:rFonts w:ascii="宋体" w:hAnsi="宋体" w:eastAsia="宋体"/>
                <w:sz w:val="16"/>
              </w:rPr>
              <w:t>苗木质量抽查批次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0EDA6">
            <w:pPr>
              <w:jc w:val="center"/>
            </w:pPr>
            <w:r>
              <w:rPr>
                <w:rFonts w:ascii="宋体" w:hAnsi="宋体" w:eastAsia="宋体"/>
                <w:sz w:val="16"/>
              </w:rPr>
              <w:t>&gt;=12批次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2A0EF">
            <w:pPr>
              <w:jc w:val="center"/>
            </w:pPr>
            <w:r>
              <w:rPr>
                <w:rFonts w:ascii="宋体" w:hAnsi="宋体" w:eastAsia="宋体"/>
                <w:sz w:val="16"/>
              </w:rPr>
              <w:t>2024年喀什地区林木种苗管理站工作计划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782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4A0DF">
            <w:pPr>
              <w:jc w:val="center"/>
            </w:pPr>
            <w:r>
              <w:rPr>
                <w:rFonts w:ascii="宋体" w:hAnsi="宋体" w:eastAsia="宋体"/>
                <w:sz w:val="16"/>
              </w:rPr>
              <w:t>27批次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59057">
            <w:pPr>
              <w:jc w:val="center"/>
            </w:pPr>
            <w:r>
              <w:rPr>
                <w:rFonts w:ascii="宋体" w:hAnsi="宋体" w:eastAsia="宋体"/>
                <w:sz w:val="16"/>
              </w:rPr>
              <w:t>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AF7C4">
            <w:pPr>
              <w:jc w:val="center"/>
            </w:pPr>
            <w:r>
              <w:rPr>
                <w:rFonts w:ascii="宋体" w:hAnsi="宋体" w:eastAsia="宋体"/>
                <w:sz w:val="16"/>
              </w:rPr>
              <w:t>20</w:t>
            </w:r>
          </w:p>
        </w:tc>
      </w:tr>
      <w:tr w14:paraId="71D01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319D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A656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99C98">
            <w:pPr>
              <w:jc w:val="center"/>
            </w:pPr>
            <w:r>
              <w:rPr>
                <w:rFonts w:ascii="宋体" w:hAnsi="宋体" w:eastAsia="宋体"/>
                <w:sz w:val="16"/>
              </w:rPr>
              <w:t>林草种子生产经营许可“双随机、一公开”抽查数量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B603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27F17">
            <w:pPr>
              <w:jc w:val="center"/>
            </w:pPr>
            <w:r>
              <w:rPr>
                <w:rFonts w:ascii="宋体" w:hAnsi="宋体" w:eastAsia="宋体"/>
                <w:sz w:val="16"/>
              </w:rPr>
              <w:t>2024年喀什地区林木种苗管理站工作计划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EA80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4802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4A8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84CAC">
            <w:pPr>
              <w:jc w:val="center"/>
            </w:pPr>
            <w:r>
              <w:rPr>
                <w:rFonts w:ascii="宋体" w:hAnsi="宋体" w:eastAsia="宋体"/>
                <w:sz w:val="16"/>
              </w:rPr>
              <w:t>15</w:t>
            </w:r>
          </w:p>
        </w:tc>
      </w:tr>
      <w:tr w14:paraId="0A6375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FB1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9EC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AD73F">
            <w:pPr>
              <w:jc w:val="center"/>
            </w:pPr>
            <w:r>
              <w:rPr>
                <w:rFonts w:ascii="宋体" w:hAnsi="宋体" w:eastAsia="宋体"/>
                <w:sz w:val="16"/>
              </w:rPr>
              <w:t>审核完成林木种苗项目数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16C2">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6A375">
            <w:pPr>
              <w:jc w:val="center"/>
            </w:pPr>
            <w:r>
              <w:rPr>
                <w:rFonts w:ascii="宋体" w:hAnsi="宋体" w:eastAsia="宋体"/>
                <w:sz w:val="16"/>
              </w:rPr>
              <w:t>2024年喀什地区林木种苗管理站工作计划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C84D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C8B3A">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BD7BF">
            <w:pPr>
              <w:jc w:val="center"/>
            </w:pPr>
            <w:r>
              <w:rPr>
                <w:rFonts w:ascii="宋体" w:hAnsi="宋体" w:eastAsia="宋体"/>
                <w:sz w:val="16"/>
              </w:rPr>
              <w:t>160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91214">
            <w:pPr>
              <w:jc w:val="center"/>
            </w:pPr>
            <w:r>
              <w:rPr>
                <w:rFonts w:ascii="宋体" w:hAnsi="宋体" w:eastAsia="宋体"/>
                <w:sz w:val="16"/>
              </w:rPr>
              <w:t>20</w:t>
            </w:r>
          </w:p>
        </w:tc>
      </w:tr>
      <w:tr w14:paraId="07BBD6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384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35F5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C75F5">
            <w:pPr>
              <w:jc w:val="center"/>
            </w:pPr>
            <w:r>
              <w:rPr>
                <w:rFonts w:ascii="宋体" w:hAnsi="宋体" w:eastAsia="宋体"/>
                <w:sz w:val="16"/>
              </w:rPr>
              <w:t>苗木质量抽查合格率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E3A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CACD7">
            <w:pPr>
              <w:jc w:val="center"/>
            </w:pPr>
            <w:r>
              <w:rPr>
                <w:rFonts w:ascii="宋体" w:hAnsi="宋体" w:eastAsia="宋体"/>
                <w:sz w:val="16"/>
              </w:rPr>
              <w:t>2024年喀什地区林木种苗管理站工作计划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D9AA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2C5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401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3AB59">
            <w:pPr>
              <w:jc w:val="center"/>
            </w:pPr>
            <w:r>
              <w:rPr>
                <w:rFonts w:ascii="宋体" w:hAnsi="宋体" w:eastAsia="宋体"/>
                <w:sz w:val="16"/>
              </w:rPr>
              <w:t>15</w:t>
            </w:r>
          </w:p>
        </w:tc>
      </w:tr>
    </w:tbl>
    <w:p w14:paraId="48A5A259">
      <w:r>
        <w:br w:type="page"/>
      </w:r>
    </w:p>
    <w:p w14:paraId="572AFFFE">
      <w:pPr>
        <w:spacing w:line="640" w:lineRule="exact"/>
        <w:ind w:firstLine="640"/>
        <w:jc w:val="both"/>
        <w:outlineLvl w:val="2"/>
      </w:pPr>
      <w:r>
        <w:rPr>
          <w:rFonts w:ascii="黑体" w:hAnsi="黑体" w:eastAsia="黑体"/>
          <w:sz w:val="32"/>
        </w:rPr>
        <w:t>十二、其他需说明的事项</w:t>
      </w:r>
    </w:p>
    <w:p w14:paraId="5A360727">
      <w:pPr>
        <w:spacing w:line="580" w:lineRule="exact"/>
        <w:ind w:firstLine="640"/>
        <w:jc w:val="both"/>
      </w:pPr>
      <w:r>
        <w:rPr>
          <w:rFonts w:ascii="仿宋_GB2312" w:hAnsi="仿宋_GB2312" w:eastAsia="仿宋_GB2312"/>
          <w:b w:val="0"/>
          <w:sz w:val="32"/>
        </w:rPr>
        <w:t>本部门无其他需说明的事项。</w:t>
      </w:r>
    </w:p>
    <w:p w14:paraId="1ED0E649">
      <w:r>
        <w:br w:type="page"/>
      </w:r>
    </w:p>
    <w:p w14:paraId="55FAA4BD">
      <w:pPr>
        <w:spacing w:line="240" w:lineRule="auto"/>
        <w:jc w:val="center"/>
        <w:outlineLvl w:val="1"/>
      </w:pPr>
      <w:r>
        <w:rPr>
          <w:rFonts w:ascii="黑体" w:hAnsi="黑体" w:eastAsia="黑体"/>
          <w:sz w:val="32"/>
        </w:rPr>
        <w:t>第三部分 专业名词解释</w:t>
      </w:r>
    </w:p>
    <w:p w14:paraId="6701F12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4531E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87F65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6F4FE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FE7E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106F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318E9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157448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D95DC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C5438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821FDE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55C75A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68C8FD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1AE34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8D3E73">
      <w:r>
        <w:br w:type="page"/>
      </w:r>
    </w:p>
    <w:p w14:paraId="2095B8C2">
      <w:pPr>
        <w:spacing w:line="240" w:lineRule="auto"/>
        <w:jc w:val="center"/>
        <w:outlineLvl w:val="1"/>
      </w:pPr>
      <w:r>
        <w:rPr>
          <w:rFonts w:ascii="黑体" w:hAnsi="黑体" w:eastAsia="黑体"/>
          <w:sz w:val="32"/>
        </w:rPr>
        <w:t>第四部分 部门决算报表（见附表）</w:t>
      </w:r>
    </w:p>
    <w:p w14:paraId="2BE65296">
      <w:pPr>
        <w:spacing w:line="240" w:lineRule="auto"/>
        <w:ind w:firstLine="640"/>
        <w:jc w:val="both"/>
      </w:pPr>
      <w:r>
        <w:rPr>
          <w:rFonts w:ascii="仿宋_GB2312" w:hAnsi="仿宋_GB2312" w:eastAsia="仿宋_GB2312"/>
          <w:b w:val="0"/>
          <w:sz w:val="32"/>
        </w:rPr>
        <w:t>一、《收入支出决算总表》</w:t>
      </w:r>
    </w:p>
    <w:p w14:paraId="149B4911">
      <w:pPr>
        <w:spacing w:line="240" w:lineRule="auto"/>
        <w:ind w:firstLine="640"/>
        <w:jc w:val="both"/>
      </w:pPr>
      <w:r>
        <w:rPr>
          <w:rFonts w:ascii="仿宋_GB2312" w:hAnsi="仿宋_GB2312" w:eastAsia="仿宋_GB2312"/>
          <w:b w:val="0"/>
          <w:sz w:val="32"/>
        </w:rPr>
        <w:t>二、《收入决算表》</w:t>
      </w:r>
    </w:p>
    <w:p w14:paraId="03F0F7A5">
      <w:pPr>
        <w:spacing w:line="240" w:lineRule="auto"/>
        <w:ind w:firstLine="640"/>
        <w:jc w:val="both"/>
      </w:pPr>
      <w:r>
        <w:rPr>
          <w:rFonts w:ascii="仿宋_GB2312" w:hAnsi="仿宋_GB2312" w:eastAsia="仿宋_GB2312"/>
          <w:b w:val="0"/>
          <w:sz w:val="32"/>
        </w:rPr>
        <w:t>三、《支出决算表》</w:t>
      </w:r>
    </w:p>
    <w:p w14:paraId="5705D539">
      <w:pPr>
        <w:spacing w:line="240" w:lineRule="auto"/>
        <w:ind w:firstLine="640"/>
        <w:jc w:val="both"/>
      </w:pPr>
      <w:r>
        <w:rPr>
          <w:rFonts w:ascii="仿宋_GB2312" w:hAnsi="仿宋_GB2312" w:eastAsia="仿宋_GB2312"/>
          <w:b w:val="0"/>
          <w:sz w:val="32"/>
        </w:rPr>
        <w:t>四、《财政拨款收入支出决算总表》</w:t>
      </w:r>
    </w:p>
    <w:p w14:paraId="4C6CF1D2">
      <w:pPr>
        <w:spacing w:line="240" w:lineRule="auto"/>
        <w:ind w:firstLine="640"/>
        <w:jc w:val="both"/>
      </w:pPr>
      <w:r>
        <w:rPr>
          <w:rFonts w:ascii="仿宋_GB2312" w:hAnsi="仿宋_GB2312" w:eastAsia="仿宋_GB2312"/>
          <w:b w:val="0"/>
          <w:sz w:val="32"/>
        </w:rPr>
        <w:t>五、《一般公共预算财政拨款支出决算表》</w:t>
      </w:r>
    </w:p>
    <w:p w14:paraId="2438FCED">
      <w:pPr>
        <w:spacing w:line="240" w:lineRule="auto"/>
        <w:ind w:firstLine="640"/>
        <w:jc w:val="both"/>
      </w:pPr>
      <w:r>
        <w:rPr>
          <w:rFonts w:ascii="仿宋_GB2312" w:hAnsi="仿宋_GB2312" w:eastAsia="仿宋_GB2312"/>
          <w:b w:val="0"/>
          <w:sz w:val="32"/>
        </w:rPr>
        <w:t>六、《一般公共预算财政拨款基本支出决算表》</w:t>
      </w:r>
    </w:p>
    <w:p w14:paraId="76CB7DF4">
      <w:pPr>
        <w:spacing w:line="240" w:lineRule="auto"/>
        <w:ind w:firstLine="640"/>
        <w:jc w:val="both"/>
      </w:pPr>
      <w:r>
        <w:rPr>
          <w:rFonts w:ascii="仿宋_GB2312" w:hAnsi="仿宋_GB2312" w:eastAsia="仿宋_GB2312"/>
          <w:b w:val="0"/>
          <w:sz w:val="32"/>
        </w:rPr>
        <w:t>七、《政府性基金预算财政拨款收入支出决算表》</w:t>
      </w:r>
    </w:p>
    <w:p w14:paraId="2356990F">
      <w:pPr>
        <w:spacing w:line="240" w:lineRule="auto"/>
        <w:ind w:firstLine="640"/>
        <w:jc w:val="both"/>
      </w:pPr>
      <w:r>
        <w:rPr>
          <w:rFonts w:ascii="仿宋_GB2312" w:hAnsi="仿宋_GB2312" w:eastAsia="仿宋_GB2312"/>
          <w:b w:val="0"/>
          <w:sz w:val="32"/>
        </w:rPr>
        <w:t>八、《国有资本经营预算财政拨款收入支出决算表》</w:t>
      </w:r>
    </w:p>
    <w:p w14:paraId="5174F663">
      <w:pPr>
        <w:spacing w:line="240" w:lineRule="auto"/>
        <w:ind w:firstLine="640"/>
        <w:jc w:val="both"/>
      </w:pPr>
      <w:r>
        <w:rPr>
          <w:rFonts w:ascii="仿宋_GB2312" w:hAnsi="仿宋_GB2312" w:eastAsia="仿宋_GB2312"/>
          <w:b w:val="0"/>
          <w:sz w:val="32"/>
        </w:rPr>
        <w:t>九、《财政拨款“三公”经费支出决算表》</w:t>
      </w:r>
    </w:p>
    <w:p w14:paraId="718309F4">
      <w:pPr>
        <w:spacing w:line="240" w:lineRule="auto"/>
        <w:ind w:firstLine="640"/>
        <w:jc w:val="both"/>
      </w:pPr>
    </w:p>
    <w:p w14:paraId="2786EE06">
      <w:pPr>
        <w:spacing w:line="240" w:lineRule="auto"/>
        <w:ind w:firstLine="640"/>
        <w:jc w:val="both"/>
      </w:pPr>
    </w:p>
    <w:p w14:paraId="5C0FF454">
      <w:pPr>
        <w:spacing w:line="240" w:lineRule="auto"/>
        <w:ind w:firstLine="640"/>
        <w:jc w:val="both"/>
      </w:pPr>
    </w:p>
    <w:p w14:paraId="560B91FA">
      <w:pPr>
        <w:spacing w:line="240" w:lineRule="auto"/>
        <w:ind w:firstLine="640"/>
        <w:jc w:val="both"/>
      </w:pPr>
    </w:p>
    <w:p w14:paraId="190E5F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301EEC"/>
    <w:rsid w:val="5FA17648"/>
    <w:rsid w:val="5FD320BD"/>
    <w:rsid w:val="60DE4D57"/>
    <w:rsid w:val="613409CB"/>
    <w:rsid w:val="61A46A97"/>
    <w:rsid w:val="62DD7D21"/>
    <w:rsid w:val="65D97752"/>
    <w:rsid w:val="664C500C"/>
    <w:rsid w:val="66EF6AFA"/>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5234</Words>
  <Characters>5926</Characters>
  <Lines>0</Lines>
  <Paragraphs>0</Paragraphs>
  <TotalTime>12</TotalTime>
  <ScaleCrop>false</ScaleCrop>
  <LinksUpToDate>false</LinksUpToDate>
  <CharactersWithSpaces>5934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