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BA528F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喀什地区生态环境局叶城县分局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5972E5">
      <w:r>
        <w:br w:type="page"/>
      </w:r>
    </w:p>
    <w:p w14:paraId="63B40196">
      <w:pPr>
        <w:spacing w:line="640" w:lineRule="exact"/>
        <w:jc w:val="center"/>
        <w:outlineLvl w:val="1"/>
      </w:pPr>
      <w:r>
        <w:rPr>
          <w:rFonts w:ascii="黑体" w:hAnsi="黑体" w:eastAsia="黑体"/>
          <w:sz w:val="32"/>
        </w:rPr>
        <w:t>第一部分 单位概况</w:t>
      </w:r>
    </w:p>
    <w:p w14:paraId="1DBBED38">
      <w:pPr>
        <w:spacing w:line="640" w:lineRule="exact"/>
        <w:ind w:firstLine="640"/>
        <w:jc w:val="both"/>
        <w:outlineLvl w:val="2"/>
      </w:pPr>
      <w:r>
        <w:rPr>
          <w:rFonts w:ascii="黑体" w:hAnsi="黑体" w:eastAsia="黑体"/>
          <w:sz w:val="32"/>
        </w:rPr>
        <w:t>一、主要职能</w:t>
      </w:r>
    </w:p>
    <w:p w14:paraId="7A341C09">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4605F973">
      <w:pPr>
        <w:spacing w:line="580" w:lineRule="exact"/>
        <w:ind w:firstLine="640"/>
        <w:jc w:val="both"/>
      </w:pPr>
      <w:r>
        <w:rPr>
          <w:rFonts w:ascii="仿宋_GB2312" w:hAnsi="仿宋_GB2312" w:eastAsia="仿宋_GB2312"/>
          <w:sz w:val="32"/>
        </w:rPr>
        <w:t>（二）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区域、流域生态环境保护工作。</w:t>
      </w:r>
    </w:p>
    <w:p w14:paraId="6EE06DB5">
      <w:pPr>
        <w:spacing w:line="580" w:lineRule="exact"/>
        <w:ind w:firstLine="640"/>
        <w:jc w:val="both"/>
      </w:pPr>
      <w:r>
        <w:rPr>
          <w:rFonts w:ascii="仿宋_GB2312" w:hAnsi="仿宋_GB2312" w:eastAsia="仿宋_GB2312"/>
          <w:sz w:val="32"/>
        </w:rPr>
        <w:t>（三）负责监督管理自治区减排目标的落实。贯彻落实国家、自治区、地区污染物排放总量控制、排污许可制度并监督实施。拟订县域总量控制计划并监督实施，实施生态环境保护目标责任制。</w:t>
      </w:r>
    </w:p>
    <w:p w14:paraId="394E267F">
      <w:pPr>
        <w:spacing w:line="580" w:lineRule="exact"/>
        <w:ind w:firstLine="640"/>
        <w:jc w:val="both"/>
      </w:pPr>
      <w:r>
        <w:rPr>
          <w:rFonts w:ascii="仿宋_GB2312" w:hAnsi="仿宋_GB2312" w:eastAsia="仿宋_GB2312"/>
          <w:sz w:val="32"/>
        </w:rPr>
        <w:t>（四）负责环境污染防治的监督管理。根据国家、自治区和地区大气、水、土壤、噪声、光、恶臭、固体废物、化学品、机动车等的污染防治管理制度，拟订县域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4534573A">
      <w:pPr>
        <w:spacing w:line="580" w:lineRule="exact"/>
        <w:ind w:firstLine="640"/>
        <w:jc w:val="both"/>
      </w:pPr>
      <w:r>
        <w:rPr>
          <w:rFonts w:ascii="仿宋_GB2312" w:hAnsi="仿宋_GB2312" w:eastAsia="仿宋_GB2312"/>
          <w:sz w:val="32"/>
        </w:rPr>
        <w:t>（五）指导协调和监督生态保护修复工作。组织编制县域生态保护规划，监督对生态环境有影响的自然资源开发利用活动、重要生态环境建设和生态破坏恢复工作。组织制定各类自然保护地生态环境监管制度并监督执法。</w:t>
      </w:r>
    </w:p>
    <w:p w14:paraId="35B5A108">
      <w:pPr>
        <w:spacing w:line="580" w:lineRule="exact"/>
        <w:ind w:firstLine="640"/>
        <w:jc w:val="both"/>
      </w:pPr>
      <w:r>
        <w:rPr>
          <w:rFonts w:ascii="仿宋_GB2312" w:hAnsi="仿宋_GB2312" w:eastAsia="仿宋_GB2312"/>
          <w:sz w:val="32"/>
        </w:rPr>
        <w:t>（六）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39A43613">
      <w:pPr>
        <w:spacing w:line="580" w:lineRule="exact"/>
        <w:ind w:firstLine="640"/>
        <w:jc w:val="both"/>
      </w:pPr>
      <w:r>
        <w:rPr>
          <w:rFonts w:ascii="仿宋_GB2312" w:hAnsi="仿宋_GB2312" w:eastAsia="仿宋_GB2312"/>
          <w:sz w:val="32"/>
        </w:rPr>
        <w:t>（七）负责生态环境准入的监督管理。受地区生态环境局委托按照国家、自治区和地区规定，负责规划环境影响评价、政策环境影响评价审查和项目环境影响评价审批。实施生态环境准入清单。</w:t>
      </w:r>
    </w:p>
    <w:p w14:paraId="4FC3ABBE">
      <w:pPr>
        <w:spacing w:line="580" w:lineRule="exact"/>
        <w:ind w:firstLine="640"/>
        <w:jc w:val="both"/>
      </w:pPr>
      <w:r>
        <w:rPr>
          <w:rFonts w:ascii="仿宋_GB2312" w:hAnsi="仿宋_GB2312" w:eastAsia="仿宋_GB2312"/>
          <w:sz w:val="32"/>
        </w:rPr>
        <w:t>（八）负责生态环境监测工作。会同有关部门统一规划县生态环境质量监测站点设置，组织实施生态环境监测、生态环境质量状况调查评价、考核、预警预测。执行生态环境质量公告制度，统一发布县域生态环境综合性报告和生态环境信息。</w:t>
      </w:r>
    </w:p>
    <w:p w14:paraId="2790EEAB">
      <w:pPr>
        <w:spacing w:line="580" w:lineRule="exact"/>
        <w:ind w:firstLine="640"/>
        <w:jc w:val="both"/>
      </w:pPr>
      <w:r>
        <w:rPr>
          <w:rFonts w:ascii="仿宋_GB2312" w:hAnsi="仿宋_GB2312" w:eastAsia="仿宋_GB2312"/>
          <w:sz w:val="32"/>
        </w:rPr>
        <w:t>（九）负责应对气候变化工作。组织协调实施应对气候变化及温室气体减排的规划和政策措施。协调组织应对气候变化对外合作和能力建设。</w:t>
      </w:r>
    </w:p>
    <w:p w14:paraId="175ABC45">
      <w:pPr>
        <w:spacing w:line="580" w:lineRule="exact"/>
        <w:ind w:firstLine="640"/>
        <w:jc w:val="both"/>
      </w:pPr>
      <w:r>
        <w:rPr>
          <w:rFonts w:ascii="仿宋_GB2312" w:hAnsi="仿宋_GB2312" w:eastAsia="仿宋_GB2312"/>
          <w:sz w:val="32"/>
        </w:rPr>
        <w:t>（十）负责生态环境监察工作。建立健全</w:t>
      </w:r>
      <w:r>
        <w:rPr>
          <w:rFonts w:hint="eastAsia" w:ascii="仿宋_GB2312" w:hAnsi="仿宋_GB2312" w:eastAsia="仿宋_GB2312"/>
          <w:sz w:val="32"/>
          <w:lang w:eastAsia="zh-CN"/>
        </w:rPr>
        <w:t>生态环境保护督察</w:t>
      </w:r>
      <w:r>
        <w:rPr>
          <w:rFonts w:ascii="仿宋_GB2312" w:hAnsi="仿宋_GB2312" w:eastAsia="仿宋_GB2312"/>
          <w:sz w:val="32"/>
        </w:rPr>
        <w:t>制度，根据授权对贯彻落实中央生态环境保护决策部署、自治区和地区工作要求情况进行监察问责。组织协调生态环境保护督察工作。</w:t>
      </w:r>
    </w:p>
    <w:p w14:paraId="4E3C42AE">
      <w:pPr>
        <w:spacing w:line="580" w:lineRule="exact"/>
        <w:ind w:firstLine="640"/>
        <w:jc w:val="both"/>
      </w:pPr>
      <w:r>
        <w:rPr>
          <w:rFonts w:ascii="仿宋_GB2312" w:hAnsi="仿宋_GB2312" w:eastAsia="仿宋_GB2312"/>
          <w:sz w:val="32"/>
        </w:rPr>
        <w:t>（十一）统一负责生态环境监督执法。组织开展生态环境保护执法检查活动，查处生态环境违法案件。负责环境信访投诉案件的办理。指导生态环境保护综合执法队伍建设和业务工作。</w:t>
      </w:r>
    </w:p>
    <w:p w14:paraId="14C0D161">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765341E8">
      <w:pPr>
        <w:spacing w:line="580" w:lineRule="exact"/>
        <w:ind w:firstLine="640"/>
        <w:jc w:val="both"/>
      </w:pPr>
      <w:r>
        <w:rPr>
          <w:rFonts w:ascii="仿宋_GB2312" w:hAnsi="仿宋_GB2312" w:eastAsia="仿宋_GB2312"/>
          <w:sz w:val="32"/>
        </w:rPr>
        <w:t>（十三）完成县委、县政府及地区生态环境局交办的其他工作任务。</w:t>
      </w:r>
    </w:p>
    <w:p w14:paraId="2E5996D7">
      <w:pPr>
        <w:spacing w:line="640" w:lineRule="exact"/>
        <w:ind w:firstLine="640"/>
        <w:jc w:val="both"/>
        <w:outlineLvl w:val="2"/>
      </w:pPr>
      <w:r>
        <w:rPr>
          <w:rFonts w:ascii="黑体" w:hAnsi="黑体" w:eastAsia="黑体"/>
          <w:sz w:val="32"/>
        </w:rPr>
        <w:t>二、机构设置及人员情况</w:t>
      </w:r>
    </w:p>
    <w:p w14:paraId="6C434087">
      <w:pPr>
        <w:spacing w:line="580" w:lineRule="exact"/>
        <w:ind w:firstLine="640"/>
        <w:jc w:val="both"/>
        <w:rPr>
          <w:sz w:val="30"/>
          <w:szCs w:val="30"/>
        </w:rPr>
      </w:pPr>
      <w:r>
        <w:rPr>
          <w:rFonts w:ascii="仿宋_GB2312" w:hAnsi="仿宋_GB2312" w:eastAsia="仿宋_GB2312"/>
          <w:sz w:val="32"/>
        </w:rPr>
        <w:t>喀什地区生态环境局叶城县分局2024年度，实有人数15人，其中：在职人员14人，减少</w:t>
      </w:r>
      <w:r>
        <w:rPr>
          <w:rFonts w:ascii="仿宋_GB2312" w:hAnsi="仿宋_GB2312" w:eastAsia="仿宋_GB2312"/>
          <w:sz w:val="30"/>
          <w:szCs w:val="30"/>
        </w:rPr>
        <w:t>2人；离休人员0人，增加0人；退休人员1人,减少1人。</w:t>
      </w:r>
    </w:p>
    <w:p w14:paraId="7A984B61">
      <w:pPr>
        <w:spacing w:line="580" w:lineRule="exact"/>
        <w:ind w:firstLine="640"/>
        <w:jc w:val="both"/>
      </w:pPr>
      <w:r>
        <w:rPr>
          <w:rFonts w:ascii="仿宋_GB2312" w:hAnsi="仿宋_GB2312" w:eastAsia="仿宋_GB2312"/>
          <w:sz w:val="32"/>
        </w:rPr>
        <w:t>喀什地区生态环境局叶城县分局无下属预算单位，下设2个科室，分别是：办公室、综合业务室。</w:t>
      </w:r>
    </w:p>
    <w:p w14:paraId="654062F0">
      <w:r>
        <w:br w:type="page"/>
      </w:r>
    </w:p>
    <w:p w14:paraId="397920CC">
      <w:pPr>
        <w:spacing w:line="240" w:lineRule="auto"/>
        <w:jc w:val="center"/>
        <w:outlineLvl w:val="1"/>
      </w:pPr>
      <w:r>
        <w:rPr>
          <w:rFonts w:ascii="黑体" w:hAnsi="黑体" w:eastAsia="黑体"/>
          <w:sz w:val="32"/>
        </w:rPr>
        <w:t>第二部分 部门决算情况说明</w:t>
      </w:r>
    </w:p>
    <w:p w14:paraId="5538804D">
      <w:pPr>
        <w:spacing w:line="640" w:lineRule="exact"/>
        <w:ind w:firstLine="640"/>
        <w:jc w:val="both"/>
        <w:outlineLvl w:val="2"/>
      </w:pPr>
      <w:r>
        <w:rPr>
          <w:rFonts w:ascii="黑体" w:hAnsi="黑体" w:eastAsia="黑体"/>
          <w:sz w:val="32"/>
        </w:rPr>
        <w:t>一、收入支出决算总体情况说明</w:t>
      </w:r>
    </w:p>
    <w:p w14:paraId="5300D330">
      <w:pPr>
        <w:spacing w:line="580" w:lineRule="exact"/>
        <w:ind w:firstLine="640"/>
        <w:jc w:val="both"/>
      </w:pPr>
      <w:r>
        <w:rPr>
          <w:rFonts w:ascii="仿宋_GB2312" w:hAnsi="仿宋_GB2312" w:eastAsia="仿宋_GB2312"/>
          <w:b/>
          <w:sz w:val="32"/>
        </w:rPr>
        <w:t>2024年度收入总计337.34万元，</w:t>
      </w:r>
      <w:r>
        <w:rPr>
          <w:rFonts w:ascii="仿宋_GB2312" w:hAnsi="仿宋_GB2312" w:eastAsia="仿宋_GB2312"/>
          <w:b w:val="0"/>
          <w:sz w:val="32"/>
        </w:rPr>
        <w:t>其中：本年收入合计337.34万元，使用非财政拨款结余（含专用结余）0.00万元，年初结转和结余0.00万元。</w:t>
      </w:r>
    </w:p>
    <w:p w14:paraId="1906A96C">
      <w:pPr>
        <w:spacing w:line="580" w:lineRule="exact"/>
        <w:ind w:firstLine="640"/>
        <w:jc w:val="both"/>
      </w:pPr>
      <w:r>
        <w:rPr>
          <w:rFonts w:ascii="仿宋_GB2312" w:hAnsi="仿宋_GB2312" w:eastAsia="仿宋_GB2312"/>
          <w:b/>
          <w:sz w:val="32"/>
        </w:rPr>
        <w:t>2024年度支出总计337.34万元，</w:t>
      </w:r>
      <w:r>
        <w:rPr>
          <w:rFonts w:ascii="仿宋_GB2312" w:hAnsi="仿宋_GB2312" w:eastAsia="仿宋_GB2312"/>
          <w:b w:val="0"/>
          <w:sz w:val="32"/>
        </w:rPr>
        <w:t>其中：本年支出合计337.34万元，结余分配0.00万元，年末结转和结余0.00万元。</w:t>
      </w:r>
    </w:p>
    <w:p w14:paraId="1F6E0C6A">
      <w:pPr>
        <w:spacing w:line="580" w:lineRule="exact"/>
        <w:ind w:firstLine="640"/>
        <w:jc w:val="both"/>
      </w:pPr>
      <w:r>
        <w:rPr>
          <w:rFonts w:ascii="仿宋_GB2312" w:hAnsi="仿宋_GB2312" w:eastAsia="仿宋_GB2312"/>
          <w:b w:val="0"/>
          <w:sz w:val="32"/>
        </w:rPr>
        <w:t>收入支出总体与上年相比，减少63.12万元，下降15.76%，主要原因是：本年减少行政执法费用及行政审批局办公楼公摊费用、叶城县2023年县域生态环境质量监测等项目经费，导致相关经费减少。</w:t>
      </w:r>
    </w:p>
    <w:p w14:paraId="527C1C27">
      <w:pPr>
        <w:spacing w:line="640" w:lineRule="exact"/>
        <w:ind w:firstLine="640"/>
        <w:jc w:val="both"/>
        <w:outlineLvl w:val="2"/>
      </w:pPr>
      <w:r>
        <w:rPr>
          <w:rFonts w:ascii="黑体" w:hAnsi="黑体" w:eastAsia="黑体"/>
          <w:sz w:val="32"/>
        </w:rPr>
        <w:t>二、收入决算情况说明</w:t>
      </w:r>
    </w:p>
    <w:p w14:paraId="37DC8A20">
      <w:pPr>
        <w:spacing w:line="580" w:lineRule="exact"/>
        <w:ind w:firstLine="640"/>
        <w:jc w:val="both"/>
      </w:pPr>
      <w:r>
        <w:rPr>
          <w:rFonts w:ascii="仿宋_GB2312" w:hAnsi="仿宋_GB2312" w:eastAsia="仿宋_GB2312"/>
          <w:b/>
          <w:sz w:val="32"/>
        </w:rPr>
        <w:t>本年收入337.34万元，</w:t>
      </w:r>
      <w:r>
        <w:rPr>
          <w:rFonts w:ascii="仿宋_GB2312" w:hAnsi="仿宋_GB2312" w:eastAsia="仿宋_GB2312"/>
          <w:b w:val="0"/>
          <w:sz w:val="32"/>
        </w:rPr>
        <w:t>其中：财政拨款收入337.34万元，占100.00%；上级补助收入0.00万元，占0.00%；事业收入0.00万元，占0.00%；经营收入0.00万元，占0.00%；附属单位上缴收入0.00万元，占0.00%；其他收入0.00万元，占0.00%。</w:t>
      </w:r>
    </w:p>
    <w:p w14:paraId="48731739">
      <w:pPr>
        <w:spacing w:line="640" w:lineRule="exact"/>
        <w:ind w:firstLine="640"/>
        <w:jc w:val="both"/>
        <w:outlineLvl w:val="2"/>
      </w:pPr>
      <w:r>
        <w:rPr>
          <w:rFonts w:ascii="黑体" w:hAnsi="黑体" w:eastAsia="黑体"/>
          <w:sz w:val="32"/>
        </w:rPr>
        <w:t>三、支出决算情况说明</w:t>
      </w:r>
    </w:p>
    <w:p w14:paraId="24DC8019">
      <w:pPr>
        <w:spacing w:line="580" w:lineRule="exact"/>
        <w:ind w:firstLine="640"/>
        <w:jc w:val="both"/>
      </w:pPr>
      <w:r>
        <w:rPr>
          <w:rFonts w:ascii="仿宋_GB2312" w:hAnsi="仿宋_GB2312" w:eastAsia="仿宋_GB2312"/>
          <w:b/>
          <w:sz w:val="32"/>
        </w:rPr>
        <w:t>本年支出337.34万元，</w:t>
      </w:r>
      <w:r>
        <w:rPr>
          <w:rFonts w:ascii="仿宋_GB2312" w:hAnsi="仿宋_GB2312" w:eastAsia="仿宋_GB2312"/>
          <w:b w:val="0"/>
          <w:sz w:val="32"/>
        </w:rPr>
        <w:t>其中：基本支出337.34万元，占100.00%；项目支出0.00万元，占0.00%；上缴上级支出0.00万元，占0.00%；经营支出0.00万元，占0.00%；对附属单位补助支出0.00万元，占0.00%。</w:t>
      </w:r>
    </w:p>
    <w:p w14:paraId="0CB7ECD0">
      <w:pPr>
        <w:spacing w:line="640" w:lineRule="exact"/>
        <w:ind w:firstLine="640"/>
        <w:jc w:val="both"/>
        <w:outlineLvl w:val="2"/>
      </w:pPr>
      <w:r>
        <w:rPr>
          <w:rFonts w:ascii="黑体" w:hAnsi="黑体" w:eastAsia="黑体"/>
          <w:sz w:val="32"/>
        </w:rPr>
        <w:t>四、财政拨款收入支出决算总体情况说明</w:t>
      </w:r>
    </w:p>
    <w:p w14:paraId="33030C81">
      <w:pPr>
        <w:spacing w:line="580" w:lineRule="exact"/>
        <w:ind w:firstLine="640"/>
        <w:jc w:val="both"/>
      </w:pPr>
      <w:r>
        <w:rPr>
          <w:rFonts w:ascii="仿宋_GB2312" w:hAnsi="仿宋_GB2312" w:eastAsia="仿宋_GB2312"/>
          <w:b/>
          <w:sz w:val="32"/>
        </w:rPr>
        <w:t>2024年度财政拨款收入总计337.34万元，</w:t>
      </w:r>
      <w:r>
        <w:rPr>
          <w:rFonts w:ascii="仿宋_GB2312" w:hAnsi="仿宋_GB2312" w:eastAsia="仿宋_GB2312"/>
          <w:b w:val="0"/>
          <w:sz w:val="32"/>
        </w:rPr>
        <w:t>其中：年初财政拨款结转和结余0.00万元，本年财政拨款收入337.34万元。</w:t>
      </w:r>
      <w:r>
        <w:rPr>
          <w:rFonts w:ascii="仿宋_GB2312" w:hAnsi="仿宋_GB2312" w:eastAsia="仿宋_GB2312"/>
          <w:b/>
          <w:sz w:val="32"/>
        </w:rPr>
        <w:t>财政拨款支出总计337.34万元，</w:t>
      </w:r>
      <w:r>
        <w:rPr>
          <w:rFonts w:ascii="仿宋_GB2312" w:hAnsi="仿宋_GB2312" w:eastAsia="仿宋_GB2312"/>
          <w:b w:val="0"/>
          <w:sz w:val="32"/>
        </w:rPr>
        <w:t>其中：年末财政拨款结转和结余0.00万元，本年财政拨款支出337.34万元。</w:t>
      </w:r>
    </w:p>
    <w:p w14:paraId="1CED32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减少63.12万元，下降15.76%，主要原因是：本年减少行政执法费用及行政审批局办公楼公摊费用、叶城县2023年县域生态环境质量监测等项目经费，导致相关经费减少。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年初预算数367.62万元，决算数337.34万元，预决算差异率-8.24%，主要原因是：本年在职人员减少，年中调减人员经费，导致预决算存在差异。</w:t>
      </w:r>
    </w:p>
    <w:p w14:paraId="570C1DEE">
      <w:pPr>
        <w:spacing w:line="640" w:lineRule="exact"/>
        <w:ind w:firstLine="640"/>
        <w:jc w:val="both"/>
        <w:outlineLvl w:val="2"/>
      </w:pPr>
      <w:r>
        <w:rPr>
          <w:rFonts w:ascii="黑体" w:hAnsi="黑体" w:eastAsia="黑体"/>
          <w:sz w:val="32"/>
        </w:rPr>
        <w:t>五、一般公共预算财政拨款支出决算情况说明</w:t>
      </w:r>
    </w:p>
    <w:p w14:paraId="117FD386">
      <w:pPr>
        <w:spacing w:line="640" w:lineRule="exact"/>
        <w:ind w:firstLine="640"/>
        <w:jc w:val="both"/>
        <w:outlineLvl w:val="3"/>
      </w:pPr>
      <w:r>
        <w:rPr>
          <w:rFonts w:ascii="楷体_GB2312" w:hAnsi="楷体_GB2312" w:eastAsia="楷体_GB2312"/>
          <w:b/>
          <w:sz w:val="32"/>
        </w:rPr>
        <w:t>（一）一般公共预算财政拨款支出决算总体情况</w:t>
      </w:r>
    </w:p>
    <w:p w14:paraId="7FDB2BBE">
      <w:pPr>
        <w:spacing w:line="580" w:lineRule="exact"/>
        <w:ind w:firstLine="640"/>
        <w:jc w:val="both"/>
      </w:pPr>
      <w:r>
        <w:rPr>
          <w:rFonts w:ascii="仿宋_GB2312" w:hAnsi="仿宋_GB2312" w:eastAsia="仿宋_GB2312"/>
          <w:b/>
          <w:sz w:val="32"/>
        </w:rPr>
        <w:t>2024年度一般公共预算财政拨款支出337.34万元，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减少63.12万元，下降15.76%，主要原因是：本年减少行政执法费用及行政审批局办公楼公摊费用、叶城县2023年县域生态环境质量监测等项目经费，导致相关经费减少。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年初预算数367.62万元，决算数337.34万元，预决算差异率-8.24%，主要原因是：本年在职人员减少，年中调减人员经费，导致预决算存在差异。</w:t>
      </w:r>
    </w:p>
    <w:p w14:paraId="4F7CA4B5">
      <w:pPr>
        <w:spacing w:line="640" w:lineRule="exact"/>
        <w:ind w:firstLine="640"/>
        <w:jc w:val="both"/>
        <w:outlineLvl w:val="3"/>
      </w:pPr>
      <w:r>
        <w:rPr>
          <w:rFonts w:ascii="楷体_GB2312" w:hAnsi="楷体_GB2312" w:eastAsia="楷体_GB2312"/>
          <w:b/>
          <w:sz w:val="32"/>
        </w:rPr>
        <w:t>（二）一般公共预算财政拨款支出决算结构情况</w:t>
      </w:r>
    </w:p>
    <w:p w14:paraId="671245FF">
      <w:pPr>
        <w:spacing w:line="580" w:lineRule="exact"/>
        <w:ind w:firstLine="640"/>
        <w:jc w:val="both"/>
      </w:pPr>
      <w:r>
        <w:rPr>
          <w:rFonts w:ascii="仿宋_GB2312" w:hAnsi="仿宋_GB2312" w:eastAsia="仿宋_GB2312"/>
          <w:b w:val="0"/>
          <w:sz w:val="32"/>
        </w:rPr>
        <w:t>1.社会保障和就业支出(类)35.31万元,占10.47%。</w:t>
      </w:r>
    </w:p>
    <w:p w14:paraId="3CF8AAED">
      <w:pPr>
        <w:spacing w:line="580" w:lineRule="exact"/>
        <w:ind w:firstLine="640"/>
        <w:jc w:val="both"/>
      </w:pPr>
      <w:r>
        <w:rPr>
          <w:rFonts w:ascii="仿宋_GB2312" w:hAnsi="仿宋_GB2312" w:eastAsia="仿宋_GB2312"/>
          <w:b w:val="0"/>
          <w:sz w:val="32"/>
        </w:rPr>
        <w:t>2.卫生健康支出(类)17.18万元,占5.09%。</w:t>
      </w:r>
    </w:p>
    <w:p w14:paraId="117D4FF0">
      <w:pPr>
        <w:spacing w:line="580" w:lineRule="exact"/>
        <w:ind w:firstLine="640"/>
        <w:jc w:val="both"/>
      </w:pPr>
      <w:r>
        <w:rPr>
          <w:rFonts w:ascii="仿宋_GB2312" w:hAnsi="仿宋_GB2312" w:eastAsia="仿宋_GB2312"/>
          <w:b w:val="0"/>
          <w:sz w:val="32"/>
        </w:rPr>
        <w:t>3.节能环保支出(类)258.07万元,占76.50%。</w:t>
      </w:r>
    </w:p>
    <w:p w14:paraId="1F1C6014">
      <w:pPr>
        <w:spacing w:line="580" w:lineRule="exact"/>
        <w:ind w:firstLine="640"/>
        <w:jc w:val="both"/>
      </w:pPr>
      <w:r>
        <w:rPr>
          <w:rFonts w:ascii="仿宋_GB2312" w:hAnsi="仿宋_GB2312" w:eastAsia="仿宋_GB2312"/>
          <w:b w:val="0"/>
          <w:sz w:val="32"/>
        </w:rPr>
        <w:t>4.住房保障支出(类)26.78万元,占7.94%。</w:t>
      </w:r>
    </w:p>
    <w:p w14:paraId="7F5E0CBE">
      <w:pPr>
        <w:spacing w:line="640" w:lineRule="exact"/>
        <w:ind w:firstLine="640"/>
        <w:jc w:val="both"/>
        <w:outlineLvl w:val="3"/>
      </w:pPr>
      <w:r>
        <w:rPr>
          <w:rFonts w:ascii="楷体_GB2312" w:hAnsi="楷体_GB2312" w:eastAsia="楷体_GB2312"/>
          <w:b/>
          <w:sz w:val="32"/>
        </w:rPr>
        <w:t>（三）一般公共预算财政拨款支出决算具体情况</w:t>
      </w:r>
    </w:p>
    <w:p w14:paraId="712E489D">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1.社会保障和就业支出(类)行政事业单位养老支出(款)行政单位离退休(项):支出决算数为0.42万元，比上年决算减少1.91万元，下降81.97%,主要原因是：本年退休人员自然减员，行政单位离退休经费较上年减少。</w:t>
      </w:r>
    </w:p>
    <w:p w14:paraId="568A787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34.11万元，比上年决算增加8.70万元，增长34.24%,主要原因是：本年在职人员工资基数调增，养老缴费基数上涨，相应支出增加。</w:t>
      </w:r>
    </w:p>
    <w:p w14:paraId="4291C10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3.社会保障和就业支出(类)行政事业单位养老支出(款)机关事业单位职业年金缴费支出(项):支出决算数为0.78万元，比上年决算增加0.78万元，增长100.00%,主要原因是：本年新增退休人员，职业年金缴费支出增加。</w:t>
      </w:r>
    </w:p>
    <w:p w14:paraId="2185C458">
      <w:pPr>
        <w:spacing w:line="580" w:lineRule="exact"/>
        <w:ind w:firstLine="640"/>
        <w:jc w:val="both"/>
      </w:pPr>
      <w:r>
        <w:rPr>
          <w:rFonts w:ascii="仿宋_GB2312" w:hAnsi="仿宋_GB2312" w:eastAsia="仿宋_GB2312"/>
          <w:b w:val="0"/>
          <w:sz w:val="32"/>
        </w:rPr>
        <w:t>4.卫生健康支出(类)行政事业单位医疗(款)行政单位医疗(项):支出决算数为14.63万元，比上年决算增加3.83万元，增长35.46%,主要原因是：本年在职人员工资基数调增，医疗缴费基数上涨，相应支出增加。</w:t>
      </w:r>
    </w:p>
    <w:p w14:paraId="50CC4E7D">
      <w:pPr>
        <w:spacing w:line="580" w:lineRule="exact"/>
        <w:ind w:firstLine="640"/>
        <w:jc w:val="both"/>
      </w:pPr>
      <w:r>
        <w:rPr>
          <w:rFonts w:ascii="仿宋_GB2312" w:hAnsi="仿宋_GB2312" w:eastAsia="仿宋_GB2312"/>
          <w:b w:val="0"/>
          <w:sz w:val="32"/>
        </w:rPr>
        <w:t>5.卫生健康支出(类)行政事业单位医疗(款)公务员医疗补助(项):支出决算数为2.55万元，比上年决算增加0.65万元，增长34.21%,主要原因是：本年在职人员工资基数调增，医疗缴费基数上涨，相应支出增加。</w:t>
      </w:r>
    </w:p>
    <w:p w14:paraId="60ECB1A5">
      <w:pPr>
        <w:spacing w:line="580" w:lineRule="exact"/>
        <w:ind w:firstLine="640"/>
        <w:jc w:val="both"/>
      </w:pPr>
      <w:r>
        <w:rPr>
          <w:rFonts w:ascii="仿宋_GB2312" w:hAnsi="仿宋_GB2312" w:eastAsia="仿宋_GB2312"/>
          <w:b w:val="0"/>
          <w:sz w:val="32"/>
        </w:rPr>
        <w:t>6.节能环保支出(类)环境保护管理事务(款)行政运行(项):支出决算数为258.07万元，比上年决算减少17.76万元，下降6.44%,主要原因是：本年在职人员减少，相应人员经费较上年减少。</w:t>
      </w:r>
    </w:p>
    <w:p w14:paraId="5E7CB596">
      <w:pPr>
        <w:spacing w:line="580" w:lineRule="exact"/>
        <w:ind w:firstLine="640"/>
        <w:jc w:val="both"/>
      </w:pPr>
      <w:r>
        <w:rPr>
          <w:rFonts w:ascii="仿宋_GB2312" w:hAnsi="仿宋_GB2312" w:eastAsia="仿宋_GB2312"/>
          <w:b w:val="0"/>
          <w:sz w:val="32"/>
        </w:rPr>
        <w:t>7.节能环保支出(类)环境保护管理事务(款)其他环境保护管理事务支出(项):支出决算数为0.00万元，比上年决算减少16.84万元，下降100.00%,主要原因是：本年减少行政执法费用及行政审批局办公楼公摊费用项目经费，导致相关经费减少。</w:t>
      </w:r>
    </w:p>
    <w:p w14:paraId="625562BC">
      <w:pPr>
        <w:spacing w:line="580" w:lineRule="exact"/>
        <w:ind w:firstLine="640"/>
        <w:jc w:val="both"/>
      </w:pPr>
      <w:r>
        <w:rPr>
          <w:rFonts w:ascii="仿宋_GB2312" w:hAnsi="仿宋_GB2312" w:eastAsia="仿宋_GB2312"/>
          <w:b w:val="0"/>
          <w:sz w:val="32"/>
        </w:rPr>
        <w:t>8.节能环保支出(类)污染减排(款)生态环境监测与信息(项):支出决算数为0.00万元，比上年决算减少48.28万元，下降100.00%,主要原因是：本年减少叶城县2023年县域生态环境质量监测项目经费，导致相关经费减少。</w:t>
      </w:r>
    </w:p>
    <w:p w14:paraId="41F3E2D1">
      <w:pPr>
        <w:spacing w:line="580" w:lineRule="exact"/>
        <w:ind w:firstLine="640"/>
        <w:jc w:val="both"/>
      </w:pPr>
      <w:r>
        <w:rPr>
          <w:rFonts w:ascii="仿宋_GB2312" w:hAnsi="仿宋_GB2312" w:eastAsia="仿宋_GB2312"/>
          <w:b w:val="0"/>
          <w:sz w:val="32"/>
        </w:rPr>
        <w:t>9.住房保障支出(类)住房改革支出(款)住房公积金(项):支出决算数为26.78万元，比上年决算增加7.72万元，增长40.50%,主要原因是：本年在职人员工资基数调增，公积金缴费基数上涨，相应支出增加。</w:t>
      </w:r>
    </w:p>
    <w:p w14:paraId="3E4B5114">
      <w:pPr>
        <w:spacing w:line="640" w:lineRule="exact"/>
        <w:ind w:firstLine="640"/>
        <w:jc w:val="both"/>
        <w:outlineLvl w:val="2"/>
      </w:pPr>
      <w:r>
        <w:rPr>
          <w:rFonts w:ascii="黑体" w:hAnsi="黑体" w:eastAsia="黑体"/>
          <w:sz w:val="32"/>
        </w:rPr>
        <w:t>六、一般公共预算财政拨款基本支出决算情况说明</w:t>
      </w:r>
    </w:p>
    <w:p w14:paraId="34C934B6">
      <w:pPr>
        <w:spacing w:line="580" w:lineRule="exact"/>
        <w:ind w:firstLine="640"/>
        <w:jc w:val="both"/>
      </w:pPr>
      <w:r>
        <w:rPr>
          <w:rFonts w:ascii="仿宋_GB2312" w:hAnsi="仿宋_GB2312" w:eastAsia="仿宋_GB2312"/>
          <w:b w:val="0"/>
          <w:sz w:val="32"/>
        </w:rPr>
        <w:t>2024年度一般公共预算财政拨款基本支出337.34万元，其中：</w:t>
      </w:r>
      <w:r>
        <w:rPr>
          <w:rFonts w:ascii="仿宋_GB2312" w:hAnsi="仿宋_GB2312" w:eastAsia="仿宋_GB2312"/>
          <w:b/>
          <w:sz w:val="32"/>
        </w:rPr>
        <w:t>人员经费315.74万元，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619628B3">
      <w:pPr>
        <w:spacing w:line="580" w:lineRule="exact"/>
        <w:ind w:firstLine="640"/>
        <w:jc w:val="both"/>
      </w:pPr>
      <w:r>
        <w:rPr>
          <w:rFonts w:ascii="仿宋_GB2312" w:hAnsi="仿宋_GB2312" w:eastAsia="仿宋_GB2312"/>
          <w:b/>
          <w:sz w:val="32"/>
        </w:rPr>
        <w:t>公用经费21.60万元，</w:t>
      </w:r>
      <w:r>
        <w:rPr>
          <w:rFonts w:ascii="仿宋_GB2312" w:hAnsi="仿宋_GB2312" w:eastAsia="仿宋_GB2312"/>
          <w:b w:val="0"/>
          <w:sz w:val="32"/>
        </w:rPr>
        <w:t>包括：办公费、水费、电费、邮电费、取暖费、差旅费、专用材料费、委托业务费、工会经费、公务用车运行维护费。</w:t>
      </w:r>
    </w:p>
    <w:p w14:paraId="5F6B5B97">
      <w:pPr>
        <w:spacing w:line="640" w:lineRule="exact"/>
        <w:ind w:firstLine="640"/>
        <w:jc w:val="both"/>
        <w:outlineLvl w:val="2"/>
      </w:pPr>
      <w:r>
        <w:rPr>
          <w:rFonts w:ascii="黑体" w:hAnsi="黑体" w:eastAsia="黑体"/>
          <w:sz w:val="32"/>
        </w:rPr>
        <w:t>七、政府性基金预算财政拨款收入支出决算情况说明</w:t>
      </w:r>
    </w:p>
    <w:p w14:paraId="22E6CA0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463047A">
      <w:pPr>
        <w:spacing w:line="640" w:lineRule="exact"/>
        <w:ind w:firstLine="640"/>
        <w:jc w:val="both"/>
        <w:outlineLvl w:val="2"/>
      </w:pPr>
      <w:r>
        <w:rPr>
          <w:rFonts w:ascii="黑体" w:hAnsi="黑体" w:eastAsia="黑体"/>
          <w:sz w:val="32"/>
        </w:rPr>
        <w:t>八、国有资本经营预算财政拨款收入支出决算情况说明</w:t>
      </w:r>
    </w:p>
    <w:p w14:paraId="1C7529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859162">
      <w:pPr>
        <w:spacing w:line="640" w:lineRule="exact"/>
        <w:ind w:firstLine="640"/>
        <w:jc w:val="both"/>
        <w:outlineLvl w:val="2"/>
      </w:pPr>
      <w:r>
        <w:rPr>
          <w:rFonts w:ascii="黑体" w:hAnsi="黑体" w:eastAsia="黑体"/>
          <w:sz w:val="32"/>
        </w:rPr>
        <w:t>九、财政拨款“三公”经费支出决算情况说明</w:t>
      </w:r>
    </w:p>
    <w:p w14:paraId="0046BC67">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1.75万元，增长140.00%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3.00万元，占100.00%，比上年增加1.75万元，增长140.00%，主要原因是：本单位公务用车日渐老化，维修维护成本增加，导致公务用车运行维护费较上年增加。公务接待费支出0.00万元，占0.00%，比上年增加0.00万元，增长0.00%，主要原因是：2023年与2024年均未安排公务接待费支出。</w:t>
      </w:r>
    </w:p>
    <w:p w14:paraId="55D5716D">
      <w:pPr>
        <w:spacing w:line="580" w:lineRule="exact"/>
        <w:ind w:firstLine="640"/>
        <w:jc w:val="both"/>
      </w:pPr>
      <w:r>
        <w:rPr>
          <w:rFonts w:ascii="仿宋_GB2312" w:hAnsi="仿宋_GB2312" w:eastAsia="仿宋_GB2312"/>
          <w:b/>
          <w:sz w:val="32"/>
        </w:rPr>
        <w:t>具体情况如下：</w:t>
      </w:r>
    </w:p>
    <w:p w14:paraId="1810F18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943F1A1">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维修费、车辆保险费。公务用车购置数0辆，公务用车保有量2辆。国有资产占用情况中固定资产车辆2辆，与公务用车保有量差异原因是：本单位固定资产车辆与公务用车保有量一致无差异。</w:t>
      </w:r>
    </w:p>
    <w:p w14:paraId="029597D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61462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4BC8A022">
      <w:pPr>
        <w:spacing w:line="640" w:lineRule="exact"/>
        <w:ind w:firstLine="640"/>
        <w:jc w:val="both"/>
        <w:outlineLvl w:val="2"/>
      </w:pPr>
      <w:r>
        <w:rPr>
          <w:rFonts w:ascii="黑体" w:hAnsi="黑体" w:eastAsia="黑体"/>
          <w:sz w:val="32"/>
        </w:rPr>
        <w:t>十、其他重要事项的情况说明</w:t>
      </w:r>
    </w:p>
    <w:p w14:paraId="0615E0CC">
      <w:pPr>
        <w:spacing w:line="640" w:lineRule="exact"/>
        <w:ind w:firstLine="640"/>
        <w:jc w:val="both"/>
        <w:outlineLvl w:val="3"/>
      </w:pPr>
      <w:r>
        <w:rPr>
          <w:rFonts w:ascii="楷体_GB2312" w:hAnsi="楷体_GB2312" w:eastAsia="楷体_GB2312"/>
          <w:b/>
          <w:sz w:val="32"/>
        </w:rPr>
        <w:t>（一）机关运行经费及公用经费支出情况</w:t>
      </w:r>
    </w:p>
    <w:p w14:paraId="5BDA9D8E">
      <w:pPr>
        <w:spacing w:line="580" w:lineRule="exact"/>
        <w:ind w:firstLine="640"/>
        <w:jc w:val="both"/>
      </w:pPr>
      <w:r>
        <w:rPr>
          <w:rFonts w:ascii="仿宋_GB2312" w:hAnsi="仿宋_GB2312" w:eastAsia="仿宋_GB2312"/>
          <w:b w:val="0"/>
          <w:sz w:val="32"/>
        </w:rPr>
        <w:t>2024年度喀什地区生态环境局叶城县分局（行政单位和参照公务员法管理事业单位）机关运行经费支出21.60万元，比上年增加15.54万元，增长256.44%，主要原因是：本年增加取暖费、专用材料费等经费，导致机关运行经费增加。</w:t>
      </w:r>
    </w:p>
    <w:p w14:paraId="2756333F">
      <w:pPr>
        <w:spacing w:line="640" w:lineRule="exact"/>
        <w:ind w:firstLine="640"/>
        <w:jc w:val="both"/>
        <w:outlineLvl w:val="3"/>
      </w:pPr>
      <w:r>
        <w:rPr>
          <w:rFonts w:ascii="楷体_GB2312" w:hAnsi="楷体_GB2312" w:eastAsia="楷体_GB2312"/>
          <w:b/>
          <w:sz w:val="32"/>
        </w:rPr>
        <w:t>（二）政府采购情况</w:t>
      </w:r>
    </w:p>
    <w:p w14:paraId="58F9E716">
      <w:pPr>
        <w:spacing w:line="580" w:lineRule="exact"/>
        <w:ind w:firstLine="640"/>
        <w:jc w:val="both"/>
      </w:pPr>
      <w:r>
        <w:rPr>
          <w:rFonts w:ascii="仿宋_GB2312" w:hAnsi="仿宋_GB2312" w:eastAsia="仿宋_GB2312"/>
          <w:b w:val="0"/>
          <w:sz w:val="32"/>
        </w:rPr>
        <w:t>2024年度政府采购支出总额5.27万元，其中：政府采购货物支出3.56万元、政府采购工程支出0.00万元、政府采购服务支出1.72万元。</w:t>
      </w:r>
    </w:p>
    <w:p w14:paraId="54061433">
      <w:pPr>
        <w:spacing w:line="580" w:lineRule="exact"/>
        <w:ind w:firstLine="640"/>
        <w:jc w:val="both"/>
      </w:pPr>
      <w:r>
        <w:rPr>
          <w:rFonts w:ascii="仿宋_GB2312" w:hAnsi="仿宋_GB2312" w:eastAsia="仿宋_GB2312"/>
          <w:b w:val="0"/>
          <w:sz w:val="32"/>
        </w:rPr>
        <w:t>授予中小企业合同金额5.27万元，占政府采购支出总额的100.00%，其中：授予小微企业合同金额4.56万元，占政府采购支出总额的86.53%。</w:t>
      </w:r>
    </w:p>
    <w:p w14:paraId="4196782A">
      <w:pPr>
        <w:spacing w:line="640" w:lineRule="exact"/>
        <w:ind w:firstLine="640"/>
        <w:jc w:val="both"/>
        <w:outlineLvl w:val="3"/>
      </w:pPr>
      <w:r>
        <w:rPr>
          <w:rFonts w:ascii="楷体_GB2312" w:hAnsi="楷体_GB2312" w:eastAsia="楷体_GB2312"/>
          <w:b/>
          <w:sz w:val="32"/>
        </w:rPr>
        <w:t>（三）国有资产占用情况说明</w:t>
      </w:r>
    </w:p>
    <w:p w14:paraId="53352161">
      <w:pPr>
        <w:spacing w:line="580" w:lineRule="exact"/>
        <w:ind w:firstLine="640"/>
        <w:jc w:val="both"/>
      </w:pPr>
      <w:r>
        <w:rPr>
          <w:rFonts w:ascii="仿宋_GB2312" w:hAnsi="仿宋_GB2312" w:eastAsia="仿宋_GB2312"/>
          <w:b w:val="0"/>
          <w:sz w:val="32"/>
        </w:rPr>
        <w:t>截至2024年12月31日，房屋20.00平方米，价值15.22万元。车辆2辆，价值36.00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BF96BF9">
      <w:pPr>
        <w:spacing w:line="640" w:lineRule="exact"/>
        <w:ind w:firstLine="640"/>
        <w:jc w:val="both"/>
        <w:outlineLvl w:val="2"/>
      </w:pPr>
      <w:r>
        <w:rPr>
          <w:rFonts w:ascii="黑体" w:hAnsi="黑体" w:eastAsia="黑体"/>
          <w:sz w:val="32"/>
        </w:rPr>
        <w:t>十一、预算绩效的情况说明</w:t>
      </w:r>
    </w:p>
    <w:p w14:paraId="1923A8D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337.34万元，实际执行总额337.34万元；预算绩效评价项目0个，全年预算数0.00万元，全年执行数0.00万元。预算绩效管理取得的成效：一是提升日常经费使用效率，杜绝浪费，集中保障核心履职；二是量化履职效能，优化服务质量</w:t>
      </w:r>
      <w:r>
        <w:rPr>
          <w:rFonts w:hint="eastAsia" w:ascii="仿宋_GB2312" w:hAnsi="仿宋_GB2312" w:eastAsia="仿宋_GB2312"/>
          <w:b w:val="0"/>
          <w:sz w:val="32"/>
          <w:lang w:eastAsia="zh-CN"/>
        </w:rPr>
        <w:t>，</w:t>
      </w:r>
      <w:r>
        <w:rPr>
          <w:rFonts w:ascii="仿宋_GB2312" w:hAnsi="仿宋_GB2312" w:eastAsia="仿宋_GB2312"/>
          <w:b w:val="0"/>
          <w:sz w:val="32"/>
        </w:rPr>
        <w:t>缩短办事时长、提高办结率；三是强化责任意识，推动流程优化，降低行政内耗。发现的问题及原因：一是因人员业务能力欠缺，经费支付办理进度缓慢；二是激励约束弱，经费使用与履职成效关联不紧，动力不足。下一步改进措施：一是细化可量化指标，如服务响应时长、群众满意度等，增强考核针对性。二是强化结果应用，将绩效与经费、评优挂钩，压实责任。三是加强培训宣传，提升全员绩效意识，规范日常管理。具体附整体支出绩效自评表。</w:t>
      </w:r>
    </w:p>
    <w:p w14:paraId="759E4D4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9707F6B">
        <w:tblPrEx>
          <w:tblCellMar>
            <w:top w:w="0" w:type="dxa"/>
            <w:left w:w="108" w:type="dxa"/>
            <w:bottom w:w="0" w:type="dxa"/>
            <w:right w:w="108" w:type="dxa"/>
          </w:tblCellMar>
        </w:tblPrEx>
        <w:tc>
          <w:tcPr>
            <w:tcW w:w="8847" w:type="dxa"/>
            <w:gridSpan w:val="9"/>
            <w:vAlign w:val="center"/>
          </w:tcPr>
          <w:p w14:paraId="24472F0C">
            <w:pPr>
              <w:jc w:val="center"/>
            </w:pPr>
            <w:r>
              <w:rPr>
                <w:rFonts w:ascii="宋体" w:hAnsi="宋体" w:eastAsia="宋体"/>
                <w:sz w:val="24"/>
              </w:rPr>
              <w:t>单位整体支出绩效自评表</w:t>
            </w:r>
          </w:p>
        </w:tc>
      </w:tr>
      <w:tr w14:paraId="5BD77B7C">
        <w:tblPrEx>
          <w:tblCellMar>
            <w:top w:w="0" w:type="dxa"/>
            <w:left w:w="108" w:type="dxa"/>
            <w:bottom w:w="0" w:type="dxa"/>
            <w:right w:w="108" w:type="dxa"/>
          </w:tblCellMar>
        </w:tblPrEx>
        <w:tc>
          <w:tcPr>
            <w:tcW w:w="8847" w:type="dxa"/>
            <w:gridSpan w:val="9"/>
            <w:vAlign w:val="center"/>
          </w:tcPr>
          <w:p w14:paraId="37291BEF">
            <w:pPr>
              <w:jc w:val="center"/>
            </w:pPr>
            <w:r>
              <w:rPr>
                <w:rFonts w:ascii="宋体" w:hAnsi="宋体" w:eastAsia="宋体"/>
                <w:sz w:val="24"/>
              </w:rPr>
              <w:t>（2024年度）</w:t>
            </w:r>
          </w:p>
        </w:tc>
      </w:tr>
      <w:tr w14:paraId="3CC0EA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29F8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44D01F">
            <w:pPr>
              <w:jc w:val="center"/>
            </w:pPr>
            <w:r>
              <w:rPr>
                <w:rFonts w:ascii="宋体" w:hAnsi="宋体" w:eastAsia="宋体"/>
                <w:sz w:val="16"/>
              </w:rPr>
              <w:t>喀什地区生态环境局叶城县分局</w:t>
            </w:r>
          </w:p>
        </w:tc>
      </w:tr>
      <w:tr w14:paraId="2DB6F4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60A5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1728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858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DC9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4A0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8607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EE53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EFEA5">
            <w:pPr>
              <w:jc w:val="center"/>
            </w:pPr>
            <w:r>
              <w:rPr>
                <w:rFonts w:ascii="宋体" w:hAnsi="宋体" w:eastAsia="宋体"/>
                <w:sz w:val="16"/>
              </w:rPr>
              <w:t>得分</w:t>
            </w:r>
          </w:p>
        </w:tc>
      </w:tr>
      <w:tr w14:paraId="4CE550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CB5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596A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78B85">
            <w:pPr>
              <w:jc w:val="center"/>
            </w:pPr>
            <w:r>
              <w:rPr>
                <w:rFonts w:ascii="宋体" w:hAnsi="宋体" w:eastAsia="宋体"/>
                <w:sz w:val="16"/>
              </w:rPr>
              <w:t>367.62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89F48">
            <w:pPr>
              <w:jc w:val="center"/>
            </w:pPr>
            <w:r>
              <w:rPr>
                <w:rFonts w:ascii="宋体" w:hAnsi="宋体" w:eastAsia="宋体"/>
                <w:sz w:val="16"/>
              </w:rPr>
              <w:t>337.34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6E3A8">
            <w:pPr>
              <w:jc w:val="center"/>
            </w:pPr>
            <w:r>
              <w:rPr>
                <w:rFonts w:ascii="宋体" w:hAnsi="宋体" w:eastAsia="宋体"/>
                <w:sz w:val="16"/>
              </w:rPr>
              <w:t>337.34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92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649D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D187">
            <w:pPr>
              <w:jc w:val="center"/>
            </w:pPr>
            <w:r>
              <w:rPr>
                <w:rFonts w:ascii="宋体" w:hAnsi="宋体" w:eastAsia="宋体"/>
                <w:sz w:val="16"/>
              </w:rPr>
              <w:t>10</w:t>
            </w:r>
          </w:p>
        </w:tc>
      </w:tr>
      <w:tr w14:paraId="08C069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8B0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B29D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70C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6649">
            <w:pPr>
              <w:jc w:val="center"/>
            </w:pPr>
            <w:r>
              <w:rPr>
                <w:rFonts w:ascii="宋体" w:hAnsi="宋体" w:eastAsia="宋体"/>
                <w:sz w:val="16"/>
              </w:rPr>
              <w:t>4.02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9915D">
            <w:pPr>
              <w:jc w:val="center"/>
            </w:pPr>
            <w:r>
              <w:rPr>
                <w:rFonts w:ascii="宋体" w:hAnsi="宋体" w:eastAsia="宋体"/>
                <w:sz w:val="16"/>
              </w:rPr>
              <w:t>4.02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DC1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F633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549A6">
            <w:pPr>
              <w:jc w:val="center"/>
            </w:pPr>
            <w:r>
              <w:rPr>
                <w:rFonts w:ascii="宋体" w:hAnsi="宋体" w:eastAsia="宋体"/>
                <w:sz w:val="16"/>
              </w:rPr>
              <w:t>—</w:t>
            </w:r>
          </w:p>
        </w:tc>
      </w:tr>
      <w:tr w14:paraId="20A312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CDF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91EB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98CE8">
            <w:pPr>
              <w:jc w:val="center"/>
            </w:pPr>
            <w:r>
              <w:rPr>
                <w:rFonts w:ascii="宋体" w:hAnsi="宋体" w:eastAsia="宋体"/>
                <w:sz w:val="16"/>
              </w:rPr>
              <w:t>367.62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9D904">
            <w:pPr>
              <w:jc w:val="center"/>
            </w:pPr>
            <w:r>
              <w:rPr>
                <w:rFonts w:ascii="宋体" w:hAnsi="宋体" w:eastAsia="宋体"/>
                <w:sz w:val="16"/>
              </w:rPr>
              <w:t>333.32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A919">
            <w:pPr>
              <w:jc w:val="center"/>
            </w:pPr>
            <w:r>
              <w:rPr>
                <w:rFonts w:ascii="宋体" w:hAnsi="宋体" w:eastAsia="宋体"/>
                <w:sz w:val="16"/>
              </w:rPr>
              <w:t>333.32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444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4649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7AAE7">
            <w:pPr>
              <w:jc w:val="center"/>
            </w:pPr>
            <w:r>
              <w:rPr>
                <w:rFonts w:ascii="宋体" w:hAnsi="宋体" w:eastAsia="宋体"/>
                <w:sz w:val="16"/>
              </w:rPr>
              <w:t>—</w:t>
            </w:r>
          </w:p>
        </w:tc>
      </w:tr>
      <w:tr w14:paraId="019F54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9DE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9044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5C5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6F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8F4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664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DC4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115C">
            <w:pPr>
              <w:jc w:val="center"/>
            </w:pPr>
            <w:r>
              <w:rPr>
                <w:rFonts w:ascii="宋体" w:hAnsi="宋体" w:eastAsia="宋体"/>
                <w:sz w:val="16"/>
              </w:rPr>
              <w:t>—</w:t>
            </w:r>
          </w:p>
        </w:tc>
      </w:tr>
      <w:tr w14:paraId="7238E2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064A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E73D5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8319F7">
            <w:pPr>
              <w:jc w:val="center"/>
            </w:pPr>
            <w:r>
              <w:rPr>
                <w:rFonts w:ascii="宋体" w:hAnsi="宋体" w:eastAsia="宋体"/>
                <w:sz w:val="16"/>
              </w:rPr>
              <w:t>实际完成情况</w:t>
            </w:r>
          </w:p>
        </w:tc>
      </w:tr>
      <w:tr w14:paraId="237861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78F6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67DE2F">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146天。做好水环境质量工作，辖区河流监测断面达到或好于Ⅲ类水体比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FFC47A">
            <w:pPr>
              <w:jc w:val="both"/>
            </w:pPr>
            <w:r>
              <w:rPr>
                <w:rFonts w:ascii="宋体" w:hAnsi="宋体" w:eastAsia="宋体"/>
                <w:sz w:val="16"/>
              </w:rPr>
              <w:t>1、环境空气质量：</w:t>
            </w:r>
            <w:r>
              <w:rPr>
                <w:rFonts w:hint="eastAsia" w:ascii="宋体" w:hAnsi="宋体"/>
                <w:sz w:val="16"/>
                <w:lang w:eastAsia="zh-CN"/>
              </w:rPr>
              <w:t>截至2024</w:t>
            </w:r>
            <w:r>
              <w:rPr>
                <w:rFonts w:ascii="宋体" w:hAnsi="宋体" w:eastAsia="宋体"/>
                <w:sz w:val="16"/>
              </w:rPr>
              <w:t>年12月31日，叶城县空气质量有效监测天数共354天，无效天数11天，其中，优良天数111天，优良天数比率为31.36%，完成率为76.03%。</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水环境质量：经监测叶城县提孜那甫河、棋盘河、乌鲁克河、柯克亚河等4条主要河流5个水质监测断面2024年水质优良率保持在100%。宗朗、巴仁、保尔、加依提勒克、苏盖提艾日克等5座水库水质保持在Ⅱ类水质以上。4个“万人千吨”饮用水水源地和乌鲁克河农灌区水质优良率为100%。河流、湖库水质与</w:t>
            </w:r>
            <w:r>
              <w:rPr>
                <w:rFonts w:hint="eastAsia" w:ascii="宋体" w:hAnsi="宋体"/>
                <w:sz w:val="16"/>
                <w:lang w:val="en-US" w:eastAsia="zh-CN"/>
              </w:rPr>
              <w:t>上</w:t>
            </w:r>
            <w:r>
              <w:rPr>
                <w:rFonts w:ascii="宋体" w:hAnsi="宋体" w:eastAsia="宋体"/>
                <w:sz w:val="16"/>
              </w:rPr>
              <w:t>年同期相比无变化。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3、土壤环境质量。</w:t>
            </w:r>
            <w:bookmarkStart w:id="0" w:name="_GoBack"/>
            <w:bookmarkEnd w:id="0"/>
            <w:r>
              <w:rPr>
                <w:rFonts w:ascii="宋体" w:hAnsi="宋体" w:eastAsia="宋体"/>
                <w:sz w:val="16"/>
              </w:rPr>
              <w:t>农用地和建设用地土壤环境安全得到基本保障。未发生影响土壤环境质量安全问题。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4、叶城县生态环境局及时做好生态环境领域舆情应对和舆论引导，妥善处理网络、县长信箱、信访平台转办案件3起。受理各类信访案件64件，办结64件，满意率100%。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叶城县生态环境局在编14名人员，退休1人。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预算执行率为95.20%。</w:t>
            </w:r>
          </w:p>
        </w:tc>
      </w:tr>
      <w:tr w14:paraId="79AF70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192E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5061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581B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164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7223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174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415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34E6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2A65">
            <w:pPr>
              <w:jc w:val="center"/>
            </w:pPr>
            <w:r>
              <w:rPr>
                <w:rFonts w:ascii="宋体" w:hAnsi="宋体" w:eastAsia="宋体"/>
                <w:sz w:val="16"/>
              </w:rPr>
              <w:t>得分</w:t>
            </w:r>
          </w:p>
        </w:tc>
      </w:tr>
      <w:tr w14:paraId="4615E1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AC01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844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A9FF2">
            <w:pPr>
              <w:jc w:val="center"/>
            </w:pPr>
            <w:r>
              <w:rPr>
                <w:rFonts w:ascii="宋体" w:hAnsi="宋体" w:eastAsia="宋体"/>
                <w:sz w:val="16"/>
              </w:rPr>
              <w:t>城市空气质量优良天数比例达到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A76C1">
            <w:pPr>
              <w:jc w:val="center"/>
            </w:pPr>
            <w:r>
              <w:rPr>
                <w:rFonts w:ascii="宋体" w:hAnsi="宋体" w:eastAsia="宋体"/>
                <w:sz w:val="16"/>
              </w:rPr>
              <w:t>=146天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2C8EB">
            <w:pPr>
              <w:jc w:val="center"/>
            </w:pPr>
            <w:r>
              <w:rPr>
                <w:rFonts w:ascii="宋体" w:hAnsi="宋体" w:eastAsia="宋体"/>
                <w:sz w:val="16"/>
              </w:rPr>
              <w:t>喀什地区生态环境局叶城县分局2024年工作计划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1E1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7FD39">
            <w:pPr>
              <w:jc w:val="center"/>
            </w:pPr>
            <w:r>
              <w:rPr>
                <w:rFonts w:ascii="宋体" w:hAnsi="宋体" w:eastAsia="宋体"/>
                <w:sz w:val="16"/>
              </w:rPr>
              <w:t>111天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18BC7">
            <w:pPr>
              <w:jc w:val="center"/>
            </w:pPr>
            <w:r>
              <w:rPr>
                <w:rFonts w:ascii="宋体" w:hAnsi="宋体" w:eastAsia="宋体"/>
                <w:sz w:val="16"/>
              </w:rPr>
              <w:t>76.03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E147F">
            <w:pPr>
              <w:jc w:val="center"/>
            </w:pPr>
            <w:r>
              <w:rPr>
                <w:rFonts w:ascii="宋体" w:hAnsi="宋体" w:eastAsia="宋体"/>
                <w:sz w:val="16"/>
              </w:rPr>
              <w:t>15.2</w:t>
            </w:r>
          </w:p>
        </w:tc>
      </w:tr>
      <w:tr w14:paraId="2DB0FA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5AA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D4C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A9BF4">
            <w:pPr>
              <w:jc w:val="center"/>
            </w:pPr>
            <w:r>
              <w:rPr>
                <w:rFonts w:ascii="宋体" w:hAnsi="宋体" w:eastAsia="宋体"/>
                <w:sz w:val="16"/>
              </w:rPr>
              <w:t>环境信访处置率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2E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5BA3D">
            <w:pPr>
              <w:jc w:val="center"/>
            </w:pPr>
            <w:r>
              <w:rPr>
                <w:rFonts w:ascii="宋体" w:hAnsi="宋体" w:eastAsia="宋体"/>
                <w:sz w:val="16"/>
              </w:rPr>
              <w:t>喀什地区生态环境局叶城县分局2024年工作计划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403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96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D57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F2135">
            <w:pPr>
              <w:jc w:val="center"/>
            </w:pPr>
            <w:r>
              <w:rPr>
                <w:rFonts w:ascii="宋体" w:hAnsi="宋体" w:eastAsia="宋体"/>
                <w:sz w:val="16"/>
              </w:rPr>
              <w:t>20</w:t>
            </w:r>
          </w:p>
        </w:tc>
      </w:tr>
      <w:tr w14:paraId="669EF0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25B2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DDE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ADC5">
            <w:pPr>
              <w:jc w:val="center"/>
            </w:pPr>
            <w:r>
              <w:rPr>
                <w:rFonts w:ascii="宋体" w:hAnsi="宋体" w:eastAsia="宋体"/>
                <w:sz w:val="16"/>
              </w:rPr>
              <w:t>辖区河流监测断面水质优良比例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266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62DC9">
            <w:pPr>
              <w:jc w:val="center"/>
            </w:pPr>
            <w:r>
              <w:rPr>
                <w:rFonts w:ascii="宋体" w:hAnsi="宋体" w:eastAsia="宋体"/>
                <w:sz w:val="16"/>
              </w:rPr>
              <w:t>喀什地区生态环境局叶城县分局2024年工作计划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5D4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F40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12D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8960A">
            <w:pPr>
              <w:jc w:val="center"/>
            </w:pPr>
            <w:r>
              <w:rPr>
                <w:rFonts w:ascii="宋体" w:hAnsi="宋体" w:eastAsia="宋体"/>
                <w:sz w:val="16"/>
              </w:rPr>
              <w:t>20</w:t>
            </w:r>
          </w:p>
        </w:tc>
      </w:tr>
      <w:tr w14:paraId="7B4833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008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BFA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59701">
            <w:pPr>
              <w:jc w:val="center"/>
            </w:pPr>
            <w:r>
              <w:rPr>
                <w:rFonts w:ascii="宋体" w:hAnsi="宋体" w:eastAsia="宋体"/>
                <w:sz w:val="16"/>
              </w:rPr>
              <w:t>排污许可证“双随机、一公开”监管公开率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116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1EE35">
            <w:pPr>
              <w:jc w:val="center"/>
            </w:pPr>
            <w:r>
              <w:rPr>
                <w:rFonts w:ascii="宋体" w:hAnsi="宋体" w:eastAsia="宋体"/>
                <w:sz w:val="16"/>
              </w:rPr>
              <w:t>喀什地区生态环境局叶城县分局2024年工作计划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4573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5BC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774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E01A8">
            <w:pPr>
              <w:jc w:val="center"/>
            </w:pPr>
            <w:r>
              <w:rPr>
                <w:rFonts w:ascii="宋体" w:hAnsi="宋体" w:eastAsia="宋体"/>
                <w:sz w:val="16"/>
              </w:rPr>
              <w:t>15</w:t>
            </w:r>
          </w:p>
        </w:tc>
      </w:tr>
      <w:tr w14:paraId="144F25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BFC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003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B100">
            <w:pPr>
              <w:jc w:val="center"/>
            </w:pPr>
            <w:r>
              <w:rPr>
                <w:rFonts w:ascii="宋体" w:hAnsi="宋体" w:eastAsia="宋体"/>
                <w:sz w:val="16"/>
              </w:rPr>
              <w:t>定期监督指导机动车检测站数量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F0818">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113D5">
            <w:pPr>
              <w:jc w:val="center"/>
            </w:pPr>
            <w:r>
              <w:rPr>
                <w:rFonts w:ascii="宋体" w:hAnsi="宋体" w:eastAsia="宋体"/>
                <w:sz w:val="16"/>
              </w:rPr>
              <w:t>喀什地区生态环境局叶城县分局2024年工作计划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D5FF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36AA3">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169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F2DEC">
            <w:pPr>
              <w:jc w:val="center"/>
            </w:pPr>
            <w:r>
              <w:rPr>
                <w:rFonts w:ascii="宋体" w:hAnsi="宋体" w:eastAsia="宋体"/>
                <w:sz w:val="16"/>
              </w:rPr>
              <w:t>15</w:t>
            </w:r>
          </w:p>
        </w:tc>
      </w:tr>
    </w:tbl>
    <w:p w14:paraId="202A59A6">
      <w:r>
        <w:br w:type="page"/>
      </w:r>
    </w:p>
    <w:p w14:paraId="4DE63185">
      <w:pPr>
        <w:spacing w:line="640" w:lineRule="exact"/>
        <w:ind w:firstLine="640"/>
        <w:jc w:val="both"/>
        <w:outlineLvl w:val="2"/>
      </w:pPr>
      <w:r>
        <w:rPr>
          <w:rFonts w:ascii="黑体" w:hAnsi="黑体" w:eastAsia="黑体"/>
          <w:sz w:val="32"/>
        </w:rPr>
        <w:t>十二、其他需说明的事项</w:t>
      </w:r>
    </w:p>
    <w:p w14:paraId="0E3F27BE">
      <w:pPr>
        <w:spacing w:line="580" w:lineRule="exact"/>
        <w:ind w:firstLine="640"/>
        <w:jc w:val="both"/>
      </w:pPr>
      <w:r>
        <w:rPr>
          <w:rFonts w:ascii="仿宋_GB2312" w:hAnsi="仿宋_GB2312" w:eastAsia="仿宋_GB2312"/>
          <w:b w:val="0"/>
          <w:sz w:val="32"/>
        </w:rPr>
        <w:t>本单位无其他需说明的事项。</w:t>
      </w:r>
    </w:p>
    <w:p w14:paraId="34C08A3E">
      <w:r>
        <w:br w:type="page"/>
      </w:r>
    </w:p>
    <w:p w14:paraId="1E5F9542">
      <w:pPr>
        <w:spacing w:line="240" w:lineRule="auto"/>
        <w:jc w:val="center"/>
        <w:outlineLvl w:val="1"/>
      </w:pPr>
      <w:r>
        <w:rPr>
          <w:rFonts w:ascii="黑体" w:hAnsi="黑体" w:eastAsia="黑体"/>
          <w:sz w:val="32"/>
        </w:rPr>
        <w:t>第三部分 专业名词解释</w:t>
      </w:r>
    </w:p>
    <w:p w14:paraId="3A3A8F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1A8B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6D7CA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47A0E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E9FA8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5E861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0E75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BC54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9C35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B0866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70B0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92B47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7637D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158CA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FFF4D2">
      <w:r>
        <w:br w:type="page"/>
      </w:r>
    </w:p>
    <w:p w14:paraId="00BC084F">
      <w:pPr>
        <w:spacing w:line="240" w:lineRule="auto"/>
        <w:jc w:val="center"/>
        <w:outlineLvl w:val="1"/>
      </w:pPr>
      <w:r>
        <w:rPr>
          <w:rFonts w:ascii="黑体" w:hAnsi="黑体" w:eastAsia="黑体"/>
          <w:sz w:val="32"/>
        </w:rPr>
        <w:t>第四部分 部门决算报表（见附表）</w:t>
      </w:r>
    </w:p>
    <w:p w14:paraId="56E0D9C5">
      <w:pPr>
        <w:spacing w:line="240" w:lineRule="auto"/>
        <w:ind w:firstLine="640"/>
        <w:jc w:val="both"/>
      </w:pPr>
      <w:r>
        <w:rPr>
          <w:rFonts w:ascii="仿宋_GB2312" w:hAnsi="仿宋_GB2312" w:eastAsia="仿宋_GB2312"/>
          <w:b w:val="0"/>
          <w:sz w:val="32"/>
        </w:rPr>
        <w:t>一、《收入支出决算总表》</w:t>
      </w:r>
    </w:p>
    <w:p w14:paraId="73D13EED">
      <w:pPr>
        <w:spacing w:line="240" w:lineRule="auto"/>
        <w:ind w:firstLine="640"/>
        <w:jc w:val="both"/>
      </w:pPr>
      <w:r>
        <w:rPr>
          <w:rFonts w:ascii="仿宋_GB2312" w:hAnsi="仿宋_GB2312" w:eastAsia="仿宋_GB2312"/>
          <w:b w:val="0"/>
          <w:sz w:val="32"/>
        </w:rPr>
        <w:t>二、《收入决算表》</w:t>
      </w:r>
    </w:p>
    <w:p w14:paraId="57E82812">
      <w:pPr>
        <w:spacing w:line="240" w:lineRule="auto"/>
        <w:ind w:firstLine="640"/>
        <w:jc w:val="both"/>
      </w:pPr>
      <w:r>
        <w:rPr>
          <w:rFonts w:ascii="仿宋_GB2312" w:hAnsi="仿宋_GB2312" w:eastAsia="仿宋_GB2312"/>
          <w:b w:val="0"/>
          <w:sz w:val="32"/>
        </w:rPr>
        <w:t>三、《支出决算表》</w:t>
      </w:r>
    </w:p>
    <w:p w14:paraId="443239B0">
      <w:pPr>
        <w:spacing w:line="240" w:lineRule="auto"/>
        <w:ind w:firstLine="640"/>
        <w:jc w:val="both"/>
      </w:pPr>
      <w:r>
        <w:rPr>
          <w:rFonts w:ascii="仿宋_GB2312" w:hAnsi="仿宋_GB2312" w:eastAsia="仿宋_GB2312"/>
          <w:b w:val="0"/>
          <w:sz w:val="32"/>
        </w:rPr>
        <w:t>四、《财政拨款收入支出决算总表》</w:t>
      </w:r>
    </w:p>
    <w:p w14:paraId="08F4AAD1">
      <w:pPr>
        <w:spacing w:line="240" w:lineRule="auto"/>
        <w:ind w:firstLine="640"/>
        <w:jc w:val="both"/>
      </w:pPr>
      <w:r>
        <w:rPr>
          <w:rFonts w:ascii="仿宋_GB2312" w:hAnsi="仿宋_GB2312" w:eastAsia="仿宋_GB2312"/>
          <w:b w:val="0"/>
          <w:sz w:val="32"/>
        </w:rPr>
        <w:t>五、《一般公共预算财政拨款支出决算表》</w:t>
      </w:r>
    </w:p>
    <w:p w14:paraId="346F7A0A">
      <w:pPr>
        <w:spacing w:line="240" w:lineRule="auto"/>
        <w:ind w:firstLine="640"/>
        <w:jc w:val="both"/>
      </w:pPr>
      <w:r>
        <w:rPr>
          <w:rFonts w:ascii="仿宋_GB2312" w:hAnsi="仿宋_GB2312" w:eastAsia="仿宋_GB2312"/>
          <w:b w:val="0"/>
          <w:sz w:val="32"/>
        </w:rPr>
        <w:t>六、《一般公共预算财政拨款基本支出决算表》</w:t>
      </w:r>
    </w:p>
    <w:p w14:paraId="08F78535">
      <w:pPr>
        <w:spacing w:line="240" w:lineRule="auto"/>
        <w:ind w:firstLine="640"/>
        <w:jc w:val="both"/>
      </w:pPr>
      <w:r>
        <w:rPr>
          <w:rFonts w:ascii="仿宋_GB2312" w:hAnsi="仿宋_GB2312" w:eastAsia="仿宋_GB2312"/>
          <w:b w:val="0"/>
          <w:sz w:val="32"/>
        </w:rPr>
        <w:t>七、《政府性基金预算财政拨款收入支出决算表》</w:t>
      </w:r>
    </w:p>
    <w:p w14:paraId="273F10A5">
      <w:pPr>
        <w:spacing w:line="240" w:lineRule="auto"/>
        <w:ind w:firstLine="640"/>
        <w:jc w:val="both"/>
      </w:pPr>
      <w:r>
        <w:rPr>
          <w:rFonts w:ascii="仿宋_GB2312" w:hAnsi="仿宋_GB2312" w:eastAsia="仿宋_GB2312"/>
          <w:b w:val="0"/>
          <w:sz w:val="32"/>
        </w:rPr>
        <w:t>八、《国有资本经营预算财政拨款收入支出决算表》</w:t>
      </w:r>
    </w:p>
    <w:p w14:paraId="06607EE1">
      <w:pPr>
        <w:spacing w:line="240" w:lineRule="auto"/>
        <w:ind w:firstLine="640"/>
        <w:jc w:val="both"/>
      </w:pPr>
      <w:r>
        <w:rPr>
          <w:rFonts w:ascii="仿宋_GB2312" w:hAnsi="仿宋_GB2312" w:eastAsia="仿宋_GB2312"/>
          <w:b w:val="0"/>
          <w:sz w:val="32"/>
        </w:rPr>
        <w:t>九、《财政拨款“三公”经费支出决算表》</w:t>
      </w:r>
    </w:p>
    <w:p w14:paraId="5C3298C8">
      <w:pPr>
        <w:spacing w:line="240" w:lineRule="auto"/>
        <w:ind w:firstLine="640"/>
        <w:jc w:val="both"/>
      </w:pPr>
    </w:p>
    <w:p w14:paraId="4CA33577">
      <w:pPr>
        <w:spacing w:line="240" w:lineRule="auto"/>
        <w:ind w:firstLine="640"/>
        <w:jc w:val="both"/>
      </w:pPr>
    </w:p>
    <w:p w14:paraId="30C46E90">
      <w:pPr>
        <w:spacing w:line="240" w:lineRule="auto"/>
        <w:ind w:firstLine="640"/>
        <w:jc w:val="both"/>
      </w:pPr>
    </w:p>
    <w:p w14:paraId="6DACCE10">
      <w:pPr>
        <w:spacing w:line="240" w:lineRule="auto"/>
        <w:ind w:firstLine="640"/>
        <w:jc w:val="both"/>
      </w:pPr>
    </w:p>
    <w:p w14:paraId="1CCC7C7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BA77A6-AC8D-462A-A951-44611A26A6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3F7AB7-7BD4-4ADF-B29D-E8CC4DD0A709}"/>
  </w:font>
  <w:font w:name="仿宋_GB2312">
    <w:panose1 w:val="02010609030101010101"/>
    <w:charset w:val="86"/>
    <w:family w:val="modern"/>
    <w:pitch w:val="default"/>
    <w:sig w:usb0="00000001" w:usb1="080E0000" w:usb2="00000000" w:usb3="00000000" w:csb0="00040000" w:csb1="00000000"/>
    <w:embedRegular r:id="rId3" w:fontKey="{132FD7C1-96AC-44F1-B0DF-1610F23CCC43}"/>
  </w:font>
  <w:font w:name="楷体_GB2312">
    <w:panose1 w:val="02010609030101010101"/>
    <w:charset w:val="86"/>
    <w:family w:val="auto"/>
    <w:pitch w:val="default"/>
    <w:sig w:usb0="00000001" w:usb1="080E0000" w:usb2="00000000" w:usb3="00000000" w:csb0="00040000" w:csb1="00000000"/>
    <w:embedRegular r:id="rId4" w:fontKey="{2108D03F-8FB1-4CEE-9249-9A8B2D3F02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BB6792"/>
    <w:rsid w:val="42E64542"/>
    <w:rsid w:val="43FA53B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1820</Words>
  <Characters>1828</Characters>
  <Lines>0</Lines>
  <Paragraphs>0</Paragraphs>
  <TotalTime>12</TotalTime>
  <ScaleCrop>false</ScaleCrop>
  <LinksUpToDate>false</LinksUpToDate>
  <CharactersWithSpaces>1835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2025-09-03T10:57:13Z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