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喀什地区生态环境局喀什市分局2024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CD9EB92">
      <w:r>
        <w:br w:type="page"/>
      </w:r>
    </w:p>
    <w:p w14:paraId="1AE5DDC9">
      <w:pPr>
        <w:spacing w:line="640" w:lineRule="exact"/>
        <w:jc w:val="center"/>
        <w:outlineLvl w:val="1"/>
      </w:pPr>
      <w:r>
        <w:rPr>
          <w:rFonts w:ascii="黑体" w:hAnsi="黑体" w:eastAsia="黑体"/>
          <w:sz w:val="32"/>
        </w:rPr>
        <w:t>第一部分 单位概况</w:t>
      </w:r>
    </w:p>
    <w:p w14:paraId="7DD23C78">
      <w:pPr>
        <w:spacing w:line="640" w:lineRule="exact"/>
        <w:ind w:firstLine="640"/>
        <w:jc w:val="both"/>
        <w:outlineLvl w:val="2"/>
      </w:pPr>
      <w:r>
        <w:rPr>
          <w:rFonts w:ascii="黑体" w:hAnsi="黑体" w:eastAsia="黑体"/>
          <w:sz w:val="32"/>
        </w:rPr>
        <w:t>一、主要职能</w:t>
      </w:r>
    </w:p>
    <w:p w14:paraId="374945F9">
      <w:pPr>
        <w:spacing w:line="580" w:lineRule="exact"/>
        <w:ind w:firstLine="640"/>
        <w:jc w:val="both"/>
      </w:pPr>
      <w:r>
        <w:rPr>
          <w:rFonts w:ascii="仿宋_GB2312" w:hAnsi="仿宋_GB2312" w:eastAsia="仿宋_GB2312"/>
          <w:sz w:val="32"/>
        </w:rPr>
        <w:t>（一）负责建立健全生态环境制度，贯彻执行国家和自治区、地区生态环境政策、规划。</w:t>
      </w:r>
    </w:p>
    <w:p w14:paraId="40562B6B">
      <w:pPr>
        <w:spacing w:line="580" w:lineRule="exact"/>
        <w:ind w:firstLine="640"/>
        <w:jc w:val="both"/>
      </w:pPr>
      <w:r>
        <w:rPr>
          <w:rFonts w:ascii="仿宋_GB2312" w:hAnsi="仿宋_GB2312" w:eastAsia="仿宋_GB2312"/>
          <w:sz w:val="32"/>
        </w:rPr>
        <w:t>（二）负责重大生态环境问题的统筹协调和监督管理。</w:t>
      </w:r>
    </w:p>
    <w:p w14:paraId="4B38F046">
      <w:pPr>
        <w:spacing w:line="580" w:lineRule="exact"/>
        <w:ind w:firstLine="640"/>
        <w:jc w:val="both"/>
      </w:pPr>
      <w:r>
        <w:rPr>
          <w:rFonts w:ascii="仿宋_GB2312" w:hAnsi="仿宋_GB2312" w:eastAsia="仿宋_GB2312"/>
          <w:sz w:val="32"/>
        </w:rPr>
        <w:t>（三）负责监督管理自治区减排目标的落实。</w:t>
      </w:r>
    </w:p>
    <w:p w14:paraId="5330D601">
      <w:pPr>
        <w:spacing w:line="580" w:lineRule="exact"/>
        <w:ind w:firstLine="640"/>
        <w:jc w:val="both"/>
      </w:pPr>
      <w:r>
        <w:rPr>
          <w:rFonts w:ascii="仿宋_GB2312" w:hAnsi="仿宋_GB2312" w:eastAsia="仿宋_GB2312"/>
          <w:sz w:val="32"/>
        </w:rPr>
        <w:t>（四）负责环境污染防治的监督管理。</w:t>
      </w:r>
    </w:p>
    <w:p w14:paraId="692E9F67">
      <w:pPr>
        <w:spacing w:line="580" w:lineRule="exact"/>
        <w:ind w:firstLine="640"/>
        <w:jc w:val="both"/>
      </w:pPr>
      <w:r>
        <w:rPr>
          <w:rFonts w:ascii="仿宋_GB2312" w:hAnsi="仿宋_GB2312" w:eastAsia="仿宋_GB2312"/>
          <w:sz w:val="32"/>
        </w:rPr>
        <w:t>（五）指导协调和监督生态保护修复工作。</w:t>
      </w:r>
    </w:p>
    <w:p w14:paraId="2CED45F8">
      <w:pPr>
        <w:spacing w:line="580" w:lineRule="exact"/>
        <w:ind w:firstLine="640"/>
        <w:jc w:val="both"/>
      </w:pPr>
      <w:r>
        <w:rPr>
          <w:rFonts w:ascii="仿宋_GB2312" w:hAnsi="仿宋_GB2312" w:eastAsia="仿宋_GB2312"/>
          <w:sz w:val="32"/>
        </w:rPr>
        <w:t>（六）负责核与辐射安全的监督管理。</w:t>
      </w:r>
    </w:p>
    <w:p w14:paraId="22C4CD5B">
      <w:pPr>
        <w:spacing w:line="580" w:lineRule="exact"/>
        <w:ind w:firstLine="640"/>
        <w:jc w:val="both"/>
      </w:pPr>
      <w:r>
        <w:rPr>
          <w:rFonts w:ascii="仿宋_GB2312" w:hAnsi="仿宋_GB2312" w:eastAsia="仿宋_GB2312"/>
          <w:sz w:val="32"/>
        </w:rPr>
        <w:t>（七）负责生态环境准入的监督管理。</w:t>
      </w:r>
    </w:p>
    <w:p w14:paraId="7D724CAE">
      <w:pPr>
        <w:spacing w:line="580" w:lineRule="exact"/>
        <w:ind w:firstLine="640"/>
        <w:jc w:val="both"/>
      </w:pPr>
      <w:r>
        <w:rPr>
          <w:rFonts w:ascii="仿宋_GB2312" w:hAnsi="仿宋_GB2312" w:eastAsia="仿宋_GB2312"/>
          <w:sz w:val="32"/>
        </w:rPr>
        <w:t>（八）负责生态环境监测工作。</w:t>
      </w:r>
    </w:p>
    <w:p w14:paraId="72598A49">
      <w:pPr>
        <w:spacing w:line="580" w:lineRule="exact"/>
        <w:ind w:firstLine="640"/>
        <w:jc w:val="both"/>
      </w:pPr>
      <w:r>
        <w:rPr>
          <w:rFonts w:ascii="仿宋_GB2312" w:hAnsi="仿宋_GB2312" w:eastAsia="仿宋_GB2312"/>
          <w:sz w:val="32"/>
        </w:rPr>
        <w:t>（九）负责应对气候变化工作。</w:t>
      </w:r>
    </w:p>
    <w:p w14:paraId="2534F252">
      <w:pPr>
        <w:spacing w:line="580" w:lineRule="exact"/>
        <w:ind w:firstLine="640"/>
        <w:jc w:val="both"/>
      </w:pPr>
      <w:r>
        <w:rPr>
          <w:rFonts w:ascii="仿宋_GB2312" w:hAnsi="仿宋_GB2312" w:eastAsia="仿宋_GB2312"/>
          <w:sz w:val="32"/>
        </w:rPr>
        <w:t>（十）负责生态环境监察工作。</w:t>
      </w:r>
    </w:p>
    <w:p w14:paraId="21ED5DF4">
      <w:pPr>
        <w:spacing w:line="580" w:lineRule="exact"/>
        <w:ind w:firstLine="640"/>
        <w:jc w:val="both"/>
      </w:pPr>
      <w:r>
        <w:rPr>
          <w:rFonts w:ascii="仿宋_GB2312" w:hAnsi="仿宋_GB2312" w:eastAsia="仿宋_GB2312"/>
          <w:sz w:val="32"/>
        </w:rPr>
        <w:t>（十一）统一负责生态环境监督执法。</w:t>
      </w:r>
    </w:p>
    <w:p w14:paraId="7C7037DA">
      <w:pPr>
        <w:spacing w:line="580" w:lineRule="exact"/>
        <w:ind w:firstLine="640"/>
        <w:jc w:val="both"/>
      </w:pPr>
      <w:r>
        <w:rPr>
          <w:rFonts w:ascii="仿宋_GB2312" w:hAnsi="仿宋_GB2312" w:eastAsia="仿宋_GB2312"/>
          <w:sz w:val="32"/>
        </w:rPr>
        <w:t>（十二）组织指导和协调生态环境保护宣传教育工作，制定并组织实施生态环境保护宣传教育规划，推动社会组织和公众参与生态环境保护。</w:t>
      </w:r>
    </w:p>
    <w:p w14:paraId="482E5817">
      <w:pPr>
        <w:spacing w:line="580" w:lineRule="exact"/>
        <w:ind w:firstLine="640"/>
        <w:jc w:val="both"/>
      </w:pPr>
      <w:r>
        <w:rPr>
          <w:rFonts w:ascii="仿宋_GB2312" w:hAnsi="仿宋_GB2312" w:eastAsia="仿宋_GB2312"/>
          <w:sz w:val="32"/>
        </w:rPr>
        <w:t>（十三）完成市委、市政府及地区生态环境局交办的其他工作任务。</w:t>
      </w:r>
    </w:p>
    <w:p w14:paraId="4E65E794">
      <w:pPr>
        <w:spacing w:line="640" w:lineRule="exact"/>
        <w:ind w:firstLine="640"/>
        <w:jc w:val="both"/>
        <w:outlineLvl w:val="2"/>
      </w:pPr>
      <w:r>
        <w:rPr>
          <w:rFonts w:ascii="黑体" w:hAnsi="黑体" w:eastAsia="黑体"/>
          <w:sz w:val="32"/>
        </w:rPr>
        <w:t>二、机构设置及人员情况</w:t>
      </w:r>
    </w:p>
    <w:p w14:paraId="5BB4343B">
      <w:pPr>
        <w:spacing w:line="580" w:lineRule="exact"/>
        <w:ind w:firstLine="640"/>
        <w:jc w:val="both"/>
      </w:pPr>
      <w:r>
        <w:rPr>
          <w:rFonts w:ascii="仿宋_GB2312" w:hAnsi="仿宋_GB2312" w:eastAsia="仿宋_GB2312"/>
          <w:sz w:val="32"/>
        </w:rPr>
        <w:t>喀什地区生态环境局喀什市分局2024年度，实有人数22人，其中：在职人员21人，减少10人；离休人员0人，增加0人；退休人员1人,减少13人。</w:t>
      </w:r>
    </w:p>
    <w:p w14:paraId="1C05FA61">
      <w:pPr>
        <w:spacing w:line="580" w:lineRule="exact"/>
        <w:ind w:firstLine="640"/>
        <w:jc w:val="both"/>
      </w:pPr>
      <w:r>
        <w:rPr>
          <w:rFonts w:ascii="仿宋_GB2312" w:hAnsi="仿宋_GB2312" w:eastAsia="仿宋_GB2312"/>
          <w:sz w:val="32"/>
        </w:rPr>
        <w:t>喀什地区生态环境局喀什市分局无下属预算单位，下设4个科室，分别是：办公室、污染防治办公室、财务办公室、监测监察办公室。</w:t>
      </w:r>
    </w:p>
    <w:p w14:paraId="0512CC64">
      <w:r>
        <w:br w:type="page"/>
      </w:r>
    </w:p>
    <w:p w14:paraId="3B8D72DD">
      <w:pPr>
        <w:spacing w:line="240" w:lineRule="auto"/>
        <w:jc w:val="center"/>
        <w:outlineLvl w:val="1"/>
      </w:pPr>
      <w:r>
        <w:rPr>
          <w:rFonts w:ascii="黑体" w:hAnsi="黑体" w:eastAsia="黑体"/>
          <w:sz w:val="32"/>
        </w:rPr>
        <w:t>第二部分 部门决算情况说明</w:t>
      </w:r>
    </w:p>
    <w:p w14:paraId="339CEFD9">
      <w:pPr>
        <w:spacing w:line="640" w:lineRule="exact"/>
        <w:ind w:firstLine="640"/>
        <w:jc w:val="both"/>
        <w:outlineLvl w:val="2"/>
      </w:pPr>
      <w:r>
        <w:rPr>
          <w:rFonts w:ascii="黑体" w:hAnsi="黑体" w:eastAsia="黑体"/>
          <w:sz w:val="32"/>
        </w:rPr>
        <w:t>一、收入支出决算总体情况说明</w:t>
      </w:r>
    </w:p>
    <w:p w14:paraId="3489422D">
      <w:pPr>
        <w:spacing w:line="580" w:lineRule="exact"/>
        <w:ind w:firstLine="640"/>
        <w:jc w:val="both"/>
      </w:pPr>
      <w:r>
        <w:rPr>
          <w:rFonts w:ascii="仿宋_GB2312" w:hAnsi="仿宋_GB2312" w:eastAsia="仿宋_GB2312"/>
          <w:b/>
          <w:sz w:val="32"/>
        </w:rPr>
        <w:t>2024年度收入总计464.36万元，</w:t>
      </w:r>
      <w:r>
        <w:rPr>
          <w:rFonts w:ascii="仿宋_GB2312" w:hAnsi="仿宋_GB2312" w:eastAsia="仿宋_GB2312"/>
          <w:b w:val="0"/>
          <w:sz w:val="32"/>
        </w:rPr>
        <w:t>其中：本年收入合计464.36万元，使用非财政拨款结余（含专用结余）0.00万元，年初结转和结余0.00万元。</w:t>
      </w:r>
    </w:p>
    <w:p w14:paraId="214CBE2F">
      <w:pPr>
        <w:spacing w:line="580" w:lineRule="exact"/>
        <w:ind w:firstLine="640"/>
        <w:jc w:val="both"/>
      </w:pPr>
      <w:r>
        <w:rPr>
          <w:rFonts w:ascii="仿宋_GB2312" w:hAnsi="仿宋_GB2312" w:eastAsia="仿宋_GB2312"/>
          <w:b/>
          <w:sz w:val="32"/>
        </w:rPr>
        <w:t>2024年度支出总计464.36万元，</w:t>
      </w:r>
      <w:r>
        <w:rPr>
          <w:rFonts w:ascii="仿宋_GB2312" w:hAnsi="仿宋_GB2312" w:eastAsia="仿宋_GB2312"/>
          <w:b w:val="0"/>
          <w:sz w:val="32"/>
        </w:rPr>
        <w:t>其中：本年支出合计464.36万元，结余分配0.00万元，年末结转和结余0.00万元。</w:t>
      </w:r>
    </w:p>
    <w:p w14:paraId="5888294D">
      <w:pPr>
        <w:spacing w:line="580" w:lineRule="exact"/>
        <w:ind w:firstLine="640"/>
        <w:jc w:val="both"/>
      </w:pPr>
      <w:r>
        <w:rPr>
          <w:rFonts w:ascii="仿宋_GB2312" w:hAnsi="仿宋_GB2312" w:eastAsia="仿宋_GB2312"/>
          <w:b w:val="0"/>
          <w:sz w:val="32"/>
        </w:rPr>
        <w:t>收入支出总体与上年相比，减少144.49万元，下降23.73%，主要原因是：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本年度机构改革，10人整体划转喀什地区生态环境综合行政执法支队，相关人员经费减少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二是</w:t>
      </w:r>
      <w:r>
        <w:rPr>
          <w:rFonts w:ascii="仿宋_GB2312" w:hAnsi="仿宋_GB2312" w:eastAsia="仿宋_GB2312"/>
          <w:b w:val="0"/>
          <w:sz w:val="32"/>
        </w:rPr>
        <w:t>因机构改革，污染源普查和检测项目经费由各县市财政承担</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经费支出减少</w:t>
      </w:r>
      <w:r>
        <w:rPr>
          <w:rFonts w:ascii="仿宋_GB2312" w:hAnsi="仿宋_GB2312" w:eastAsia="仿宋_GB2312"/>
          <w:b w:val="0"/>
          <w:sz w:val="32"/>
        </w:rPr>
        <w:t>。</w:t>
      </w:r>
    </w:p>
    <w:p w14:paraId="32C2FAD0">
      <w:pPr>
        <w:spacing w:line="640" w:lineRule="exact"/>
        <w:ind w:firstLine="640"/>
        <w:jc w:val="both"/>
        <w:outlineLvl w:val="2"/>
      </w:pPr>
      <w:r>
        <w:rPr>
          <w:rFonts w:ascii="黑体" w:hAnsi="黑体" w:eastAsia="黑体"/>
          <w:sz w:val="32"/>
        </w:rPr>
        <w:t>二、收入决算情况说明</w:t>
      </w:r>
    </w:p>
    <w:p w14:paraId="29BA2E62">
      <w:pPr>
        <w:spacing w:line="580" w:lineRule="exact"/>
        <w:ind w:firstLine="640"/>
        <w:jc w:val="both"/>
      </w:pPr>
      <w:r>
        <w:rPr>
          <w:rFonts w:ascii="仿宋_GB2312" w:hAnsi="仿宋_GB2312" w:eastAsia="仿宋_GB2312"/>
          <w:b/>
          <w:sz w:val="32"/>
        </w:rPr>
        <w:t>本年收入464.36万元，</w:t>
      </w:r>
      <w:r>
        <w:rPr>
          <w:rFonts w:ascii="仿宋_GB2312" w:hAnsi="仿宋_GB2312" w:eastAsia="仿宋_GB2312"/>
          <w:b w:val="0"/>
          <w:sz w:val="32"/>
        </w:rPr>
        <w:t>其中：财政拨款收入454.36万元，占97.85%；上级补助收入0.00万元，占0.00%；事业收入0.00万元，占0.00%；经营收入0.00万元，占0.00%；附属单位上缴收入0.00万元，占0.00%；其他收入10.00万元，占2.15%。</w:t>
      </w:r>
    </w:p>
    <w:p w14:paraId="6A257721">
      <w:pPr>
        <w:spacing w:line="640" w:lineRule="exact"/>
        <w:ind w:firstLine="640"/>
        <w:jc w:val="both"/>
        <w:outlineLvl w:val="2"/>
      </w:pPr>
      <w:r>
        <w:rPr>
          <w:rFonts w:ascii="黑体" w:hAnsi="黑体" w:eastAsia="黑体"/>
          <w:sz w:val="32"/>
        </w:rPr>
        <w:t>三、支出决算情况说明</w:t>
      </w:r>
    </w:p>
    <w:p w14:paraId="6C14D139">
      <w:pPr>
        <w:spacing w:line="580" w:lineRule="exact"/>
        <w:ind w:firstLine="640"/>
        <w:jc w:val="both"/>
      </w:pPr>
      <w:r>
        <w:rPr>
          <w:rFonts w:ascii="仿宋_GB2312" w:hAnsi="仿宋_GB2312" w:eastAsia="仿宋_GB2312"/>
          <w:b/>
          <w:sz w:val="32"/>
        </w:rPr>
        <w:t>本年支出464.36万元，</w:t>
      </w:r>
      <w:r>
        <w:rPr>
          <w:rFonts w:ascii="仿宋_GB2312" w:hAnsi="仿宋_GB2312" w:eastAsia="仿宋_GB2312"/>
          <w:b w:val="0"/>
          <w:sz w:val="32"/>
        </w:rPr>
        <w:t>其中：基本支出454.36万元，占97.85%；项目支出10.00万元，占2.15%；上缴上级支出0.00万元，占0.00%；经营支出0.00万元，占0.00%；对附属单位补助支出0.00万元，占0.00%。</w:t>
      </w:r>
    </w:p>
    <w:p w14:paraId="0103DF85">
      <w:pPr>
        <w:spacing w:line="640" w:lineRule="exact"/>
        <w:ind w:firstLine="640"/>
        <w:jc w:val="both"/>
        <w:outlineLvl w:val="2"/>
      </w:pPr>
      <w:r>
        <w:rPr>
          <w:rFonts w:ascii="黑体" w:hAnsi="黑体" w:eastAsia="黑体"/>
          <w:sz w:val="32"/>
        </w:rPr>
        <w:t>四、财政拨款收入支出决算总体情况说明</w:t>
      </w:r>
    </w:p>
    <w:p w14:paraId="7C5F340A">
      <w:pPr>
        <w:spacing w:line="580" w:lineRule="exact"/>
        <w:ind w:firstLine="640"/>
        <w:jc w:val="both"/>
      </w:pPr>
      <w:r>
        <w:rPr>
          <w:rFonts w:ascii="仿宋_GB2312" w:hAnsi="仿宋_GB2312" w:eastAsia="仿宋_GB2312"/>
          <w:b/>
          <w:sz w:val="32"/>
        </w:rPr>
        <w:t>2024年度财政拨款收入总计454.36万元，</w:t>
      </w:r>
      <w:r>
        <w:rPr>
          <w:rFonts w:ascii="仿宋_GB2312" w:hAnsi="仿宋_GB2312" w:eastAsia="仿宋_GB2312"/>
          <w:b w:val="0"/>
          <w:sz w:val="32"/>
        </w:rPr>
        <w:t>其中：年初财政拨款结转和结余0.00万元，本年财政拨款收入454.36万元。</w:t>
      </w:r>
      <w:r>
        <w:rPr>
          <w:rFonts w:ascii="仿宋_GB2312" w:hAnsi="仿宋_GB2312" w:eastAsia="仿宋_GB2312"/>
          <w:b/>
          <w:sz w:val="32"/>
        </w:rPr>
        <w:t>财政拨款支出总计454.36万元，</w:t>
      </w:r>
      <w:r>
        <w:rPr>
          <w:rFonts w:ascii="仿宋_GB2312" w:hAnsi="仿宋_GB2312" w:eastAsia="仿宋_GB2312"/>
          <w:b w:val="0"/>
          <w:sz w:val="32"/>
        </w:rPr>
        <w:t>其中：年末财政拨款结转和结余0.00万元，本年财政拨款支出454.36万元。</w:t>
      </w:r>
    </w:p>
    <w:p w14:paraId="0029C98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减少154.49万元，下降25.37%，主要原因是：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本年度机构改革，10人整体划转喀什地区生态环境综合行政执法支队，相关人员经费减少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二是</w:t>
      </w:r>
      <w:r>
        <w:rPr>
          <w:rFonts w:ascii="仿宋_GB2312" w:hAnsi="仿宋_GB2312" w:eastAsia="仿宋_GB2312"/>
          <w:b w:val="0"/>
          <w:sz w:val="32"/>
        </w:rPr>
        <w:t>因机构改革，污染源普查和检测项目经费由各县市财政承担</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经费支出减少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年初预算数561.93万元，决算数454.36万元，预决算差异率-19.14%，主要原因是：本年度机构改革，10人整体划转喀什地区生态环境综合行政执法支队，年中调减人员经费，导致预决算存在差异。</w:t>
      </w:r>
    </w:p>
    <w:p w14:paraId="5AB8B1D9">
      <w:pPr>
        <w:spacing w:line="640" w:lineRule="exact"/>
        <w:ind w:firstLine="640"/>
        <w:jc w:val="both"/>
        <w:outlineLvl w:val="2"/>
      </w:pPr>
      <w:r>
        <w:rPr>
          <w:rFonts w:ascii="黑体" w:hAnsi="黑体" w:eastAsia="黑体"/>
          <w:sz w:val="32"/>
        </w:rPr>
        <w:t>五、一般公共预算财政拨款支出决算情况说明</w:t>
      </w:r>
    </w:p>
    <w:p w14:paraId="559585C8">
      <w:pPr>
        <w:spacing w:line="640" w:lineRule="exact"/>
        <w:ind w:firstLine="640"/>
        <w:jc w:val="both"/>
        <w:outlineLvl w:val="3"/>
      </w:pPr>
      <w:r>
        <w:rPr>
          <w:rFonts w:ascii="楷体_GB2312" w:hAnsi="楷体_GB2312" w:eastAsia="楷体_GB2312"/>
          <w:b/>
          <w:sz w:val="32"/>
        </w:rPr>
        <w:t>（一）一般公共预算财政拨款支出决算总体情况</w:t>
      </w:r>
    </w:p>
    <w:p w14:paraId="4BDD34EF">
      <w:pPr>
        <w:spacing w:line="580" w:lineRule="exact"/>
        <w:ind w:firstLine="640"/>
        <w:jc w:val="both"/>
      </w:pPr>
      <w:r>
        <w:rPr>
          <w:rFonts w:ascii="仿宋_GB2312" w:hAnsi="仿宋_GB2312" w:eastAsia="仿宋_GB2312"/>
          <w:b/>
          <w:sz w:val="32"/>
        </w:rPr>
        <w:t>2024年度一般公共预算财政拨款支出454.36万元，</w:t>
      </w:r>
      <w:r>
        <w:rPr>
          <w:rFonts w:ascii="仿宋_GB2312" w:hAnsi="仿宋_GB2312" w:eastAsia="仿宋_GB2312"/>
          <w:b w:val="0"/>
          <w:sz w:val="32"/>
        </w:rPr>
        <w:t>占本年支出合计的97.85%。</w:t>
      </w:r>
      <w:r>
        <w:rPr>
          <w:rFonts w:ascii="仿宋_GB2312" w:hAnsi="仿宋_GB2312" w:eastAsia="仿宋_GB2312"/>
          <w:b/>
          <w:sz w:val="32"/>
        </w:rPr>
        <w:t>与上年相比，</w:t>
      </w:r>
      <w:r>
        <w:rPr>
          <w:rFonts w:ascii="仿宋_GB2312" w:hAnsi="仿宋_GB2312" w:eastAsia="仿宋_GB2312"/>
          <w:b w:val="0"/>
          <w:sz w:val="32"/>
        </w:rPr>
        <w:t>减少154.49万元，下降25.37%，主要原因是：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本年度机构改革，10人整体划转喀什地区生态环境综合行政执法支队，相关人员经费减少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二是</w:t>
      </w:r>
      <w:r>
        <w:rPr>
          <w:rFonts w:ascii="仿宋_GB2312" w:hAnsi="仿宋_GB2312" w:eastAsia="仿宋_GB2312"/>
          <w:b w:val="0"/>
          <w:sz w:val="32"/>
        </w:rPr>
        <w:t>因机构改革，污染源普查和检测项目经费由各县市财政承担</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经费支出减少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年初预算数561.93万元，决算数454.36万元，预决算差异率-19.14%，主要原因是：本年度机构改革，10人整体划转喀什地区生态环境综合行政执法支队，年中调减人员经费，导致预决算存在差异。</w:t>
      </w:r>
    </w:p>
    <w:p w14:paraId="51057C2B">
      <w:pPr>
        <w:spacing w:line="640" w:lineRule="exact"/>
        <w:ind w:firstLine="640"/>
        <w:jc w:val="both"/>
        <w:outlineLvl w:val="3"/>
      </w:pPr>
      <w:r>
        <w:rPr>
          <w:rFonts w:ascii="楷体_GB2312" w:hAnsi="楷体_GB2312" w:eastAsia="楷体_GB2312"/>
          <w:b/>
          <w:sz w:val="32"/>
        </w:rPr>
        <w:t>（二）一般公共预算财政拨款支出决算结构情况</w:t>
      </w:r>
    </w:p>
    <w:p w14:paraId="267E6DC5">
      <w:pPr>
        <w:spacing w:line="580" w:lineRule="exact"/>
        <w:ind w:firstLine="640"/>
        <w:jc w:val="both"/>
      </w:pPr>
      <w:r>
        <w:rPr>
          <w:rFonts w:ascii="仿宋_GB2312" w:hAnsi="仿宋_GB2312" w:eastAsia="仿宋_GB2312"/>
          <w:b w:val="0"/>
          <w:sz w:val="32"/>
        </w:rPr>
        <w:t>1.社会保障和就业支出(类)46.87万元,占10.32%。</w:t>
      </w:r>
    </w:p>
    <w:p w14:paraId="44FACFBA">
      <w:pPr>
        <w:spacing w:line="580" w:lineRule="exact"/>
        <w:ind w:firstLine="640"/>
        <w:jc w:val="both"/>
      </w:pPr>
      <w:r>
        <w:rPr>
          <w:rFonts w:ascii="仿宋_GB2312" w:hAnsi="仿宋_GB2312" w:eastAsia="仿宋_GB2312"/>
          <w:b w:val="0"/>
          <w:sz w:val="32"/>
        </w:rPr>
        <w:t>2.卫生健康支出(类)22.12万元,占4.87%。</w:t>
      </w:r>
    </w:p>
    <w:p w14:paraId="7DA7FCE8">
      <w:pPr>
        <w:spacing w:line="580" w:lineRule="exact"/>
        <w:ind w:firstLine="640"/>
        <w:jc w:val="both"/>
      </w:pPr>
      <w:r>
        <w:rPr>
          <w:rFonts w:ascii="仿宋_GB2312" w:hAnsi="仿宋_GB2312" w:eastAsia="仿宋_GB2312"/>
          <w:b w:val="0"/>
          <w:sz w:val="32"/>
        </w:rPr>
        <w:t>3.节能环保支出(类)349.32万元,占76.88%。</w:t>
      </w:r>
    </w:p>
    <w:p w14:paraId="6ACD99E6">
      <w:pPr>
        <w:spacing w:line="580" w:lineRule="exact"/>
        <w:ind w:firstLine="640"/>
        <w:jc w:val="both"/>
      </w:pPr>
      <w:r>
        <w:rPr>
          <w:rFonts w:ascii="仿宋_GB2312" w:hAnsi="仿宋_GB2312" w:eastAsia="仿宋_GB2312"/>
          <w:b w:val="0"/>
          <w:sz w:val="32"/>
        </w:rPr>
        <w:t>4.住房保障支出(类)36.04万元,占7.93%。</w:t>
      </w:r>
    </w:p>
    <w:p w14:paraId="5525B418">
      <w:pPr>
        <w:spacing w:line="640" w:lineRule="exact"/>
        <w:ind w:firstLine="640"/>
        <w:jc w:val="both"/>
        <w:outlineLvl w:val="3"/>
      </w:pPr>
      <w:r>
        <w:rPr>
          <w:rFonts w:ascii="楷体_GB2312" w:hAnsi="楷体_GB2312" w:eastAsia="楷体_GB2312"/>
          <w:b/>
          <w:sz w:val="32"/>
        </w:rPr>
        <w:t>（三）一般公共预算财政拨款支出决算具体情况</w:t>
      </w:r>
    </w:p>
    <w:p w14:paraId="24E6043C">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1.一般公共服务支出(类)组织事务(款)其他组织事务支出(项):支出决算数为0.00万元，比上年决算减少6.83万元，下降100.00%,主要原因是：本年减少为民办实事经费支出。</w:t>
      </w:r>
    </w:p>
    <w:p w14:paraId="53A70433">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0.88万元，比上年决算减少14.46万元，下降94.26%,主要原因是：因机构改革原因，2024年前退休人员福利待遇保障由各县市财政承担，2024年后仅退休1人，因此经费减少。</w:t>
      </w:r>
    </w:p>
    <w:p w14:paraId="62B781E3">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45.91万元，比上年决算增加0.39万元，增长0.86%,主要原因是：本年在职人员工资基数调增，养老缴费基数上涨，相应支出增加。</w:t>
      </w:r>
    </w:p>
    <w:p w14:paraId="42E72103">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0.09万元，比上年决算减少18.88万元，下降99.53%,主要原因是：本年调出人员较上年减少，职业年金缴费较上年减少。</w:t>
      </w:r>
    </w:p>
    <w:p w14:paraId="29561F37">
      <w:pPr>
        <w:spacing w:line="580" w:lineRule="exact"/>
        <w:ind w:firstLine="640"/>
        <w:jc w:val="both"/>
      </w:pPr>
      <w:r>
        <w:rPr>
          <w:rFonts w:ascii="仿宋_GB2312" w:hAnsi="仿宋_GB2312" w:eastAsia="仿宋_GB2312"/>
          <w:b w:val="0"/>
          <w:sz w:val="32"/>
        </w:rPr>
        <w:t>5.卫生健康支出(类)行政事业单位医疗(款)行政单位医疗(项):支出决算数为19.51万元，比上年决算增加0.34万元，增长1.77%,主要原因是：本年在职人员工资基数调增，医疗缴费基数上涨，相应支出增加。</w:t>
      </w:r>
    </w:p>
    <w:p w14:paraId="5173C848">
      <w:pPr>
        <w:spacing w:line="580" w:lineRule="exact"/>
        <w:ind w:firstLine="640"/>
        <w:jc w:val="both"/>
      </w:pPr>
      <w:r>
        <w:rPr>
          <w:rFonts w:ascii="仿宋_GB2312" w:hAnsi="仿宋_GB2312" w:eastAsia="仿宋_GB2312"/>
          <w:b w:val="0"/>
          <w:sz w:val="32"/>
        </w:rPr>
        <w:t>6.卫生健康支出(类)行政事业单位医疗(款)公务员医疗补助(项):支出决算数为2.61万元，比上年决算减少0.05万元，下降1.88%,主要原因是：本年行政人员在职人员减少，公务员医疗补助较上年减少。</w:t>
      </w:r>
    </w:p>
    <w:p w14:paraId="555BD12D">
      <w:pPr>
        <w:spacing w:line="580" w:lineRule="exact"/>
        <w:ind w:firstLine="640"/>
        <w:jc w:val="both"/>
      </w:pPr>
      <w:r>
        <w:rPr>
          <w:rFonts w:ascii="仿宋_GB2312" w:hAnsi="仿宋_GB2312" w:eastAsia="仿宋_GB2312"/>
          <w:b w:val="0"/>
          <w:sz w:val="32"/>
        </w:rPr>
        <w:t>7.节能环保支出(类)环境保护管理事务(款)行政运行(项):支出决算数为349.32万元，比上年决算减少77.08万元，下降18.08%,主要原因是：本年度机构改革，10人整体划转喀什地区生态环境综合行政执法支队，人员减少，相应人员经费较上年减少。</w:t>
      </w:r>
    </w:p>
    <w:p w14:paraId="48B07225">
      <w:pPr>
        <w:spacing w:line="580" w:lineRule="exact"/>
        <w:ind w:firstLine="640"/>
        <w:jc w:val="both"/>
      </w:pPr>
      <w:r>
        <w:rPr>
          <w:rFonts w:ascii="仿宋_GB2312" w:hAnsi="仿宋_GB2312" w:eastAsia="仿宋_GB2312"/>
          <w:b w:val="0"/>
          <w:sz w:val="32"/>
        </w:rPr>
        <w:t>8.节能环保支出(类)环境监测与监察(款)其他环境监测与监察支出(项):支出决算数为0.00万元，比上年决算减少38.00万元，下降100.00%,主要原因是：因机构改革，污染源普查和检测项目经费由各县市财政承担。</w:t>
      </w:r>
    </w:p>
    <w:p w14:paraId="652CD837">
      <w:pPr>
        <w:spacing w:line="580" w:lineRule="exact"/>
        <w:ind w:firstLine="640"/>
        <w:jc w:val="both"/>
      </w:pPr>
      <w:r>
        <w:rPr>
          <w:rFonts w:ascii="仿宋_GB2312" w:hAnsi="仿宋_GB2312" w:eastAsia="仿宋_GB2312"/>
          <w:b w:val="0"/>
          <w:sz w:val="32"/>
        </w:rPr>
        <w:t>9.住房保障支出(类)住房改革支出(款)住房公积金(项):支出决算数为36.04万元，比上年决算增加0.09万元，增长0.25%,主要原因是：本年在职人员工资基数调增，公积金缴费基数上涨，相应支出增加。</w:t>
      </w:r>
    </w:p>
    <w:p w14:paraId="04B3514C">
      <w:pPr>
        <w:spacing w:line="640" w:lineRule="exact"/>
        <w:ind w:firstLine="640"/>
        <w:jc w:val="both"/>
        <w:outlineLvl w:val="2"/>
      </w:pPr>
      <w:r>
        <w:rPr>
          <w:rFonts w:ascii="黑体" w:hAnsi="黑体" w:eastAsia="黑体"/>
          <w:sz w:val="32"/>
        </w:rPr>
        <w:t>六、一般公共预算财政拨款基本支出决算情况说明</w:t>
      </w:r>
    </w:p>
    <w:p w14:paraId="0A6B688B">
      <w:pPr>
        <w:spacing w:line="580" w:lineRule="exact"/>
        <w:ind w:firstLine="640"/>
        <w:jc w:val="both"/>
      </w:pPr>
      <w:r>
        <w:rPr>
          <w:rFonts w:ascii="仿宋_GB2312" w:hAnsi="仿宋_GB2312" w:eastAsia="仿宋_GB2312"/>
          <w:b w:val="0"/>
          <w:sz w:val="32"/>
        </w:rPr>
        <w:t>2024年度一般公共预算财政拨款基本支出454.36万元，其中：</w:t>
      </w:r>
      <w:r>
        <w:rPr>
          <w:rFonts w:ascii="仿宋_GB2312" w:hAnsi="仿宋_GB2312" w:eastAsia="仿宋_GB2312"/>
          <w:b/>
          <w:sz w:val="32"/>
        </w:rPr>
        <w:t>人员经费419.50万元，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355CB897">
      <w:pPr>
        <w:spacing w:line="580" w:lineRule="exact"/>
        <w:ind w:firstLine="640"/>
        <w:jc w:val="both"/>
      </w:pPr>
      <w:r>
        <w:rPr>
          <w:rFonts w:ascii="仿宋_GB2312" w:hAnsi="仿宋_GB2312" w:eastAsia="仿宋_GB2312"/>
          <w:b/>
          <w:sz w:val="32"/>
        </w:rPr>
        <w:t>公用经费34.86万元，</w:t>
      </w:r>
      <w:r>
        <w:rPr>
          <w:rFonts w:ascii="仿宋_GB2312" w:hAnsi="仿宋_GB2312" w:eastAsia="仿宋_GB2312"/>
          <w:b w:val="0"/>
          <w:sz w:val="32"/>
        </w:rPr>
        <w:t>包括：办公费、印刷费、邮电费、差旅费、专用材料费、委托业务费、工会经费、公务用车运行维护费。</w:t>
      </w:r>
    </w:p>
    <w:p w14:paraId="5D1C8010">
      <w:pPr>
        <w:spacing w:line="640" w:lineRule="exact"/>
        <w:ind w:firstLine="640"/>
        <w:jc w:val="both"/>
        <w:outlineLvl w:val="2"/>
      </w:pPr>
      <w:r>
        <w:rPr>
          <w:rFonts w:ascii="黑体" w:hAnsi="黑体" w:eastAsia="黑体"/>
          <w:sz w:val="32"/>
        </w:rPr>
        <w:t>七、政府性基金预算财政拨款收入支出决算情况说明</w:t>
      </w:r>
    </w:p>
    <w:p w14:paraId="01247257">
      <w:pPr>
        <w:spacing w:line="580" w:lineRule="exact"/>
        <w:ind w:firstLine="640"/>
        <w:jc w:val="both"/>
      </w:pPr>
      <w:bookmarkStart w:id="0" w:name="_GoBack"/>
      <w:bookmarkEnd w:id="0"/>
      <w:r>
        <w:rPr>
          <w:rFonts w:hint="eastAsia" w:ascii="仿宋_GB2312" w:hAnsi="仿宋_GB2312" w:eastAsia="仿宋_GB2312"/>
          <w:b w:val="0"/>
          <w:sz w:val="32"/>
          <w:lang w:eastAsia="zh-CN"/>
        </w:rPr>
        <w:t>本单位</w:t>
      </w:r>
      <w:r>
        <w:rPr>
          <w:rFonts w:ascii="仿宋_GB2312" w:hAnsi="仿宋_GB2312" w:eastAsia="仿宋_GB2312"/>
          <w:b w:val="0"/>
          <w:sz w:val="32"/>
        </w:rPr>
        <w:t>本年度无政府性基金预算财政拨款收入、支出及结转和结余，政府性基金预算财政拨款收入支出决算表为空表。</w:t>
      </w:r>
    </w:p>
    <w:p w14:paraId="7338B5AD">
      <w:pPr>
        <w:spacing w:line="640" w:lineRule="exact"/>
        <w:ind w:firstLine="640"/>
        <w:jc w:val="both"/>
        <w:outlineLvl w:val="2"/>
      </w:pPr>
      <w:r>
        <w:rPr>
          <w:rFonts w:ascii="黑体" w:hAnsi="黑体" w:eastAsia="黑体"/>
          <w:sz w:val="32"/>
        </w:rPr>
        <w:t>八、国有资本经营预算财政拨款收入支出决算情况说明</w:t>
      </w:r>
    </w:p>
    <w:p w14:paraId="517C944E">
      <w:pPr>
        <w:spacing w:line="580" w:lineRule="exact"/>
        <w:ind w:firstLine="640"/>
        <w:jc w:val="both"/>
      </w:pPr>
      <w:r>
        <w:rPr>
          <w:rFonts w:hint="eastAsia" w:ascii="仿宋_GB2312" w:hAnsi="仿宋_GB2312" w:eastAsia="仿宋_GB2312"/>
          <w:b w:val="0"/>
          <w:sz w:val="32"/>
          <w:lang w:eastAsia="zh-CN"/>
        </w:rPr>
        <w:t>本单位</w:t>
      </w:r>
      <w:r>
        <w:rPr>
          <w:rFonts w:ascii="仿宋_GB2312" w:hAnsi="仿宋_GB2312" w:eastAsia="仿宋_GB2312"/>
          <w:b w:val="0"/>
          <w:sz w:val="32"/>
        </w:rPr>
        <w:t>本年度无国有资本经营预算财政拨款收入、支出及结转和结余，国有资本经营预算财政拨款收入支出决算表为空表。</w:t>
      </w:r>
    </w:p>
    <w:p w14:paraId="145BA918">
      <w:pPr>
        <w:spacing w:line="640" w:lineRule="exact"/>
        <w:ind w:firstLine="640"/>
        <w:jc w:val="both"/>
        <w:outlineLvl w:val="2"/>
      </w:pPr>
      <w:r>
        <w:rPr>
          <w:rFonts w:ascii="黑体" w:hAnsi="黑体" w:eastAsia="黑体"/>
          <w:sz w:val="32"/>
        </w:rPr>
        <w:t>九、财政拨款“三公”经费支出决算情况说明</w:t>
      </w:r>
    </w:p>
    <w:p w14:paraId="7452D201">
      <w:pPr>
        <w:spacing w:line="580" w:lineRule="exact"/>
        <w:ind w:firstLine="640"/>
        <w:jc w:val="both"/>
      </w:pPr>
      <w:r>
        <w:rPr>
          <w:rFonts w:ascii="仿宋_GB2312" w:hAnsi="仿宋_GB2312" w:eastAsia="仿宋_GB2312"/>
          <w:b/>
          <w:sz w:val="32"/>
        </w:rPr>
        <w:t>2024年度财政拨款“三公”经费支出7.50万元，</w:t>
      </w:r>
      <w:r>
        <w:rPr>
          <w:rFonts w:ascii="仿宋_GB2312" w:hAnsi="仿宋_GB2312" w:eastAsia="仿宋_GB2312"/>
          <w:b w:val="0"/>
          <w:sz w:val="32"/>
        </w:rPr>
        <w:t>比上年增加1.20万元，增长19.05%，主要原因是：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7.50万元，占100.00%，比上年增加1.20万元，增长19.05%，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公务用车日渐老化，维修维护成本增加，导致公务用车运行维护费较上年增加。公务接待费支出0.00万元，占0.00%，比上年增加0.00万元，增长0.00%，主要原因是：2023年与2024年均未安排公务接待费支出。</w:t>
      </w:r>
    </w:p>
    <w:p w14:paraId="45F342AD">
      <w:pPr>
        <w:spacing w:line="580" w:lineRule="exact"/>
        <w:ind w:firstLine="640"/>
        <w:jc w:val="both"/>
      </w:pPr>
      <w:r>
        <w:rPr>
          <w:rFonts w:ascii="仿宋_GB2312" w:hAnsi="仿宋_GB2312" w:eastAsia="仿宋_GB2312"/>
          <w:b/>
          <w:sz w:val="32"/>
        </w:rPr>
        <w:t>具体情况如下：</w:t>
      </w:r>
    </w:p>
    <w:p w14:paraId="714FA361">
      <w:pPr>
        <w:spacing w:line="580" w:lineRule="exact"/>
        <w:ind w:firstLine="640"/>
        <w:jc w:val="both"/>
      </w:pPr>
      <w:r>
        <w:rPr>
          <w:rFonts w:ascii="仿宋_GB2312" w:hAnsi="仿宋_GB2312" w:eastAsia="仿宋_GB2312"/>
          <w:b w:val="0"/>
          <w:sz w:val="32"/>
        </w:rPr>
        <w:t>因公出国（境）费支出0.00万元，开支内容包括</w:t>
      </w:r>
      <w:r>
        <w:rPr>
          <w:rFonts w:hint="eastAsia" w:ascii="仿宋_GB2312" w:hAnsi="仿宋_GB2312" w:eastAsia="仿宋_GB2312"/>
          <w:b w:val="0"/>
          <w:sz w:val="32"/>
          <w:lang w:eastAsia="zh-CN"/>
        </w:rPr>
        <w:t>本单位</w:t>
      </w:r>
      <w:r>
        <w:rPr>
          <w:rFonts w:ascii="仿宋_GB2312" w:hAnsi="仿宋_GB2312" w:eastAsia="仿宋_GB2312"/>
          <w:b w:val="0"/>
          <w:sz w:val="32"/>
        </w:rPr>
        <w:t>无因公出国（境）费。单位全年安排的因公出国（境）团组0个，因公出国（境）0人次。</w:t>
      </w:r>
    </w:p>
    <w:p w14:paraId="1E8B86AF">
      <w:pPr>
        <w:spacing w:line="580" w:lineRule="exact"/>
        <w:ind w:firstLine="640"/>
        <w:jc w:val="both"/>
      </w:pPr>
      <w:r>
        <w:rPr>
          <w:rFonts w:ascii="仿宋_GB2312" w:hAnsi="仿宋_GB2312" w:eastAsia="仿宋_GB2312"/>
          <w:b w:val="0"/>
          <w:sz w:val="32"/>
        </w:rPr>
        <w:t>公务用车购置及运行维护费7.50万元，其中：公务用车购置费0.00万元，公务用车运行维护费7.50万元。公务用车运行维护费开支内容包括车辆加油费、维修费、保险费、审车费、过路费。公务用车购置数0辆，公务用车保有量5辆。国有资产占用情况中固定资产车辆5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固定资产车辆与公务用车保有量一致无差异。</w:t>
      </w:r>
    </w:p>
    <w:p w14:paraId="65F1A1A9">
      <w:pPr>
        <w:spacing w:line="580" w:lineRule="exact"/>
        <w:ind w:firstLine="640"/>
        <w:jc w:val="both"/>
      </w:pPr>
      <w:r>
        <w:rPr>
          <w:rFonts w:ascii="仿宋_GB2312" w:hAnsi="仿宋_GB2312" w:eastAsia="仿宋_GB2312"/>
          <w:b w:val="0"/>
          <w:sz w:val="32"/>
        </w:rPr>
        <w:t>公务接待费0.00万元，开支内容包括</w:t>
      </w:r>
      <w:r>
        <w:rPr>
          <w:rFonts w:hint="eastAsia" w:ascii="仿宋_GB2312" w:hAnsi="仿宋_GB2312" w:eastAsia="仿宋_GB2312"/>
          <w:b w:val="0"/>
          <w:sz w:val="32"/>
          <w:lang w:eastAsia="zh-CN"/>
        </w:rPr>
        <w:t>本单位</w:t>
      </w:r>
      <w:r>
        <w:rPr>
          <w:rFonts w:ascii="仿宋_GB2312" w:hAnsi="仿宋_GB2312" w:eastAsia="仿宋_GB2312"/>
          <w:b w:val="0"/>
          <w:sz w:val="32"/>
        </w:rPr>
        <w:t>无公务接待费。单位全年安排的国内公务接待0批次，0人次。</w:t>
      </w:r>
    </w:p>
    <w:p w14:paraId="4FFB16B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7.50万元，决算数7.50万元，预决算差异率0.00%，主要原因是：严格按照预算执行，预决算无差异。其中：因公出国（境）费全年预算数0.00万元，决算数0.00万元，预决算差异率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无因公出国（境）费。公务用车购置费全年预算数0.00万元，决算数0.00万元，预决算差异率0.00%，主要原因是：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无公务用车购置费。公务用车运行维护费全年预算数7.50万元，决算数7.50万元，预决算差异率0.00%，主要原因是：严格按照预算执行，预决算无差异。公务接待费全年预算数0.00万元，决算数0.00万元，预决算差异率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无公务接待费。</w:t>
      </w:r>
    </w:p>
    <w:p w14:paraId="77C90C72">
      <w:pPr>
        <w:spacing w:line="640" w:lineRule="exact"/>
        <w:ind w:firstLine="640"/>
        <w:jc w:val="both"/>
        <w:outlineLvl w:val="2"/>
      </w:pPr>
      <w:r>
        <w:rPr>
          <w:rFonts w:ascii="黑体" w:hAnsi="黑体" w:eastAsia="黑体"/>
          <w:sz w:val="32"/>
        </w:rPr>
        <w:t>十、其他重要事项的情况说明</w:t>
      </w:r>
    </w:p>
    <w:p w14:paraId="44025E39">
      <w:pPr>
        <w:spacing w:line="640" w:lineRule="exact"/>
        <w:ind w:firstLine="640"/>
        <w:jc w:val="both"/>
        <w:outlineLvl w:val="3"/>
      </w:pPr>
      <w:r>
        <w:rPr>
          <w:rFonts w:ascii="楷体_GB2312" w:hAnsi="楷体_GB2312" w:eastAsia="楷体_GB2312"/>
          <w:b/>
          <w:sz w:val="32"/>
        </w:rPr>
        <w:t>（一）机关运行经费及公用经费支出情况</w:t>
      </w:r>
    </w:p>
    <w:p w14:paraId="0A4AC84B">
      <w:pPr>
        <w:spacing w:line="580" w:lineRule="exact"/>
        <w:ind w:firstLine="640"/>
        <w:jc w:val="both"/>
      </w:pPr>
      <w:r>
        <w:rPr>
          <w:rFonts w:ascii="仿宋_GB2312" w:hAnsi="仿宋_GB2312" w:eastAsia="仿宋_GB2312"/>
          <w:b w:val="0"/>
          <w:sz w:val="32"/>
        </w:rPr>
        <w:t>2024年度喀什地区生态环境局喀什市分局（行政单位和参照公务员法管理事业单位）机关运行经费支出34.86万元，比上年增加12.52万元，增长56.04%，主要原因是：本年业务量增加，</w:t>
      </w:r>
      <w:r>
        <w:rPr>
          <w:rFonts w:hint="eastAsia" w:ascii="仿宋_GB2312" w:hAnsi="仿宋_GB2312" w:eastAsia="仿宋_GB2312"/>
          <w:b w:val="0"/>
          <w:sz w:val="32"/>
          <w:lang w:val="en-US" w:eastAsia="zh-CN"/>
        </w:rPr>
        <w:t>专用材料费增加，导致</w:t>
      </w:r>
      <w:r>
        <w:rPr>
          <w:rFonts w:ascii="仿宋_GB2312" w:hAnsi="仿宋_GB2312" w:eastAsia="仿宋_GB2312"/>
          <w:b w:val="0"/>
          <w:sz w:val="32"/>
        </w:rPr>
        <w:t>机关运行经费增加。</w:t>
      </w:r>
    </w:p>
    <w:p w14:paraId="6AD13C77">
      <w:pPr>
        <w:spacing w:line="640" w:lineRule="exact"/>
        <w:ind w:firstLine="640"/>
        <w:jc w:val="both"/>
        <w:outlineLvl w:val="3"/>
      </w:pPr>
      <w:r>
        <w:rPr>
          <w:rFonts w:ascii="楷体_GB2312" w:hAnsi="楷体_GB2312" w:eastAsia="楷体_GB2312"/>
          <w:b/>
          <w:sz w:val="32"/>
        </w:rPr>
        <w:t>（二）政府采购情况</w:t>
      </w:r>
    </w:p>
    <w:p w14:paraId="16E79596">
      <w:pPr>
        <w:spacing w:line="580" w:lineRule="exact"/>
        <w:ind w:firstLine="640"/>
        <w:jc w:val="both"/>
      </w:pPr>
      <w:r>
        <w:rPr>
          <w:rFonts w:ascii="仿宋_GB2312" w:hAnsi="仿宋_GB2312" w:eastAsia="仿宋_GB2312"/>
          <w:b w:val="0"/>
          <w:sz w:val="32"/>
        </w:rPr>
        <w:t>2024年度政府采购支出总额20.43万元，其中：政府采购货物支出15.81万元、政府采购工程支出0.00万元、政府采购服务支出4.62万元。</w:t>
      </w:r>
    </w:p>
    <w:p w14:paraId="1C0CF74B">
      <w:pPr>
        <w:spacing w:line="580" w:lineRule="exact"/>
        <w:ind w:firstLine="640"/>
        <w:jc w:val="both"/>
      </w:pPr>
      <w:r>
        <w:rPr>
          <w:rFonts w:ascii="仿宋_GB2312" w:hAnsi="仿宋_GB2312" w:eastAsia="仿宋_GB2312"/>
          <w:b w:val="0"/>
          <w:sz w:val="32"/>
        </w:rPr>
        <w:t>授予中小企业合同金额19.87万元，占政府采购支出总额的97.26%，其中：授予小微企业合同金额19.87万元，占政府采购支出总额的97.26%。</w:t>
      </w:r>
    </w:p>
    <w:p w14:paraId="742B6E68">
      <w:pPr>
        <w:spacing w:line="640" w:lineRule="exact"/>
        <w:ind w:firstLine="640"/>
        <w:jc w:val="both"/>
        <w:outlineLvl w:val="3"/>
      </w:pPr>
      <w:r>
        <w:rPr>
          <w:rFonts w:ascii="楷体_GB2312" w:hAnsi="楷体_GB2312" w:eastAsia="楷体_GB2312"/>
          <w:b/>
          <w:sz w:val="32"/>
        </w:rPr>
        <w:t>（三）国有资产占用情况说明</w:t>
      </w:r>
    </w:p>
    <w:p w14:paraId="6F467504">
      <w:pPr>
        <w:spacing w:line="580" w:lineRule="exact"/>
        <w:ind w:firstLine="640"/>
        <w:jc w:val="both"/>
      </w:pPr>
      <w:r>
        <w:rPr>
          <w:rFonts w:ascii="仿宋_GB2312" w:hAnsi="仿宋_GB2312" w:eastAsia="仿宋_GB2312"/>
          <w:b w:val="0"/>
          <w:sz w:val="32"/>
        </w:rPr>
        <w:t>截至2024年12月31日，房屋0.00平方米，价值0.00万元。车辆5辆，价值87.53万元，其中：副部（省）级及以上领导用车0辆、主要负责人用车0辆、机要通信用车0辆、应急保障用车0辆、执法执勤用车3辆、特种专业技术用车0辆、离退休干部服务用车0辆、其他用车2辆，其他用车主要是：一般公务用车。单价100万元（含）以上设备（不含车辆）0台（套）。</w:t>
      </w:r>
    </w:p>
    <w:p w14:paraId="0906AD36">
      <w:pPr>
        <w:spacing w:line="640" w:lineRule="exact"/>
        <w:ind w:firstLine="640"/>
        <w:jc w:val="both"/>
        <w:outlineLvl w:val="2"/>
      </w:pPr>
      <w:r>
        <w:rPr>
          <w:rFonts w:ascii="黑体" w:hAnsi="黑体" w:eastAsia="黑体"/>
          <w:sz w:val="32"/>
        </w:rPr>
        <w:t>十一、预算绩效的情况说明</w:t>
      </w:r>
    </w:p>
    <w:p w14:paraId="54CB7519">
      <w:pPr>
        <w:spacing w:line="580" w:lineRule="exact"/>
        <w:ind w:firstLine="640"/>
        <w:jc w:val="both"/>
      </w:pPr>
      <w:r>
        <w:rPr>
          <w:rFonts w:ascii="仿宋_GB2312" w:hAnsi="仿宋_GB2312" w:eastAsia="仿宋_GB2312"/>
          <w:b w:val="0"/>
          <w:sz w:val="32"/>
        </w:rPr>
        <w:t>根据预算绩效管理要求，</w:t>
      </w:r>
      <w:r>
        <w:rPr>
          <w:rFonts w:hint="eastAsia" w:ascii="仿宋_GB2312" w:hAnsi="仿宋_GB2312" w:eastAsia="仿宋_GB2312"/>
          <w:b w:val="0"/>
          <w:sz w:val="32"/>
          <w:lang w:eastAsia="zh-CN"/>
        </w:rPr>
        <w:t>本单位</w:t>
      </w:r>
      <w:r>
        <w:rPr>
          <w:rFonts w:ascii="仿宋_GB2312" w:hAnsi="仿宋_GB2312" w:eastAsia="仿宋_GB2312"/>
          <w:b w:val="0"/>
          <w:sz w:val="32"/>
        </w:rPr>
        <w:t>2024年度预算绩效管理形成整体支出绩效自评表1个，全年预算总额464.36万元，实际执行总额464.36万元；预算绩效评价项目0个，全年预算数0.00万元，全年执行数0.00万元。预算绩效管理取得的成效：2024年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无预算绩效项目。发现的问题及原因：2024年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无预算绩效项目。下一步改进措施：2024年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无预算绩效项目。具体附整体支出绩效自评表。</w:t>
      </w:r>
    </w:p>
    <w:p w14:paraId="50F9A99C">
      <w:r>
        <w:br w:type="page"/>
      </w:r>
    </w:p>
    <w:tbl>
      <w:tblPr>
        <w:tblStyle w:val="9"/>
        <w:tblW w:w="0" w:type="auto"/>
        <w:tblInd w:w="0" w:type="dxa"/>
        <w:tblLayout w:type="autofit"/>
        <w:tblCellMar>
          <w:top w:w="0" w:type="dxa"/>
          <w:left w:w="108" w:type="dxa"/>
          <w:bottom w:w="0" w:type="dxa"/>
          <w:right w:w="108" w:type="dxa"/>
        </w:tblCellMar>
      </w:tblPr>
      <w:tblGrid>
        <w:gridCol w:w="974"/>
        <w:gridCol w:w="974"/>
        <w:gridCol w:w="977"/>
        <w:gridCol w:w="980"/>
        <w:gridCol w:w="1256"/>
        <w:gridCol w:w="971"/>
        <w:gridCol w:w="979"/>
        <w:gridCol w:w="977"/>
        <w:gridCol w:w="972"/>
      </w:tblGrid>
      <w:tr w14:paraId="0F3608D2">
        <w:tblPrEx>
          <w:tblCellMar>
            <w:top w:w="0" w:type="dxa"/>
            <w:left w:w="108" w:type="dxa"/>
            <w:bottom w:w="0" w:type="dxa"/>
            <w:right w:w="108" w:type="dxa"/>
          </w:tblCellMar>
        </w:tblPrEx>
        <w:tc>
          <w:tcPr>
            <w:tcW w:w="8847" w:type="dxa"/>
            <w:gridSpan w:val="9"/>
            <w:vAlign w:val="center"/>
          </w:tcPr>
          <w:p w14:paraId="20355F18">
            <w:pPr>
              <w:jc w:val="center"/>
            </w:pPr>
            <w:r>
              <w:rPr>
                <w:rFonts w:ascii="宋体" w:hAnsi="宋体" w:eastAsia="宋体"/>
                <w:sz w:val="24"/>
              </w:rPr>
              <w:t>单位整体支出绩效自评表</w:t>
            </w:r>
          </w:p>
        </w:tc>
      </w:tr>
      <w:tr w14:paraId="6EFFD9C2">
        <w:tblPrEx>
          <w:tblCellMar>
            <w:top w:w="0" w:type="dxa"/>
            <w:left w:w="108" w:type="dxa"/>
            <w:bottom w:w="0" w:type="dxa"/>
            <w:right w:w="108" w:type="dxa"/>
          </w:tblCellMar>
        </w:tblPrEx>
        <w:tc>
          <w:tcPr>
            <w:tcW w:w="8847" w:type="dxa"/>
            <w:gridSpan w:val="9"/>
            <w:vAlign w:val="center"/>
          </w:tcPr>
          <w:p w14:paraId="42FCFE6D">
            <w:pPr>
              <w:jc w:val="center"/>
            </w:pPr>
            <w:r>
              <w:rPr>
                <w:rFonts w:ascii="宋体" w:hAnsi="宋体" w:eastAsia="宋体"/>
                <w:sz w:val="24"/>
              </w:rPr>
              <w:t>（2024年度）</w:t>
            </w:r>
          </w:p>
        </w:tc>
      </w:tr>
      <w:tr w14:paraId="37BA8F9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B200F">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22A40E6">
            <w:pPr>
              <w:jc w:val="center"/>
            </w:pPr>
            <w:r>
              <w:rPr>
                <w:rFonts w:ascii="宋体" w:hAnsi="宋体" w:eastAsia="宋体"/>
                <w:sz w:val="16"/>
              </w:rPr>
              <w:t>喀什地区生态环境局喀什市分局</w:t>
            </w:r>
          </w:p>
        </w:tc>
      </w:tr>
      <w:tr w14:paraId="34A22C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89F6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FD6E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68CE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7F17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CD1B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2A4F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C250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1D174">
            <w:pPr>
              <w:jc w:val="center"/>
            </w:pPr>
            <w:r>
              <w:rPr>
                <w:rFonts w:ascii="宋体" w:hAnsi="宋体" w:eastAsia="宋体"/>
                <w:sz w:val="16"/>
              </w:rPr>
              <w:t>得分</w:t>
            </w:r>
          </w:p>
        </w:tc>
      </w:tr>
      <w:tr w14:paraId="3D3231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D066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6618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7ECE5">
            <w:pPr>
              <w:jc w:val="center"/>
            </w:pPr>
            <w:r>
              <w:rPr>
                <w:rFonts w:ascii="宋体" w:hAnsi="宋体" w:eastAsia="宋体"/>
                <w:sz w:val="16"/>
              </w:rPr>
              <w:t>561.93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430ED">
            <w:pPr>
              <w:jc w:val="center"/>
            </w:pPr>
            <w:r>
              <w:rPr>
                <w:rFonts w:ascii="宋体" w:hAnsi="宋体" w:eastAsia="宋体"/>
                <w:sz w:val="16"/>
              </w:rPr>
              <w:t>464.36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1F3F5">
            <w:pPr>
              <w:jc w:val="center"/>
            </w:pPr>
            <w:r>
              <w:rPr>
                <w:rFonts w:ascii="宋体" w:hAnsi="宋体" w:eastAsia="宋体"/>
                <w:sz w:val="16"/>
              </w:rPr>
              <w:t>464.36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675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B8B12">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16C15">
            <w:pPr>
              <w:jc w:val="center"/>
            </w:pPr>
            <w:r>
              <w:rPr>
                <w:rFonts w:ascii="宋体" w:hAnsi="宋体" w:eastAsia="宋体"/>
                <w:sz w:val="16"/>
              </w:rPr>
              <w:t>10</w:t>
            </w:r>
          </w:p>
        </w:tc>
      </w:tr>
      <w:tr w14:paraId="722B02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BC48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0E65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9B47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46A3B">
            <w:pPr>
              <w:jc w:val="center"/>
            </w:pPr>
            <w:r>
              <w:rPr>
                <w:rFonts w:ascii="宋体" w:hAnsi="宋体" w:eastAsia="宋体"/>
                <w:sz w:val="16"/>
              </w:rPr>
              <w:t>5.52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B20F7">
            <w:pPr>
              <w:jc w:val="center"/>
            </w:pPr>
            <w:r>
              <w:rPr>
                <w:rFonts w:ascii="宋体" w:hAnsi="宋体" w:eastAsia="宋体"/>
                <w:sz w:val="16"/>
              </w:rPr>
              <w:t>5.52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64B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68BF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0A38E">
            <w:pPr>
              <w:jc w:val="center"/>
            </w:pPr>
            <w:r>
              <w:rPr>
                <w:rFonts w:ascii="宋体" w:hAnsi="宋体" w:eastAsia="宋体"/>
                <w:sz w:val="16"/>
              </w:rPr>
              <w:t>—</w:t>
            </w:r>
          </w:p>
        </w:tc>
      </w:tr>
      <w:tr w14:paraId="1796F7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518A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3AEB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A116C">
            <w:pPr>
              <w:jc w:val="center"/>
            </w:pPr>
            <w:r>
              <w:rPr>
                <w:rFonts w:ascii="宋体" w:hAnsi="宋体" w:eastAsia="宋体"/>
                <w:sz w:val="16"/>
              </w:rPr>
              <w:t>561.93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207AC">
            <w:pPr>
              <w:jc w:val="center"/>
            </w:pPr>
            <w:r>
              <w:rPr>
                <w:rFonts w:ascii="宋体" w:hAnsi="宋体" w:eastAsia="宋体"/>
                <w:sz w:val="16"/>
              </w:rPr>
              <w:t>448.84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E4336">
            <w:pPr>
              <w:jc w:val="center"/>
            </w:pPr>
            <w:r>
              <w:rPr>
                <w:rFonts w:ascii="宋体" w:hAnsi="宋体" w:eastAsia="宋体"/>
                <w:sz w:val="16"/>
              </w:rPr>
              <w:t>448.84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A2D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8D18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B7484">
            <w:pPr>
              <w:jc w:val="center"/>
            </w:pPr>
            <w:r>
              <w:rPr>
                <w:rFonts w:ascii="宋体" w:hAnsi="宋体" w:eastAsia="宋体"/>
                <w:sz w:val="16"/>
              </w:rPr>
              <w:t>—</w:t>
            </w:r>
          </w:p>
        </w:tc>
      </w:tr>
      <w:tr w14:paraId="20865B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C819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9C84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5DC3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CC1E3">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27544">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CF7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BDFC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B8765">
            <w:pPr>
              <w:jc w:val="center"/>
            </w:pPr>
            <w:r>
              <w:rPr>
                <w:rFonts w:ascii="宋体" w:hAnsi="宋体" w:eastAsia="宋体"/>
                <w:sz w:val="16"/>
              </w:rPr>
              <w:t>—</w:t>
            </w:r>
          </w:p>
        </w:tc>
      </w:tr>
      <w:tr w14:paraId="3B15E37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2232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4D51E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086E07">
            <w:pPr>
              <w:jc w:val="center"/>
            </w:pPr>
            <w:r>
              <w:rPr>
                <w:rFonts w:ascii="宋体" w:hAnsi="宋体" w:eastAsia="宋体"/>
                <w:sz w:val="16"/>
              </w:rPr>
              <w:t>实际完成情况</w:t>
            </w:r>
          </w:p>
        </w:tc>
      </w:tr>
      <w:tr w14:paraId="66C39F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E8B0D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77AC4A">
            <w:pPr>
              <w:jc w:val="both"/>
            </w:pPr>
            <w:r>
              <w:rPr>
                <w:rFonts w:ascii="宋体" w:hAnsi="宋体" w:eastAsia="宋体"/>
                <w:sz w:val="16"/>
              </w:rPr>
              <w:t>以改善环境质量为核心，以解决突出环境问题为重点，扎实推进生态文明建设和生态环境保护，持续深入打好污染防治攻坚战，做好大气环境、声环境、水环境质量监测工作，及时掌握城市环境状况变化打好碧水保卫战。用好衔接资金9121.5万元，开展7个乡镇14个村农村生活污水管线的建设。做好企业监管服务，督促68家持证企业（排污许可证）按时完成自行监测，确保数据公开率达到90%以上。扎实开展市域生态环境质量考核，每季度上报数据并编制报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1FCE5C">
            <w:pPr>
              <w:jc w:val="both"/>
            </w:pPr>
            <w:r>
              <w:rPr>
                <w:rFonts w:ascii="宋体" w:hAnsi="宋体" w:eastAsia="宋体"/>
                <w:sz w:val="16"/>
              </w:rPr>
              <w:t>紧紧围绕年初确定的发展目标任务，坚决打好污染防治攻坚战，积极推进各级督察反馈问题整改，全面加强我市生态文明建设，全体干部团结一心、主动担当作为，坚定实干步伐，各项工作有序推进。扎实推进了生态文明建设和生态环境保护，持续深入打好污染防治攻坚战，做好大气环境、声环境、水环境质量监测工作，常态化对三个国控站点周边进行巡查，截至目前已安排巡查300人次，针对发现的问题下发督办函33份。及时掌握城市环境状况变化打好碧水保卫战，完成“千吨万人”以上农村饮用水水源地水质监测、地表水及农田灌溉水质监测数据上报工作，1）全市河流监测断面达到或好于Ⅲ类水以上。2）扎实开展市域生态环境质量考核，每季度上报数据并编制报告，3）用好衔接资金9121.5万元，开展7个乡镇14个村农村生活污水管线的建设，有效提高了农村生活污水治理率。4）做好企业监管服务，督促68家持证企业（排污许可证）按时完成自行监测，确保数据公开率达到90%以上，高效办理各类生态环境投诉案件，切实维护群众合法权益，5）喀什市全年空气质量优良天数达47%以上。</w:t>
            </w:r>
          </w:p>
        </w:tc>
      </w:tr>
      <w:tr w14:paraId="5A7EC6C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39D5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BB10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29D7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B71B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7CF1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2029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78E2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10FB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1DD55">
            <w:pPr>
              <w:jc w:val="center"/>
            </w:pPr>
            <w:r>
              <w:rPr>
                <w:rFonts w:ascii="宋体" w:hAnsi="宋体" w:eastAsia="宋体"/>
                <w:sz w:val="16"/>
              </w:rPr>
              <w:t>得分</w:t>
            </w:r>
          </w:p>
        </w:tc>
      </w:tr>
      <w:tr w14:paraId="303DEAE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EDAE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8478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B45F8">
            <w:pPr>
              <w:jc w:val="center"/>
            </w:pPr>
            <w:r>
              <w:rPr>
                <w:rFonts w:ascii="宋体" w:hAnsi="宋体" w:eastAsia="宋体"/>
                <w:sz w:val="16"/>
              </w:rPr>
              <w:t>全市河流监测断面达到或好于Ⅲ类水体比例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8E8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1F109">
            <w:pPr>
              <w:jc w:val="center"/>
            </w:pPr>
            <w:r>
              <w:rPr>
                <w:rFonts w:ascii="宋体" w:hAnsi="宋体" w:eastAsia="宋体"/>
                <w:sz w:val="16"/>
              </w:rPr>
              <w:t>《“十四五”国家重点生态功能区县域生态环境质量监测与评价指标体系及实施细则》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C550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C52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D22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736FA">
            <w:pPr>
              <w:jc w:val="center"/>
            </w:pPr>
            <w:r>
              <w:rPr>
                <w:rFonts w:ascii="宋体" w:hAnsi="宋体" w:eastAsia="宋体"/>
                <w:sz w:val="16"/>
              </w:rPr>
              <w:t>20</w:t>
            </w:r>
          </w:p>
        </w:tc>
      </w:tr>
      <w:tr w14:paraId="49BBCB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9AFF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4105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984B4">
            <w:pPr>
              <w:jc w:val="center"/>
            </w:pPr>
            <w:r>
              <w:rPr>
                <w:rFonts w:ascii="宋体" w:hAnsi="宋体" w:eastAsia="宋体"/>
                <w:sz w:val="16"/>
              </w:rPr>
              <w:t>扎实开展市域生态环境质量考核</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C59E7">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00424">
            <w:pPr>
              <w:jc w:val="center"/>
            </w:pPr>
            <w:r>
              <w:rPr>
                <w:rFonts w:ascii="宋体" w:hAnsi="宋体" w:eastAsia="宋体"/>
                <w:sz w:val="16"/>
              </w:rPr>
              <w:t>喀什地区生态环境局喀什市分局2024年工作计划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5073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5A6A4">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02A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24A01">
            <w:pPr>
              <w:jc w:val="center"/>
            </w:pPr>
            <w:r>
              <w:rPr>
                <w:rFonts w:ascii="宋体" w:hAnsi="宋体" w:eastAsia="宋体"/>
                <w:sz w:val="16"/>
              </w:rPr>
              <w:t>20</w:t>
            </w:r>
          </w:p>
        </w:tc>
      </w:tr>
      <w:tr w14:paraId="5B6ACD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EAD4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C0D3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FC138">
            <w:pPr>
              <w:jc w:val="center"/>
            </w:pPr>
            <w:r>
              <w:rPr>
                <w:rFonts w:ascii="宋体" w:hAnsi="宋体" w:eastAsia="宋体"/>
                <w:sz w:val="16"/>
              </w:rPr>
              <w:t>完成7个乡镇14个村农村生活污水管线的建设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2D29D">
            <w:pPr>
              <w:jc w:val="center"/>
            </w:pPr>
            <w:r>
              <w:rPr>
                <w:rFonts w:ascii="宋体" w:hAnsi="宋体" w:eastAsia="宋体"/>
                <w:sz w:val="16"/>
              </w:rPr>
              <w:t>&gt;=92.34公里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C6D4E">
            <w:pPr>
              <w:jc w:val="center"/>
            </w:pPr>
            <w:r>
              <w:rPr>
                <w:rFonts w:ascii="宋体" w:hAnsi="宋体" w:eastAsia="宋体"/>
                <w:sz w:val="16"/>
              </w:rPr>
              <w:t>项目启动通知书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EAB5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057ED">
            <w:pPr>
              <w:jc w:val="center"/>
            </w:pPr>
            <w:r>
              <w:rPr>
                <w:rFonts w:ascii="宋体" w:hAnsi="宋体" w:eastAsia="宋体"/>
                <w:sz w:val="16"/>
              </w:rPr>
              <w:t>92.34公里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615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A5971">
            <w:pPr>
              <w:jc w:val="center"/>
            </w:pPr>
            <w:r>
              <w:rPr>
                <w:rFonts w:ascii="宋体" w:hAnsi="宋体" w:eastAsia="宋体"/>
                <w:sz w:val="16"/>
              </w:rPr>
              <w:t>20</w:t>
            </w:r>
          </w:p>
        </w:tc>
      </w:tr>
      <w:tr w14:paraId="5B08AD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F5C8A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28DF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4A748">
            <w:pPr>
              <w:jc w:val="center"/>
            </w:pPr>
            <w:r>
              <w:rPr>
                <w:rFonts w:ascii="宋体" w:hAnsi="宋体" w:eastAsia="宋体"/>
                <w:sz w:val="16"/>
              </w:rPr>
              <w:t>督促排污许可证持证企业自行监测数据公开率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14CCC">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2B718">
            <w:pPr>
              <w:jc w:val="center"/>
            </w:pPr>
            <w:r>
              <w:rPr>
                <w:rFonts w:ascii="宋体" w:hAnsi="宋体" w:eastAsia="宋体"/>
                <w:sz w:val="16"/>
              </w:rPr>
              <w:t>喀什地区生态环境局喀什市分局2024年工作计划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57CA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88BE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8032D">
            <w:pPr>
              <w:jc w:val="center"/>
            </w:pPr>
            <w:r>
              <w:rPr>
                <w:rFonts w:ascii="宋体" w:hAnsi="宋体" w:eastAsia="宋体"/>
                <w:sz w:val="16"/>
              </w:rPr>
              <w:t>105.26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B42C4">
            <w:pPr>
              <w:jc w:val="center"/>
            </w:pPr>
            <w:r>
              <w:rPr>
                <w:rFonts w:ascii="宋体" w:hAnsi="宋体" w:eastAsia="宋体"/>
                <w:sz w:val="16"/>
              </w:rPr>
              <w:t>20</w:t>
            </w:r>
          </w:p>
        </w:tc>
      </w:tr>
      <w:tr w14:paraId="1BC52E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BE47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73CD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5D063">
            <w:pPr>
              <w:jc w:val="center"/>
            </w:pPr>
            <w:r>
              <w:rPr>
                <w:rFonts w:ascii="宋体" w:hAnsi="宋体" w:eastAsia="宋体"/>
                <w:sz w:val="16"/>
              </w:rPr>
              <w:t>喀什市全年空气质量优良天数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51175">
            <w:pPr>
              <w:jc w:val="center"/>
            </w:pPr>
            <w:r>
              <w:rPr>
                <w:rFonts w:ascii="宋体" w:hAnsi="宋体" w:eastAsia="宋体"/>
                <w:sz w:val="16"/>
              </w:rPr>
              <w:t>&gt;=42.70%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03BB4">
            <w:pPr>
              <w:jc w:val="center"/>
            </w:pPr>
            <w:r>
              <w:rPr>
                <w:rFonts w:ascii="宋体" w:hAnsi="宋体" w:eastAsia="宋体"/>
                <w:sz w:val="16"/>
              </w:rPr>
              <w:t>喀什市大气污染防治三年（2023-2025）攻坚行动方案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06AF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DD082">
            <w:pPr>
              <w:jc w:val="center"/>
            </w:pPr>
            <w:r>
              <w:rPr>
                <w:rFonts w:ascii="宋体" w:hAnsi="宋体" w:eastAsia="宋体"/>
                <w:sz w:val="16"/>
              </w:rPr>
              <w:t>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BF0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8CC94">
            <w:pPr>
              <w:jc w:val="center"/>
            </w:pPr>
            <w:r>
              <w:rPr>
                <w:rFonts w:ascii="宋体" w:hAnsi="宋体" w:eastAsia="宋体"/>
                <w:sz w:val="16"/>
              </w:rPr>
              <w:t>10</w:t>
            </w:r>
          </w:p>
        </w:tc>
      </w:tr>
    </w:tbl>
    <w:p w14:paraId="716D6FBA">
      <w:r>
        <w:br w:type="page"/>
      </w:r>
    </w:p>
    <w:p w14:paraId="6A9E73D1">
      <w:pPr>
        <w:spacing w:line="640" w:lineRule="exact"/>
        <w:ind w:firstLine="640"/>
        <w:jc w:val="both"/>
        <w:outlineLvl w:val="2"/>
      </w:pPr>
      <w:r>
        <w:rPr>
          <w:rFonts w:ascii="黑体" w:hAnsi="黑体" w:eastAsia="黑体"/>
          <w:sz w:val="32"/>
        </w:rPr>
        <w:t>十二、其他需说明的事项</w:t>
      </w:r>
    </w:p>
    <w:p w14:paraId="4807007D">
      <w:pPr>
        <w:spacing w:line="580" w:lineRule="exact"/>
        <w:ind w:firstLine="640"/>
        <w:jc w:val="both"/>
      </w:pPr>
      <w:r>
        <w:rPr>
          <w:rFonts w:hint="eastAsia" w:ascii="仿宋_GB2312" w:hAnsi="仿宋_GB2312" w:eastAsia="仿宋_GB2312"/>
          <w:b w:val="0"/>
          <w:sz w:val="32"/>
          <w:lang w:eastAsia="zh-CN"/>
        </w:rPr>
        <w:t>本单位</w:t>
      </w:r>
      <w:r>
        <w:rPr>
          <w:rFonts w:ascii="仿宋_GB2312" w:hAnsi="仿宋_GB2312" w:eastAsia="仿宋_GB2312"/>
          <w:b w:val="0"/>
          <w:sz w:val="32"/>
        </w:rPr>
        <w:t>无其他需说明的事项。</w:t>
      </w:r>
    </w:p>
    <w:p w14:paraId="3DC343E7">
      <w:r>
        <w:br w:type="page"/>
      </w:r>
    </w:p>
    <w:p w14:paraId="41E2B965">
      <w:pPr>
        <w:spacing w:line="240" w:lineRule="auto"/>
        <w:jc w:val="center"/>
        <w:outlineLvl w:val="1"/>
      </w:pPr>
      <w:r>
        <w:rPr>
          <w:rFonts w:ascii="黑体" w:hAnsi="黑体" w:eastAsia="黑体"/>
          <w:sz w:val="32"/>
        </w:rPr>
        <w:t>第三部分 专业名词解释</w:t>
      </w:r>
    </w:p>
    <w:p w14:paraId="517049F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8C5733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D994F2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425E92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350ED5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A3B329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61F7DA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DF6729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B4F03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52DB1F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58F40F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37F88A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8F4B19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E7167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3EEF1F">
      <w:r>
        <w:br w:type="page"/>
      </w:r>
    </w:p>
    <w:p w14:paraId="546B9B72">
      <w:pPr>
        <w:spacing w:line="240" w:lineRule="auto"/>
        <w:jc w:val="center"/>
        <w:outlineLvl w:val="1"/>
      </w:pPr>
      <w:r>
        <w:rPr>
          <w:rFonts w:ascii="黑体" w:hAnsi="黑体" w:eastAsia="黑体"/>
          <w:sz w:val="32"/>
        </w:rPr>
        <w:t>第四部分 部门决算报表（见附表）</w:t>
      </w:r>
    </w:p>
    <w:p w14:paraId="7B2D9098">
      <w:pPr>
        <w:spacing w:line="240" w:lineRule="auto"/>
        <w:ind w:firstLine="640"/>
        <w:jc w:val="both"/>
      </w:pPr>
      <w:r>
        <w:rPr>
          <w:rFonts w:ascii="仿宋_GB2312" w:hAnsi="仿宋_GB2312" w:eastAsia="仿宋_GB2312"/>
          <w:b w:val="0"/>
          <w:sz w:val="32"/>
        </w:rPr>
        <w:t>一、《收入支出决算总表》</w:t>
      </w:r>
    </w:p>
    <w:p w14:paraId="77D624C5">
      <w:pPr>
        <w:spacing w:line="240" w:lineRule="auto"/>
        <w:ind w:firstLine="640"/>
        <w:jc w:val="both"/>
      </w:pPr>
      <w:r>
        <w:rPr>
          <w:rFonts w:ascii="仿宋_GB2312" w:hAnsi="仿宋_GB2312" w:eastAsia="仿宋_GB2312"/>
          <w:b w:val="0"/>
          <w:sz w:val="32"/>
        </w:rPr>
        <w:t>二、《收入决算表》</w:t>
      </w:r>
    </w:p>
    <w:p w14:paraId="3D612D71">
      <w:pPr>
        <w:spacing w:line="240" w:lineRule="auto"/>
        <w:ind w:firstLine="640"/>
        <w:jc w:val="both"/>
      </w:pPr>
      <w:r>
        <w:rPr>
          <w:rFonts w:ascii="仿宋_GB2312" w:hAnsi="仿宋_GB2312" w:eastAsia="仿宋_GB2312"/>
          <w:b w:val="0"/>
          <w:sz w:val="32"/>
        </w:rPr>
        <w:t>三、《支出决算表》</w:t>
      </w:r>
    </w:p>
    <w:p w14:paraId="2D848830">
      <w:pPr>
        <w:spacing w:line="240" w:lineRule="auto"/>
        <w:ind w:firstLine="640"/>
        <w:jc w:val="both"/>
      </w:pPr>
      <w:r>
        <w:rPr>
          <w:rFonts w:ascii="仿宋_GB2312" w:hAnsi="仿宋_GB2312" w:eastAsia="仿宋_GB2312"/>
          <w:b w:val="0"/>
          <w:sz w:val="32"/>
        </w:rPr>
        <w:t>四、《财政拨款收入支出决算总表》</w:t>
      </w:r>
    </w:p>
    <w:p w14:paraId="70CFD98F">
      <w:pPr>
        <w:spacing w:line="240" w:lineRule="auto"/>
        <w:ind w:firstLine="640"/>
        <w:jc w:val="both"/>
      </w:pPr>
      <w:r>
        <w:rPr>
          <w:rFonts w:ascii="仿宋_GB2312" w:hAnsi="仿宋_GB2312" w:eastAsia="仿宋_GB2312"/>
          <w:b w:val="0"/>
          <w:sz w:val="32"/>
        </w:rPr>
        <w:t>五、《一般公共预算财政拨款支出决算表》</w:t>
      </w:r>
    </w:p>
    <w:p w14:paraId="3AAECBC0">
      <w:pPr>
        <w:spacing w:line="240" w:lineRule="auto"/>
        <w:ind w:firstLine="640"/>
        <w:jc w:val="both"/>
      </w:pPr>
      <w:r>
        <w:rPr>
          <w:rFonts w:ascii="仿宋_GB2312" w:hAnsi="仿宋_GB2312" w:eastAsia="仿宋_GB2312"/>
          <w:b w:val="0"/>
          <w:sz w:val="32"/>
        </w:rPr>
        <w:t>六、《一般公共预算财政拨款基本支出决算表》</w:t>
      </w:r>
    </w:p>
    <w:p w14:paraId="2223BB46">
      <w:pPr>
        <w:spacing w:line="240" w:lineRule="auto"/>
        <w:ind w:firstLine="640"/>
        <w:jc w:val="both"/>
      </w:pPr>
      <w:r>
        <w:rPr>
          <w:rFonts w:ascii="仿宋_GB2312" w:hAnsi="仿宋_GB2312" w:eastAsia="仿宋_GB2312"/>
          <w:b w:val="0"/>
          <w:sz w:val="32"/>
        </w:rPr>
        <w:t>七、《政府性基金预算财政拨款收入支出决算表》</w:t>
      </w:r>
    </w:p>
    <w:p w14:paraId="61F63704">
      <w:pPr>
        <w:spacing w:line="240" w:lineRule="auto"/>
        <w:ind w:firstLine="640"/>
        <w:jc w:val="both"/>
      </w:pPr>
      <w:r>
        <w:rPr>
          <w:rFonts w:ascii="仿宋_GB2312" w:hAnsi="仿宋_GB2312" w:eastAsia="仿宋_GB2312"/>
          <w:b w:val="0"/>
          <w:sz w:val="32"/>
        </w:rPr>
        <w:t>八、《国有资本经营预算财政拨款收入支出决算表》</w:t>
      </w:r>
    </w:p>
    <w:p w14:paraId="3E1845B8">
      <w:pPr>
        <w:spacing w:line="240" w:lineRule="auto"/>
        <w:ind w:firstLine="640"/>
        <w:jc w:val="both"/>
      </w:pPr>
      <w:r>
        <w:rPr>
          <w:rFonts w:ascii="仿宋_GB2312" w:hAnsi="仿宋_GB2312" w:eastAsia="仿宋_GB2312"/>
          <w:b w:val="0"/>
          <w:sz w:val="32"/>
        </w:rPr>
        <w:t>九、《财政拨款“三公”经费支出决算表》</w:t>
      </w:r>
    </w:p>
    <w:p w14:paraId="46FBD9D9">
      <w:pPr>
        <w:spacing w:line="240" w:lineRule="auto"/>
        <w:ind w:firstLine="640"/>
        <w:jc w:val="both"/>
      </w:pPr>
    </w:p>
    <w:p w14:paraId="6CFF908C">
      <w:pPr>
        <w:spacing w:line="240" w:lineRule="auto"/>
        <w:ind w:firstLine="640"/>
        <w:jc w:val="both"/>
      </w:pPr>
    </w:p>
    <w:p w14:paraId="124773E7">
      <w:pPr>
        <w:spacing w:line="240" w:lineRule="auto"/>
        <w:ind w:firstLine="640"/>
        <w:jc w:val="both"/>
      </w:pPr>
    </w:p>
    <w:p w14:paraId="019B9E08">
      <w:pPr>
        <w:spacing w:line="240" w:lineRule="auto"/>
        <w:ind w:firstLine="640"/>
        <w:jc w:val="both"/>
      </w:pPr>
    </w:p>
    <w:p w14:paraId="46A8F65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174F34"/>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080679"/>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56482A"/>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5488</Words>
  <Characters>6256</Characters>
  <Lines>0</Lines>
  <Paragraphs>0</Paragraphs>
  <TotalTime>6</TotalTime>
  <ScaleCrop>false</ScaleCrop>
  <LinksUpToDate>false</LinksUpToDate>
  <CharactersWithSpaces>6264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2025-09-03T10:53:36Z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