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喀什地区生态环境局塔什库尔干塔吉克自治县分局2024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831DCB6">
      <w:r>
        <w:br w:type="page"/>
      </w:r>
    </w:p>
    <w:p w14:paraId="5B95CED8">
      <w:pPr>
        <w:spacing w:line="640" w:lineRule="exact"/>
        <w:jc w:val="center"/>
        <w:outlineLvl w:val="1"/>
      </w:pPr>
      <w:r>
        <w:rPr>
          <w:rFonts w:ascii="黑体" w:hAnsi="黑体" w:eastAsia="黑体"/>
          <w:sz w:val="32"/>
        </w:rPr>
        <w:t>第一部分 单位概况</w:t>
      </w:r>
    </w:p>
    <w:p w14:paraId="4A540B67">
      <w:pPr>
        <w:spacing w:line="640" w:lineRule="exact"/>
        <w:ind w:firstLine="640"/>
        <w:jc w:val="both"/>
        <w:outlineLvl w:val="2"/>
      </w:pPr>
      <w:r>
        <w:rPr>
          <w:rFonts w:ascii="黑体" w:hAnsi="黑体" w:eastAsia="黑体"/>
          <w:sz w:val="32"/>
        </w:rPr>
        <w:t>一、主要职能</w:t>
      </w:r>
    </w:p>
    <w:p w14:paraId="36DB2A2C">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贯彻落实国家关于环境保护</w:t>
      </w:r>
      <w:r>
        <w:rPr>
          <w:rFonts w:hint="eastAsia" w:ascii="仿宋_GB2312" w:hAnsi="仿宋_GB2312" w:eastAsia="仿宋_GB2312"/>
          <w:sz w:val="32"/>
          <w:lang w:eastAsia="zh-CN"/>
        </w:rPr>
        <w:t>方针</w:t>
      </w:r>
      <w:r>
        <w:rPr>
          <w:rFonts w:ascii="仿宋_GB2312" w:hAnsi="仿宋_GB2312" w:eastAsia="仿宋_GB2312"/>
          <w:sz w:val="32"/>
        </w:rPr>
        <w:t>、法规、规章和政策；制定环境保护规划并组织实施，建立健全环境保护制度。</w:t>
      </w:r>
    </w:p>
    <w:p w14:paraId="47A27CBC">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负责本县重大环境问题的统筹协调和监督管理。牵头组织协调重大环境污染事故和生态破坏事件调查处理，参与协调解决环境污染等问题。</w:t>
      </w:r>
    </w:p>
    <w:p w14:paraId="6473845B">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承担落实本县污染物排放监管责任。组织制定主要污染物排放总量控制计划并监督实施，落实排污许可证制度</w:t>
      </w:r>
      <w:r>
        <w:rPr>
          <w:rFonts w:hint="eastAsia" w:ascii="仿宋_GB2312" w:hAnsi="仿宋_GB2312" w:eastAsia="仿宋_GB2312"/>
          <w:sz w:val="32"/>
          <w:lang w:eastAsia="zh-CN"/>
        </w:rPr>
        <w:t>，监管</w:t>
      </w:r>
      <w:r>
        <w:rPr>
          <w:rFonts w:ascii="仿宋_GB2312" w:hAnsi="仿宋_GB2312" w:eastAsia="仿宋_GB2312"/>
          <w:sz w:val="32"/>
        </w:rPr>
        <w:t>督促有关单位履行排污责任及减排。</w:t>
      </w:r>
    </w:p>
    <w:p w14:paraId="737968EE">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负责本县环境保护领域的固定资产投资方向、规模及项目安排建议。</w:t>
      </w:r>
    </w:p>
    <w:p w14:paraId="501F52FA">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负责本县环境污染防治监督管理。</w:t>
      </w:r>
    </w:p>
    <w:p w14:paraId="37045DF8">
      <w:pPr>
        <w:spacing w:line="640" w:lineRule="exact"/>
        <w:ind w:firstLine="640"/>
        <w:jc w:val="both"/>
        <w:outlineLvl w:val="2"/>
      </w:pPr>
      <w:r>
        <w:rPr>
          <w:rFonts w:ascii="黑体" w:hAnsi="黑体" w:eastAsia="黑体"/>
          <w:sz w:val="32"/>
        </w:rPr>
        <w:t>二、机构设置及人员情况</w:t>
      </w:r>
    </w:p>
    <w:p w14:paraId="2AA879F7">
      <w:pPr>
        <w:spacing w:line="580" w:lineRule="exact"/>
        <w:ind w:firstLine="640"/>
        <w:jc w:val="both"/>
      </w:pPr>
      <w:r>
        <w:rPr>
          <w:rFonts w:ascii="仿宋_GB2312" w:hAnsi="仿宋_GB2312" w:eastAsia="仿宋_GB2312"/>
          <w:sz w:val="32"/>
        </w:rPr>
        <w:t>喀什地区生态环境局塔什库尔干塔吉克自治县分局2024年度，实有人数5人，其中：在职人员5人，减少2人；离休人员0人，增加0人；退休人员0人,减少3人。</w:t>
      </w:r>
    </w:p>
    <w:p w14:paraId="7479777A">
      <w:pPr>
        <w:spacing w:line="580" w:lineRule="exact"/>
        <w:ind w:firstLine="640"/>
        <w:jc w:val="both"/>
      </w:pPr>
      <w:r>
        <w:rPr>
          <w:rFonts w:ascii="仿宋_GB2312" w:hAnsi="仿宋_GB2312" w:eastAsia="仿宋_GB2312"/>
          <w:sz w:val="32"/>
        </w:rPr>
        <w:t>喀什地区生态环境局塔什库尔干塔吉克自治县分局无下属预算单位，下设4个科室，分别是：办公室、业务室、财务室、生态环境</w:t>
      </w:r>
      <w:r>
        <w:rPr>
          <w:rFonts w:hint="eastAsia" w:ascii="仿宋_GB2312" w:hAnsi="仿宋_GB2312" w:eastAsia="仿宋_GB2312"/>
          <w:sz w:val="32"/>
          <w:lang w:eastAsia="zh-CN"/>
        </w:rPr>
        <w:t>综合</w:t>
      </w:r>
      <w:r>
        <w:rPr>
          <w:rFonts w:ascii="仿宋_GB2312" w:hAnsi="仿宋_GB2312" w:eastAsia="仿宋_GB2312"/>
          <w:sz w:val="32"/>
        </w:rPr>
        <w:t>行政执法大队。</w:t>
      </w:r>
    </w:p>
    <w:p w14:paraId="24314B34">
      <w:r>
        <w:br w:type="page"/>
      </w:r>
    </w:p>
    <w:p w14:paraId="7BE897DA">
      <w:pPr>
        <w:spacing w:line="240" w:lineRule="auto"/>
        <w:jc w:val="center"/>
        <w:outlineLvl w:val="1"/>
      </w:pPr>
      <w:r>
        <w:rPr>
          <w:rFonts w:ascii="黑体" w:hAnsi="黑体" w:eastAsia="黑体"/>
          <w:sz w:val="32"/>
        </w:rPr>
        <w:t>第二部分 部门决算情况说明</w:t>
      </w:r>
    </w:p>
    <w:p w14:paraId="471148C9">
      <w:pPr>
        <w:spacing w:line="640" w:lineRule="exact"/>
        <w:ind w:firstLine="640"/>
        <w:jc w:val="both"/>
        <w:outlineLvl w:val="2"/>
      </w:pPr>
      <w:r>
        <w:rPr>
          <w:rFonts w:ascii="黑体" w:hAnsi="黑体" w:eastAsia="黑体"/>
          <w:sz w:val="32"/>
        </w:rPr>
        <w:t>一、收入支出决算总体情况说明</w:t>
      </w:r>
    </w:p>
    <w:p w14:paraId="0CE550CB">
      <w:pPr>
        <w:spacing w:line="580" w:lineRule="exact"/>
        <w:ind w:firstLine="640"/>
        <w:jc w:val="both"/>
      </w:pPr>
      <w:r>
        <w:rPr>
          <w:rFonts w:ascii="仿宋_GB2312" w:hAnsi="仿宋_GB2312" w:eastAsia="仿宋_GB2312"/>
          <w:b/>
          <w:sz w:val="32"/>
        </w:rPr>
        <w:t>2024年度收入总计117.13万元，</w:t>
      </w:r>
      <w:r>
        <w:rPr>
          <w:rFonts w:ascii="仿宋_GB2312" w:hAnsi="仿宋_GB2312" w:eastAsia="仿宋_GB2312"/>
          <w:b w:val="0"/>
          <w:sz w:val="32"/>
        </w:rPr>
        <w:t>其中：本年收入合计117.13万元，使用非财政拨款结余（含专用结余）0.00万元，年初结转和结余0.00万元。</w:t>
      </w:r>
    </w:p>
    <w:p w14:paraId="1443898B">
      <w:pPr>
        <w:spacing w:line="580" w:lineRule="exact"/>
        <w:ind w:firstLine="640"/>
        <w:jc w:val="both"/>
      </w:pPr>
      <w:r>
        <w:rPr>
          <w:rFonts w:ascii="仿宋_GB2312" w:hAnsi="仿宋_GB2312" w:eastAsia="仿宋_GB2312"/>
          <w:b/>
          <w:sz w:val="32"/>
        </w:rPr>
        <w:t>2024年度支出总计117.13万元，</w:t>
      </w:r>
      <w:r>
        <w:rPr>
          <w:rFonts w:ascii="仿宋_GB2312" w:hAnsi="仿宋_GB2312" w:eastAsia="仿宋_GB2312"/>
          <w:b w:val="0"/>
          <w:sz w:val="32"/>
        </w:rPr>
        <w:t>其中：本年支出合计117.13万元，结余分配0.00万元，年末结转和结余0.00万元。</w:t>
      </w:r>
    </w:p>
    <w:p w14:paraId="3BEA35C5">
      <w:pPr>
        <w:spacing w:line="580" w:lineRule="exact"/>
        <w:ind w:firstLine="640"/>
        <w:jc w:val="both"/>
      </w:pPr>
      <w:r>
        <w:rPr>
          <w:rFonts w:ascii="仿宋_GB2312" w:hAnsi="仿宋_GB2312" w:eastAsia="仿宋_GB2312"/>
          <w:b w:val="0"/>
          <w:sz w:val="32"/>
        </w:rPr>
        <w:t>收入支出总体与上年相比，减少1,629.10万元，下降93.29%，主要原因是：本年塔县分局财务权限上收至地区生态环境局，本年减少</w:t>
      </w:r>
      <w:r>
        <w:rPr>
          <w:rFonts w:hint="eastAsia" w:ascii="仿宋_GB2312" w:hAnsi="仿宋_GB2312" w:eastAsia="仿宋_GB2312"/>
          <w:b w:val="0"/>
          <w:sz w:val="32"/>
          <w:lang w:eastAsia="zh-CN"/>
        </w:rPr>
        <w:t>塔什库尔干塔吉克自治县</w:t>
      </w:r>
      <w:r>
        <w:rPr>
          <w:rFonts w:ascii="仿宋_GB2312" w:hAnsi="仿宋_GB2312" w:eastAsia="仿宋_GB2312"/>
          <w:b w:val="0"/>
          <w:sz w:val="32"/>
        </w:rPr>
        <w:t>生态环境局资产清查专项审计项目、重点生态功能区县域生态环境质量监测及农村环境质量试点监测项目资金项目、县域生态环境质量监测评价与考核经费项目、</w:t>
      </w:r>
      <w:r>
        <w:rPr>
          <w:rFonts w:hint="eastAsia" w:ascii="仿宋_GB2312" w:hAnsi="仿宋_GB2312" w:eastAsia="仿宋_GB2312"/>
          <w:b w:val="0"/>
          <w:sz w:val="32"/>
          <w:lang w:eastAsia="zh-CN"/>
        </w:rPr>
        <w:t>塔什库尔干塔吉克自治县</w:t>
      </w:r>
      <w:r>
        <w:rPr>
          <w:rFonts w:ascii="仿宋_GB2312" w:hAnsi="仿宋_GB2312" w:eastAsia="仿宋_GB2312"/>
          <w:b w:val="0"/>
          <w:sz w:val="32"/>
        </w:rPr>
        <w:t>声功能修编编制项目、</w:t>
      </w:r>
      <w:r>
        <w:rPr>
          <w:rFonts w:hint="eastAsia" w:ascii="仿宋_GB2312" w:hAnsi="仿宋_GB2312" w:eastAsia="仿宋_GB2312"/>
          <w:b w:val="0"/>
          <w:sz w:val="32"/>
          <w:lang w:eastAsia="zh-CN"/>
        </w:rPr>
        <w:t>塔什库尔干塔吉克自治县</w:t>
      </w:r>
      <w:r>
        <w:rPr>
          <w:rFonts w:ascii="仿宋_GB2312" w:hAnsi="仿宋_GB2312" w:eastAsia="仿宋_GB2312"/>
          <w:b w:val="0"/>
          <w:sz w:val="32"/>
        </w:rPr>
        <w:t>塔吉克阿巴提镇布勒布勒</w:t>
      </w:r>
      <w:r>
        <w:rPr>
          <w:rFonts w:hint="eastAsia" w:ascii="仿宋_GB2312" w:hAnsi="仿宋_GB2312" w:eastAsia="仿宋_GB2312"/>
          <w:b w:val="0"/>
          <w:sz w:val="32"/>
          <w:lang w:eastAsia="zh-CN"/>
        </w:rPr>
        <w:t>迭村</w:t>
      </w:r>
      <w:r>
        <w:rPr>
          <w:rFonts w:ascii="仿宋_GB2312" w:hAnsi="仿宋_GB2312" w:eastAsia="仿宋_GB2312"/>
          <w:b w:val="0"/>
          <w:sz w:val="32"/>
        </w:rPr>
        <w:t>污水处理项目、塔吉克阿巴提镇污水处理项目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14:paraId="682E39B2">
      <w:pPr>
        <w:spacing w:line="640" w:lineRule="exact"/>
        <w:ind w:firstLine="640"/>
        <w:jc w:val="both"/>
        <w:outlineLvl w:val="2"/>
      </w:pPr>
      <w:r>
        <w:rPr>
          <w:rFonts w:ascii="黑体" w:hAnsi="黑体" w:eastAsia="黑体"/>
          <w:sz w:val="32"/>
        </w:rPr>
        <w:t>二、收入决算情况说明</w:t>
      </w:r>
    </w:p>
    <w:p w14:paraId="67518920">
      <w:pPr>
        <w:spacing w:line="580" w:lineRule="exact"/>
        <w:ind w:firstLine="640"/>
        <w:jc w:val="both"/>
      </w:pPr>
      <w:r>
        <w:rPr>
          <w:rFonts w:ascii="仿宋_GB2312" w:hAnsi="仿宋_GB2312" w:eastAsia="仿宋_GB2312"/>
          <w:b/>
          <w:sz w:val="32"/>
        </w:rPr>
        <w:t>本年收入117.13万元，</w:t>
      </w:r>
      <w:r>
        <w:rPr>
          <w:rFonts w:ascii="仿宋_GB2312" w:hAnsi="仿宋_GB2312" w:eastAsia="仿宋_GB2312"/>
          <w:b w:val="0"/>
          <w:sz w:val="32"/>
        </w:rPr>
        <w:t>其中：财政拨款收入117.13万元，占100.00%；上级补助收入0.00万元，占0.00%；事业收入0.00万元，占0.00%；经营收入0.00万元，占0.00%；附属单位上缴收入0.00万元，占0.00%；其他收入0.00万元，占0.00%。</w:t>
      </w:r>
    </w:p>
    <w:p w14:paraId="5C369963">
      <w:pPr>
        <w:spacing w:line="640" w:lineRule="exact"/>
        <w:ind w:firstLine="640"/>
        <w:jc w:val="both"/>
        <w:outlineLvl w:val="2"/>
      </w:pPr>
      <w:r>
        <w:rPr>
          <w:rFonts w:ascii="黑体" w:hAnsi="黑体" w:eastAsia="黑体"/>
          <w:sz w:val="32"/>
        </w:rPr>
        <w:t>三、支出决算情况说明</w:t>
      </w:r>
    </w:p>
    <w:p w14:paraId="1D692B53">
      <w:pPr>
        <w:spacing w:line="580" w:lineRule="exact"/>
        <w:ind w:firstLine="640"/>
        <w:jc w:val="both"/>
      </w:pPr>
      <w:r>
        <w:rPr>
          <w:rFonts w:ascii="仿宋_GB2312" w:hAnsi="仿宋_GB2312" w:eastAsia="仿宋_GB2312"/>
          <w:b/>
          <w:sz w:val="32"/>
        </w:rPr>
        <w:t>本年支出117.13万元，</w:t>
      </w:r>
      <w:r>
        <w:rPr>
          <w:rFonts w:ascii="仿宋_GB2312" w:hAnsi="仿宋_GB2312" w:eastAsia="仿宋_GB2312"/>
          <w:b w:val="0"/>
          <w:sz w:val="32"/>
        </w:rPr>
        <w:t>其中：基本支出117.13万元，占100.00%；项目支出0.00万元，占0.00%；上缴上级支出0.00万元，占0.00%；经营支出0.00万元，占0.00%；对附属单位补助支出0.00万元，占0.00%。</w:t>
      </w:r>
    </w:p>
    <w:p w14:paraId="1DA88221">
      <w:pPr>
        <w:spacing w:line="640" w:lineRule="exact"/>
        <w:ind w:firstLine="640"/>
        <w:jc w:val="both"/>
        <w:outlineLvl w:val="2"/>
      </w:pPr>
      <w:r>
        <w:rPr>
          <w:rFonts w:ascii="黑体" w:hAnsi="黑体" w:eastAsia="黑体"/>
          <w:sz w:val="32"/>
        </w:rPr>
        <w:t>四、财政拨款收入支出决算总体情况说明</w:t>
      </w:r>
    </w:p>
    <w:p w14:paraId="2D12583D">
      <w:pPr>
        <w:spacing w:line="580" w:lineRule="exact"/>
        <w:ind w:firstLine="640"/>
        <w:jc w:val="both"/>
      </w:pPr>
      <w:r>
        <w:rPr>
          <w:rFonts w:ascii="仿宋_GB2312" w:hAnsi="仿宋_GB2312" w:eastAsia="仿宋_GB2312"/>
          <w:b/>
          <w:sz w:val="32"/>
        </w:rPr>
        <w:t>2024年度财政拨款收入总计117.13万元，</w:t>
      </w:r>
      <w:r>
        <w:rPr>
          <w:rFonts w:ascii="仿宋_GB2312" w:hAnsi="仿宋_GB2312" w:eastAsia="仿宋_GB2312"/>
          <w:b w:val="0"/>
          <w:sz w:val="32"/>
        </w:rPr>
        <w:t>其中：年初财政拨款结转和结余0.00万元，本年财政拨款收入117.13万元。</w:t>
      </w:r>
      <w:r>
        <w:rPr>
          <w:rFonts w:ascii="仿宋_GB2312" w:hAnsi="仿宋_GB2312" w:eastAsia="仿宋_GB2312"/>
          <w:b/>
          <w:sz w:val="32"/>
        </w:rPr>
        <w:t>财政拨款支出总计117.13万元，</w:t>
      </w:r>
      <w:r>
        <w:rPr>
          <w:rFonts w:ascii="仿宋_GB2312" w:hAnsi="仿宋_GB2312" w:eastAsia="仿宋_GB2312"/>
          <w:b w:val="0"/>
          <w:sz w:val="32"/>
        </w:rPr>
        <w:t>其中：年末财政拨款结转和结余0.00万元，本年财政拨款支出117.13万元。</w:t>
      </w:r>
    </w:p>
    <w:p w14:paraId="5F3800E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减少1,456.10万元，下降92.55%，主要原因是：本年塔县分局财务权限上收至地区生态环境局，本年减少</w:t>
      </w:r>
      <w:r>
        <w:rPr>
          <w:rFonts w:hint="eastAsia" w:ascii="仿宋_GB2312" w:hAnsi="仿宋_GB2312" w:eastAsia="仿宋_GB2312"/>
          <w:b w:val="0"/>
          <w:sz w:val="32"/>
          <w:lang w:eastAsia="zh-CN"/>
        </w:rPr>
        <w:t>塔什库尔干塔吉克自治县</w:t>
      </w:r>
      <w:r>
        <w:rPr>
          <w:rFonts w:ascii="仿宋_GB2312" w:hAnsi="仿宋_GB2312" w:eastAsia="仿宋_GB2312"/>
          <w:b w:val="0"/>
          <w:sz w:val="32"/>
        </w:rPr>
        <w:t>生态环境局资产清查专项审计项目、重点生态功能区县域生态环境质量监测及农村环境质量试点监测项目资金项目、县域生态环境质量监测评价与考核经费项目、</w:t>
      </w:r>
      <w:r>
        <w:rPr>
          <w:rFonts w:hint="eastAsia" w:ascii="仿宋_GB2312" w:hAnsi="仿宋_GB2312" w:eastAsia="仿宋_GB2312"/>
          <w:b w:val="0"/>
          <w:sz w:val="32"/>
          <w:lang w:eastAsia="zh-CN"/>
        </w:rPr>
        <w:t>塔什库尔干塔吉克自治县</w:t>
      </w:r>
      <w:r>
        <w:rPr>
          <w:rFonts w:ascii="仿宋_GB2312" w:hAnsi="仿宋_GB2312" w:eastAsia="仿宋_GB2312"/>
          <w:b w:val="0"/>
          <w:sz w:val="32"/>
        </w:rPr>
        <w:t>声功能修编编制项目、</w:t>
      </w:r>
      <w:r>
        <w:rPr>
          <w:rFonts w:hint="eastAsia" w:ascii="仿宋_GB2312" w:hAnsi="仿宋_GB2312" w:eastAsia="仿宋_GB2312"/>
          <w:b w:val="0"/>
          <w:sz w:val="32"/>
          <w:lang w:eastAsia="zh-CN"/>
        </w:rPr>
        <w:t>塔什库尔干塔吉克自治县</w:t>
      </w:r>
      <w:r>
        <w:rPr>
          <w:rFonts w:ascii="仿宋_GB2312" w:hAnsi="仿宋_GB2312" w:eastAsia="仿宋_GB2312"/>
          <w:b w:val="0"/>
          <w:sz w:val="32"/>
        </w:rPr>
        <w:t>塔吉克阿巴提镇布勒布勒</w:t>
      </w:r>
      <w:r>
        <w:rPr>
          <w:rFonts w:hint="eastAsia" w:ascii="仿宋_GB2312" w:hAnsi="仿宋_GB2312" w:eastAsia="仿宋_GB2312"/>
          <w:b w:val="0"/>
          <w:sz w:val="32"/>
          <w:lang w:eastAsia="zh-CN"/>
        </w:rPr>
        <w:t>迭村</w:t>
      </w:r>
      <w:r>
        <w:rPr>
          <w:rFonts w:ascii="仿宋_GB2312" w:hAnsi="仿宋_GB2312" w:eastAsia="仿宋_GB2312"/>
          <w:b w:val="0"/>
          <w:sz w:val="32"/>
        </w:rPr>
        <w:t>污水处理项目、塔吉克阿巴提镇污水处理项目。</w:t>
      </w:r>
      <w:r>
        <w:rPr>
          <w:rFonts w:ascii="仿宋_GB2312" w:hAnsi="仿宋_GB2312" w:eastAsia="仿宋_GB2312"/>
          <w:b/>
          <w:sz w:val="32"/>
        </w:rPr>
        <w:t>与年初预算相比，</w:t>
      </w:r>
      <w:r>
        <w:rPr>
          <w:rFonts w:ascii="仿宋_GB2312" w:hAnsi="仿宋_GB2312" w:eastAsia="仿宋_GB2312"/>
          <w:b w:val="0"/>
          <w:sz w:val="32"/>
        </w:rPr>
        <w:t>年初预算数129.54万元，决算数117.13万元，预决算差异率-9.58%，主要原因是：本年在职人员减少，年中调减人员经费，导致预决算存在差异。</w:t>
      </w:r>
    </w:p>
    <w:p w14:paraId="55498EE2">
      <w:pPr>
        <w:spacing w:line="640" w:lineRule="exact"/>
        <w:ind w:firstLine="640"/>
        <w:jc w:val="both"/>
        <w:outlineLvl w:val="2"/>
      </w:pPr>
      <w:r>
        <w:rPr>
          <w:rFonts w:ascii="黑体" w:hAnsi="黑体" w:eastAsia="黑体"/>
          <w:sz w:val="32"/>
        </w:rPr>
        <w:t>五、一般公共预算财政拨款支出决算情况说明</w:t>
      </w:r>
    </w:p>
    <w:p w14:paraId="4BC184DA">
      <w:pPr>
        <w:spacing w:line="640" w:lineRule="exact"/>
        <w:ind w:firstLine="640"/>
        <w:jc w:val="both"/>
        <w:outlineLvl w:val="3"/>
      </w:pPr>
      <w:r>
        <w:rPr>
          <w:rFonts w:ascii="楷体_GB2312" w:hAnsi="楷体_GB2312" w:eastAsia="楷体_GB2312"/>
          <w:b/>
          <w:sz w:val="32"/>
        </w:rPr>
        <w:t>（一）一般公共预算财政拨款支出决算总体情况</w:t>
      </w:r>
    </w:p>
    <w:p w14:paraId="2A4455F8">
      <w:pPr>
        <w:spacing w:line="580" w:lineRule="exact"/>
        <w:ind w:firstLine="640"/>
        <w:jc w:val="both"/>
      </w:pPr>
      <w:r>
        <w:rPr>
          <w:rFonts w:ascii="仿宋_GB2312" w:hAnsi="仿宋_GB2312" w:eastAsia="仿宋_GB2312"/>
          <w:b/>
          <w:sz w:val="32"/>
        </w:rPr>
        <w:t>2024年度一般公共预算财政拨款支出117.13万元，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减少1,456.10万元，下降92.55%，主要原因是：本年塔县分局财务权限上收至地区生态环境局，本年减少</w:t>
      </w:r>
      <w:r>
        <w:rPr>
          <w:rFonts w:hint="eastAsia" w:ascii="仿宋_GB2312" w:hAnsi="仿宋_GB2312" w:eastAsia="仿宋_GB2312"/>
          <w:b w:val="0"/>
          <w:sz w:val="32"/>
          <w:lang w:eastAsia="zh-CN"/>
        </w:rPr>
        <w:t>塔什库尔干塔吉克自治县</w:t>
      </w:r>
      <w:r>
        <w:rPr>
          <w:rFonts w:ascii="仿宋_GB2312" w:hAnsi="仿宋_GB2312" w:eastAsia="仿宋_GB2312"/>
          <w:b w:val="0"/>
          <w:sz w:val="32"/>
        </w:rPr>
        <w:t>生态环境局资产清查专项审计项目、重点生态功能区县域生态环境质量监测及农村环境质量试点监测项目资金项目、县域生态环境质量监测评价与考核经费项目、</w:t>
      </w:r>
      <w:r>
        <w:rPr>
          <w:rFonts w:hint="eastAsia" w:ascii="仿宋_GB2312" w:hAnsi="仿宋_GB2312" w:eastAsia="仿宋_GB2312"/>
          <w:b w:val="0"/>
          <w:sz w:val="32"/>
          <w:lang w:eastAsia="zh-CN"/>
        </w:rPr>
        <w:t>塔什库尔干塔吉克自治县</w:t>
      </w:r>
      <w:r>
        <w:rPr>
          <w:rFonts w:ascii="仿宋_GB2312" w:hAnsi="仿宋_GB2312" w:eastAsia="仿宋_GB2312"/>
          <w:b w:val="0"/>
          <w:sz w:val="32"/>
        </w:rPr>
        <w:t>声功能修编编制项目、</w:t>
      </w:r>
      <w:r>
        <w:rPr>
          <w:rFonts w:hint="eastAsia" w:ascii="仿宋_GB2312" w:hAnsi="仿宋_GB2312" w:eastAsia="仿宋_GB2312"/>
          <w:b w:val="0"/>
          <w:sz w:val="32"/>
          <w:lang w:eastAsia="zh-CN"/>
        </w:rPr>
        <w:t>塔什库尔干塔吉克自治县</w:t>
      </w:r>
      <w:r>
        <w:rPr>
          <w:rFonts w:ascii="仿宋_GB2312" w:hAnsi="仿宋_GB2312" w:eastAsia="仿宋_GB2312"/>
          <w:b w:val="0"/>
          <w:sz w:val="32"/>
        </w:rPr>
        <w:t>塔吉克阿巴提镇布勒布勒</w:t>
      </w:r>
      <w:r>
        <w:rPr>
          <w:rFonts w:hint="eastAsia" w:ascii="仿宋_GB2312" w:hAnsi="仿宋_GB2312" w:eastAsia="仿宋_GB2312"/>
          <w:b w:val="0"/>
          <w:sz w:val="32"/>
          <w:lang w:eastAsia="zh-CN"/>
        </w:rPr>
        <w:t>迭村</w:t>
      </w:r>
      <w:r>
        <w:rPr>
          <w:rFonts w:ascii="仿宋_GB2312" w:hAnsi="仿宋_GB2312" w:eastAsia="仿宋_GB2312"/>
          <w:b w:val="0"/>
          <w:sz w:val="32"/>
        </w:rPr>
        <w:t>污水处理项目、塔吉克阿巴提镇污水处理项目。</w:t>
      </w:r>
      <w:r>
        <w:rPr>
          <w:rFonts w:ascii="仿宋_GB2312" w:hAnsi="仿宋_GB2312" w:eastAsia="仿宋_GB2312"/>
          <w:b/>
          <w:sz w:val="32"/>
        </w:rPr>
        <w:t>与年初预算相比,</w:t>
      </w:r>
      <w:r>
        <w:rPr>
          <w:rFonts w:ascii="仿宋_GB2312" w:hAnsi="仿宋_GB2312" w:eastAsia="仿宋_GB2312"/>
          <w:b w:val="0"/>
          <w:sz w:val="32"/>
        </w:rPr>
        <w:t>年初预算数129.54万元，决算数117.13万元，预决算差异率-9.58%，主要原因是：本年在职人员减少，年中调减人员经费，导致预决算存在差异。</w:t>
      </w:r>
    </w:p>
    <w:p w14:paraId="355EC98B">
      <w:pPr>
        <w:spacing w:line="640" w:lineRule="exact"/>
        <w:ind w:firstLine="640"/>
        <w:jc w:val="both"/>
        <w:outlineLvl w:val="3"/>
      </w:pPr>
      <w:r>
        <w:rPr>
          <w:rFonts w:ascii="楷体_GB2312" w:hAnsi="楷体_GB2312" w:eastAsia="楷体_GB2312"/>
          <w:b/>
          <w:sz w:val="32"/>
        </w:rPr>
        <w:t>（二）一般公共预算财政拨款支出决算结构情况</w:t>
      </w:r>
    </w:p>
    <w:p w14:paraId="1F0C09FB">
      <w:pPr>
        <w:spacing w:line="580" w:lineRule="exact"/>
        <w:ind w:firstLine="640"/>
        <w:jc w:val="both"/>
      </w:pPr>
      <w:r>
        <w:rPr>
          <w:rFonts w:ascii="仿宋_GB2312" w:hAnsi="仿宋_GB2312" w:eastAsia="仿宋_GB2312"/>
          <w:b w:val="0"/>
          <w:sz w:val="32"/>
        </w:rPr>
        <w:t>1.社会保障和就业支出(类)11.86万元,占10.13%。</w:t>
      </w:r>
    </w:p>
    <w:p w14:paraId="0CAEEDDD">
      <w:pPr>
        <w:spacing w:line="580" w:lineRule="exact"/>
        <w:ind w:firstLine="640"/>
        <w:jc w:val="both"/>
      </w:pPr>
      <w:r>
        <w:rPr>
          <w:rFonts w:ascii="仿宋_GB2312" w:hAnsi="仿宋_GB2312" w:eastAsia="仿宋_GB2312"/>
          <w:b w:val="0"/>
          <w:sz w:val="32"/>
        </w:rPr>
        <w:t>2.卫生健康支出(类)6.32万元,占5.40%。</w:t>
      </w:r>
    </w:p>
    <w:p w14:paraId="4247E245">
      <w:pPr>
        <w:spacing w:line="580" w:lineRule="exact"/>
        <w:ind w:firstLine="640"/>
        <w:jc w:val="both"/>
      </w:pPr>
      <w:r>
        <w:rPr>
          <w:rFonts w:ascii="仿宋_GB2312" w:hAnsi="仿宋_GB2312" w:eastAsia="仿宋_GB2312"/>
          <w:b w:val="0"/>
          <w:sz w:val="32"/>
        </w:rPr>
        <w:t>3.节能环保支出(类)88.81万元,占75.82%。</w:t>
      </w:r>
    </w:p>
    <w:p w14:paraId="0A78AF26">
      <w:pPr>
        <w:spacing w:line="580" w:lineRule="exact"/>
        <w:ind w:firstLine="640"/>
        <w:jc w:val="both"/>
      </w:pPr>
      <w:r>
        <w:rPr>
          <w:rFonts w:ascii="仿宋_GB2312" w:hAnsi="仿宋_GB2312" w:eastAsia="仿宋_GB2312"/>
          <w:b w:val="0"/>
          <w:sz w:val="32"/>
        </w:rPr>
        <w:t>4.住房保障支出(类)10.14万元,占8.66%。</w:t>
      </w:r>
    </w:p>
    <w:p w14:paraId="101217C8">
      <w:pPr>
        <w:spacing w:line="640" w:lineRule="exact"/>
        <w:ind w:firstLine="640"/>
        <w:jc w:val="both"/>
        <w:outlineLvl w:val="3"/>
      </w:pPr>
      <w:r>
        <w:rPr>
          <w:rFonts w:ascii="楷体_GB2312" w:hAnsi="楷体_GB2312" w:eastAsia="楷体_GB2312"/>
          <w:b/>
          <w:sz w:val="32"/>
        </w:rPr>
        <w:t>（三）一般公共预算财政拨款支出决算具体情况</w:t>
      </w:r>
    </w:p>
    <w:p w14:paraId="59A3ADF4">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1.社会保障和就业支出(类)行政事业单位养老支出(款)行政单位离退休(项):支出决算数为0.00万元，比上年决算减少3.41万元，下降100.00%,主要原因是：本年退休人员减少，行政单位离退休减少。</w:t>
      </w:r>
    </w:p>
    <w:p w14:paraId="1EF2AFC0">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11.86万元，比上年决算增加2.54万元，增长27.25%,主要原因是：本年人员工资基数调增，养老缴费基数上涨，相应支出增加。</w:t>
      </w:r>
    </w:p>
    <w:p w14:paraId="0A6B3F73">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42.64万元，下降100.00%,主要原因是：本年度无新增退休人员，机关事业单位职业年金缴费支出减少。</w:t>
      </w:r>
    </w:p>
    <w:p w14:paraId="2D997884">
      <w:pPr>
        <w:spacing w:line="580" w:lineRule="exact"/>
        <w:ind w:firstLine="640"/>
        <w:jc w:val="both"/>
      </w:pPr>
      <w:r>
        <w:rPr>
          <w:rFonts w:ascii="仿宋_GB2312" w:hAnsi="仿宋_GB2312" w:eastAsia="仿宋_GB2312"/>
          <w:b w:val="0"/>
          <w:sz w:val="32"/>
        </w:rPr>
        <w:t>4.卫生健康支出(类)行政事业单位医疗(款)行政单位医疗(项):支出决算数为5.13万元，比上年决算增加0.83万元，增长19.30%,主要原因是：本年在职人员工资基数调增，医疗缴费基数上涨，相应支出增加。</w:t>
      </w:r>
    </w:p>
    <w:p w14:paraId="734297E8">
      <w:pPr>
        <w:spacing w:line="580" w:lineRule="exact"/>
        <w:ind w:firstLine="640"/>
        <w:jc w:val="both"/>
      </w:pPr>
      <w:r>
        <w:rPr>
          <w:rFonts w:ascii="仿宋_GB2312" w:hAnsi="仿宋_GB2312" w:eastAsia="仿宋_GB2312"/>
          <w:b w:val="0"/>
          <w:sz w:val="32"/>
        </w:rPr>
        <w:t>5.卫生健康支出(类)行政事业单位医疗(款)公务员医疗补助(项):支出决算数为1.19万元，比上年决算增加0.18万元，增长17.82%,主要原因是：本年在职人员工资基数调增，医疗缴费基数上涨，相应支出增加。</w:t>
      </w:r>
    </w:p>
    <w:p w14:paraId="2228835D">
      <w:pPr>
        <w:spacing w:line="580" w:lineRule="exact"/>
        <w:ind w:firstLine="640"/>
        <w:jc w:val="both"/>
      </w:pPr>
      <w:r>
        <w:rPr>
          <w:rFonts w:ascii="仿宋_GB2312" w:hAnsi="仿宋_GB2312" w:eastAsia="仿宋_GB2312"/>
          <w:b w:val="0"/>
          <w:sz w:val="32"/>
        </w:rPr>
        <w:t>6.节能环保支出(类)环境保护管理事务(款)行政运行(项):支出决算数为88.81万元，比上年决算减少4.30万元，下降4.62%,主要原因是：本年在职人员减少，相应人员经费较上年减少。</w:t>
      </w:r>
    </w:p>
    <w:p w14:paraId="7D623F10">
      <w:pPr>
        <w:spacing w:line="580" w:lineRule="exact"/>
        <w:ind w:firstLine="640"/>
        <w:jc w:val="both"/>
      </w:pPr>
      <w:r>
        <w:rPr>
          <w:rFonts w:ascii="仿宋_GB2312" w:hAnsi="仿宋_GB2312" w:eastAsia="仿宋_GB2312"/>
          <w:b w:val="0"/>
          <w:sz w:val="32"/>
        </w:rPr>
        <w:t>7.节能环保支出(类)环境保护管理事务(款)环境保护法规、规划及标准(项):支出决算数为0.00万元，比上年决算减少67.89万元，下降100.00%,主要原因是：本年塔县分局财务权限上收至地区生态环境局，环境监管等相关经费的项目、</w:t>
      </w:r>
      <w:r>
        <w:rPr>
          <w:rFonts w:hint="eastAsia" w:ascii="仿宋_GB2312" w:hAnsi="仿宋_GB2312" w:eastAsia="仿宋_GB2312"/>
          <w:b w:val="0"/>
          <w:sz w:val="32"/>
          <w:lang w:eastAsia="zh-CN"/>
        </w:rPr>
        <w:t>塔什库尔干塔吉克自治县</w:t>
      </w:r>
      <w:r>
        <w:rPr>
          <w:rFonts w:ascii="仿宋_GB2312" w:hAnsi="仿宋_GB2312" w:eastAsia="仿宋_GB2312"/>
          <w:b w:val="0"/>
          <w:sz w:val="32"/>
        </w:rPr>
        <w:t>生态环境局资产清查专项审计项目减少。</w:t>
      </w:r>
    </w:p>
    <w:p w14:paraId="0D9222EB">
      <w:pPr>
        <w:spacing w:line="580" w:lineRule="exact"/>
        <w:ind w:firstLine="640"/>
        <w:jc w:val="both"/>
      </w:pPr>
      <w:r>
        <w:rPr>
          <w:rFonts w:ascii="仿宋_GB2312" w:hAnsi="仿宋_GB2312" w:eastAsia="仿宋_GB2312"/>
          <w:b w:val="0"/>
          <w:sz w:val="32"/>
        </w:rPr>
        <w:t>8.节能环保支出(类)环境监测与监察(款)其他环境监测与监察支出(项):支出决算数为0.00万元，比上年决算减少173.30万元，下降100.00%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主要原因是：本年塔县分局财务权限上收至地区生态环境局，县域生态环境质量监测评价与考核经费项目、重点生态功能区县域生态环境质量监测及农村环境质量试点监测项目</w:t>
      </w:r>
      <w:r>
        <w:rPr>
          <w:rFonts w:hint="eastAsia" w:ascii="仿宋_GB2312" w:hAnsi="仿宋_GB2312" w:eastAsia="仿宋_GB2312"/>
          <w:b w:val="0"/>
          <w:sz w:val="32"/>
          <w:lang w:eastAsia="zh-CN"/>
        </w:rPr>
        <w:t>资金</w:t>
      </w:r>
      <w:r>
        <w:rPr>
          <w:rFonts w:ascii="仿宋_GB2312" w:hAnsi="仿宋_GB2312" w:eastAsia="仿宋_GB2312"/>
          <w:b w:val="0"/>
          <w:sz w:val="32"/>
        </w:rPr>
        <w:t>减少。</w:t>
      </w:r>
    </w:p>
    <w:p w14:paraId="17420772">
      <w:pPr>
        <w:spacing w:line="580" w:lineRule="exact"/>
        <w:ind w:firstLine="640"/>
        <w:jc w:val="both"/>
      </w:pPr>
      <w:r>
        <w:rPr>
          <w:rFonts w:ascii="仿宋_GB2312" w:hAnsi="仿宋_GB2312" w:eastAsia="仿宋_GB2312"/>
          <w:b w:val="0"/>
          <w:sz w:val="32"/>
        </w:rPr>
        <w:t>9.节能环保支出(类)其他节能环保支出(款)其他节能环保支出(项):支出决算数为0.00万元，比上年决算减少18.00万元，下降100.00%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主要原因是：本年塔县分局财务权限上收至地区生态环境局，</w:t>
      </w:r>
      <w:r>
        <w:rPr>
          <w:rFonts w:hint="eastAsia" w:ascii="仿宋_GB2312" w:hAnsi="仿宋_GB2312" w:eastAsia="仿宋_GB2312"/>
          <w:b w:val="0"/>
          <w:sz w:val="32"/>
          <w:lang w:eastAsia="zh-CN"/>
        </w:rPr>
        <w:t>塔什库尔干塔吉克自治县</w:t>
      </w:r>
      <w:r>
        <w:rPr>
          <w:rFonts w:ascii="仿宋_GB2312" w:hAnsi="仿宋_GB2312" w:eastAsia="仿宋_GB2312"/>
          <w:b w:val="0"/>
          <w:sz w:val="32"/>
        </w:rPr>
        <w:t>声功能</w:t>
      </w:r>
      <w:r>
        <w:rPr>
          <w:rFonts w:hint="eastAsia" w:ascii="仿宋_GB2312" w:hAnsi="仿宋_GB2312" w:eastAsia="仿宋_GB2312"/>
          <w:b w:val="0"/>
          <w:sz w:val="32"/>
          <w:lang w:eastAsia="zh-CN"/>
        </w:rPr>
        <w:t>修编</w:t>
      </w:r>
      <w:r>
        <w:rPr>
          <w:rFonts w:ascii="仿宋_GB2312" w:hAnsi="仿宋_GB2312" w:eastAsia="仿宋_GB2312"/>
          <w:b w:val="0"/>
          <w:sz w:val="32"/>
        </w:rPr>
        <w:t>项目减少。</w:t>
      </w:r>
    </w:p>
    <w:p w14:paraId="59914730">
      <w:pPr>
        <w:spacing w:line="580" w:lineRule="exact"/>
        <w:ind w:firstLine="640"/>
        <w:jc w:val="both"/>
      </w:pPr>
      <w:r>
        <w:rPr>
          <w:rFonts w:ascii="仿宋_GB2312" w:hAnsi="仿宋_GB2312" w:eastAsia="仿宋_GB2312"/>
          <w:b w:val="0"/>
          <w:sz w:val="32"/>
        </w:rPr>
        <w:t>10.农林水支出(类)</w:t>
      </w:r>
      <w:r>
        <w:rPr>
          <w:rFonts w:hint="eastAsia" w:ascii="仿宋_GB2312" w:hAnsi="仿宋_GB2312" w:eastAsia="仿宋_GB2312"/>
          <w:b w:val="0"/>
          <w:sz w:val="32"/>
          <w:lang w:eastAsia="zh-CN"/>
        </w:rPr>
        <w:t>巩固拓展脱贫攻坚成果</w:t>
      </w:r>
      <w:r>
        <w:rPr>
          <w:rFonts w:ascii="仿宋_GB2312" w:hAnsi="仿宋_GB2312" w:eastAsia="仿宋_GB2312"/>
          <w:b w:val="0"/>
          <w:sz w:val="32"/>
        </w:rPr>
        <w:t>衔接乡村振兴(款)农村基础设施建设(项):支出决算数为0.00万元，比上年决算减少1,000.00万元，下降100.00%,主要原因是：本年塔县分局财务权限上收至地区生态环境局，</w:t>
      </w:r>
      <w:r>
        <w:rPr>
          <w:rFonts w:hint="eastAsia" w:ascii="仿宋_GB2312" w:hAnsi="仿宋_GB2312" w:eastAsia="仿宋_GB2312"/>
          <w:b w:val="0"/>
          <w:sz w:val="32"/>
          <w:lang w:eastAsia="zh-CN"/>
        </w:rPr>
        <w:t>塔什库尔干塔吉克自治县</w:t>
      </w:r>
      <w:r>
        <w:rPr>
          <w:rFonts w:ascii="仿宋_GB2312" w:hAnsi="仿宋_GB2312" w:eastAsia="仿宋_GB2312"/>
          <w:b w:val="0"/>
          <w:sz w:val="32"/>
        </w:rPr>
        <w:t>塔吉克阿巴提镇布勒布勒</w:t>
      </w:r>
      <w:r>
        <w:rPr>
          <w:rFonts w:hint="eastAsia" w:ascii="仿宋_GB2312" w:hAnsi="仿宋_GB2312" w:eastAsia="仿宋_GB2312"/>
          <w:b w:val="0"/>
          <w:sz w:val="32"/>
          <w:lang w:eastAsia="zh-CN"/>
        </w:rPr>
        <w:t>迭村</w:t>
      </w:r>
      <w:r>
        <w:rPr>
          <w:rFonts w:ascii="仿宋_GB2312" w:hAnsi="仿宋_GB2312" w:eastAsia="仿宋_GB2312"/>
          <w:b w:val="0"/>
          <w:sz w:val="32"/>
        </w:rPr>
        <w:t>污水处理项目减少。</w:t>
      </w:r>
    </w:p>
    <w:p w14:paraId="31D054D3">
      <w:pPr>
        <w:spacing w:line="580" w:lineRule="exact"/>
        <w:ind w:firstLine="640"/>
        <w:jc w:val="both"/>
      </w:pPr>
      <w:r>
        <w:rPr>
          <w:rFonts w:ascii="仿宋_GB2312" w:hAnsi="仿宋_GB2312" w:eastAsia="仿宋_GB2312"/>
          <w:b w:val="0"/>
          <w:sz w:val="32"/>
        </w:rPr>
        <w:t>11.农林水支出(类)</w:t>
      </w:r>
      <w:r>
        <w:rPr>
          <w:rFonts w:hint="eastAsia" w:ascii="仿宋_GB2312" w:hAnsi="仿宋_GB2312" w:eastAsia="仿宋_GB2312"/>
          <w:b w:val="0"/>
          <w:sz w:val="32"/>
          <w:lang w:eastAsia="zh-CN"/>
        </w:rPr>
        <w:t>巩固拓展脱贫攻坚成果</w:t>
      </w:r>
      <w:r>
        <w:rPr>
          <w:rFonts w:ascii="仿宋_GB2312" w:hAnsi="仿宋_GB2312" w:eastAsia="仿宋_GB2312"/>
          <w:b w:val="0"/>
          <w:sz w:val="32"/>
        </w:rPr>
        <w:t>衔接乡村振兴(款)生产发展(项):支出决算数为0.00万元，比上年决算减少152.55万元，下降100.00%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主要原因是：本年塔县分局财务权限上收至地区生态环境局，塔吉克阿巴提镇污水处理项目减少。</w:t>
      </w:r>
    </w:p>
    <w:p w14:paraId="54268EE2">
      <w:pPr>
        <w:spacing w:line="580" w:lineRule="exact"/>
        <w:ind w:firstLine="640"/>
        <w:jc w:val="both"/>
      </w:pPr>
      <w:r>
        <w:rPr>
          <w:rFonts w:ascii="仿宋_GB2312" w:hAnsi="仿宋_GB2312" w:eastAsia="仿宋_GB2312"/>
          <w:b w:val="0"/>
          <w:sz w:val="32"/>
        </w:rPr>
        <w:t>12.住房保障支出(类)住房改革支出(款)住房公积金(项):支出决算数为10.14万元，比上年决算增加2.44万元，增长31.69%,主要原因是：本年人员工资基数调增，公积金缴费基数上涨，相应支出增加。</w:t>
      </w:r>
    </w:p>
    <w:p w14:paraId="18B3DDA3">
      <w:pPr>
        <w:spacing w:line="640" w:lineRule="exact"/>
        <w:ind w:firstLine="640"/>
        <w:jc w:val="both"/>
        <w:outlineLvl w:val="2"/>
      </w:pPr>
      <w:r>
        <w:rPr>
          <w:rFonts w:ascii="黑体" w:hAnsi="黑体" w:eastAsia="黑体"/>
          <w:sz w:val="32"/>
        </w:rPr>
        <w:t>六、一般公共预算财政拨款基本支出决算情况说明</w:t>
      </w:r>
    </w:p>
    <w:p w14:paraId="2593E6D7">
      <w:pPr>
        <w:spacing w:line="580" w:lineRule="exact"/>
        <w:ind w:firstLine="640"/>
        <w:jc w:val="both"/>
      </w:pPr>
      <w:r>
        <w:rPr>
          <w:rFonts w:ascii="仿宋_GB2312" w:hAnsi="仿宋_GB2312" w:eastAsia="仿宋_GB2312"/>
          <w:b w:val="0"/>
          <w:sz w:val="32"/>
        </w:rPr>
        <w:t>2024年度一般公共预算财政拨款基本支出117.13万元，其中：</w:t>
      </w:r>
      <w:r>
        <w:rPr>
          <w:rFonts w:ascii="仿宋_GB2312" w:hAnsi="仿宋_GB2312" w:eastAsia="仿宋_GB2312"/>
          <w:b/>
          <w:sz w:val="32"/>
        </w:rPr>
        <w:t>人员经费110.06万元，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w:t>
      </w:r>
    </w:p>
    <w:p w14:paraId="6DD6A471">
      <w:pPr>
        <w:spacing w:line="580" w:lineRule="exact"/>
        <w:ind w:firstLine="640"/>
        <w:jc w:val="both"/>
      </w:pPr>
      <w:r>
        <w:rPr>
          <w:rFonts w:ascii="仿宋_GB2312" w:hAnsi="仿宋_GB2312" w:eastAsia="仿宋_GB2312"/>
          <w:b/>
          <w:sz w:val="32"/>
        </w:rPr>
        <w:t>公用经费7.07万元，</w:t>
      </w:r>
      <w:r>
        <w:rPr>
          <w:rFonts w:ascii="仿宋_GB2312" w:hAnsi="仿宋_GB2312" w:eastAsia="仿宋_GB2312"/>
          <w:b w:val="0"/>
          <w:sz w:val="32"/>
        </w:rPr>
        <w:t>包括：办公费、水费、电费、邮电费、取暖费、差旅费、专用材料费、委托业务费、工会经费、公务用车运行维护费。</w:t>
      </w:r>
    </w:p>
    <w:p w14:paraId="4C31DD6D">
      <w:pPr>
        <w:spacing w:line="640" w:lineRule="exact"/>
        <w:ind w:firstLine="640"/>
        <w:jc w:val="both"/>
        <w:outlineLvl w:val="2"/>
      </w:pPr>
      <w:r>
        <w:rPr>
          <w:rFonts w:ascii="黑体" w:hAnsi="黑体" w:eastAsia="黑体"/>
          <w:sz w:val="32"/>
        </w:rPr>
        <w:t>七、政府性基金预算财政拨款收入支出决算情况说明</w:t>
      </w:r>
    </w:p>
    <w:p w14:paraId="5F8933F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AC11A4C">
      <w:pPr>
        <w:spacing w:line="640" w:lineRule="exact"/>
        <w:ind w:firstLine="640"/>
        <w:jc w:val="both"/>
        <w:outlineLvl w:val="2"/>
      </w:pPr>
      <w:r>
        <w:rPr>
          <w:rFonts w:ascii="黑体" w:hAnsi="黑体" w:eastAsia="黑体"/>
          <w:sz w:val="32"/>
        </w:rPr>
        <w:t>八、国有资本经营预算财政拨款收入支出决算情况说明</w:t>
      </w:r>
    </w:p>
    <w:p w14:paraId="3FB100A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6C460D2">
      <w:pPr>
        <w:spacing w:line="640" w:lineRule="exact"/>
        <w:ind w:firstLine="640"/>
        <w:jc w:val="both"/>
        <w:outlineLvl w:val="2"/>
      </w:pPr>
      <w:r>
        <w:rPr>
          <w:rFonts w:ascii="黑体" w:hAnsi="黑体" w:eastAsia="黑体"/>
          <w:sz w:val="32"/>
        </w:rPr>
        <w:t>九、财政拨款“三公”经费支出决算情况说明</w:t>
      </w:r>
    </w:p>
    <w:p w14:paraId="57E61B31">
      <w:pPr>
        <w:spacing w:line="580" w:lineRule="exact"/>
        <w:ind w:firstLine="640"/>
        <w:jc w:val="both"/>
      </w:pPr>
      <w:r>
        <w:rPr>
          <w:rFonts w:ascii="仿宋_GB2312" w:hAnsi="仿宋_GB2312" w:eastAsia="仿宋_GB2312"/>
          <w:b/>
          <w:sz w:val="32"/>
        </w:rPr>
        <w:t>2024年度财政拨款“三公”经费支出1.50万元，</w:t>
      </w:r>
      <w:r>
        <w:rPr>
          <w:rFonts w:ascii="仿宋_GB2312" w:hAnsi="仿宋_GB2312" w:eastAsia="仿宋_GB2312"/>
          <w:b w:val="0"/>
          <w:sz w:val="32"/>
        </w:rPr>
        <w:t>比上年增加0.10万元，增长7.14%，主要原因是：本年因业务需求，用车次数增加，燃油费增加，导致公务用车运行维护费较上年增加。其中：因公出国（境）费支出0.00万元，占0.00%，比上年增加0.00万元，增长0.00%，主要原因是：</w:t>
      </w:r>
      <w:bookmarkStart w:id="0" w:name="_GoBack"/>
      <w:r>
        <w:rPr>
          <w:rFonts w:ascii="仿宋_GB2312" w:hAnsi="仿宋_GB2312" w:eastAsia="仿宋_GB2312"/>
          <w:b w:val="0"/>
          <w:sz w:val="32"/>
        </w:rPr>
        <w:t>2023</w:t>
      </w:r>
      <w:bookmarkEnd w:id="0"/>
      <w:r>
        <w:rPr>
          <w:rFonts w:ascii="仿宋_GB2312" w:hAnsi="仿宋_GB2312" w:eastAsia="仿宋_GB2312"/>
          <w:b w:val="0"/>
          <w:sz w:val="32"/>
        </w:rPr>
        <w:t>年与2024年均未安排因公出国（境）费支出。公务用车购置及运行维护费支出1.50万元，占100.00%，比上年增加0.10万元，增长7.14%，主要原因是：本年因业务需求，用车次数增加，燃油费增加，导致公务用车运行维护费较上年增加。公务接待费支出0.00万元，占0.00%，比上年增加0.00万元，增长0.00%，主要原因是：2023年与2024年均未安排公务接待费支出。</w:t>
      </w:r>
    </w:p>
    <w:p w14:paraId="35F99B37">
      <w:pPr>
        <w:spacing w:line="580" w:lineRule="exact"/>
        <w:ind w:firstLine="640"/>
        <w:jc w:val="both"/>
      </w:pPr>
      <w:r>
        <w:rPr>
          <w:rFonts w:ascii="仿宋_GB2312" w:hAnsi="仿宋_GB2312" w:eastAsia="仿宋_GB2312"/>
          <w:b/>
          <w:sz w:val="32"/>
        </w:rPr>
        <w:t>具体情况如下：</w:t>
      </w:r>
    </w:p>
    <w:p w14:paraId="355AFD6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696344B">
      <w:pPr>
        <w:spacing w:line="580" w:lineRule="exact"/>
        <w:ind w:firstLine="640"/>
        <w:jc w:val="both"/>
      </w:pPr>
      <w:r>
        <w:rPr>
          <w:rFonts w:ascii="仿宋_GB2312" w:hAnsi="仿宋_GB2312" w:eastAsia="仿宋_GB2312"/>
          <w:b w:val="0"/>
          <w:sz w:val="32"/>
        </w:rPr>
        <w:t>公务用车购置及运行维护费1.50万元，其中：公务用车购置费0.00万元，公务用车运行维护费1.50万元。公务用车运行维护费开支内容包括车辆加油费、保险费、维修费。公务用车购置数0辆，公务用车保有量1辆。国有资产占用情况中固定资产车辆1辆，与公务用车保有量差异原因是：本单位固定资产车辆与公务用车保有量一致无差异。</w:t>
      </w:r>
    </w:p>
    <w:p w14:paraId="6C03CD8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9DB7DD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1.50万元，决算数1.50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1.50万元，决算数1.50万元，预决算差异率0.00%，主要原因是：严格按照预算执行，预决算无差异。公务接待费全年预算数0.00万元，决算数0.00万元，预决算差异率0.00%，主要原因是：本单位无公务接待费。</w:t>
      </w:r>
    </w:p>
    <w:p w14:paraId="2A241BAC">
      <w:pPr>
        <w:spacing w:line="640" w:lineRule="exact"/>
        <w:ind w:firstLine="640"/>
        <w:jc w:val="both"/>
        <w:outlineLvl w:val="2"/>
      </w:pPr>
      <w:r>
        <w:rPr>
          <w:rFonts w:ascii="黑体" w:hAnsi="黑体" w:eastAsia="黑体"/>
          <w:sz w:val="32"/>
        </w:rPr>
        <w:t>十、其他重要事项的情况说明</w:t>
      </w:r>
    </w:p>
    <w:p w14:paraId="388D1D20">
      <w:pPr>
        <w:spacing w:line="640" w:lineRule="exact"/>
        <w:ind w:firstLine="640"/>
        <w:jc w:val="both"/>
        <w:outlineLvl w:val="3"/>
      </w:pPr>
      <w:r>
        <w:rPr>
          <w:rFonts w:ascii="楷体_GB2312" w:hAnsi="楷体_GB2312" w:eastAsia="楷体_GB2312"/>
          <w:b/>
          <w:sz w:val="32"/>
        </w:rPr>
        <w:t>（一）机关运行经费及公用经费支出情况</w:t>
      </w:r>
    </w:p>
    <w:p w14:paraId="3CDA4471">
      <w:pPr>
        <w:spacing w:line="580" w:lineRule="exact"/>
        <w:ind w:firstLine="640"/>
        <w:jc w:val="both"/>
      </w:pPr>
      <w:r>
        <w:rPr>
          <w:rFonts w:ascii="仿宋_GB2312" w:hAnsi="仿宋_GB2312" w:eastAsia="仿宋_GB2312"/>
          <w:b w:val="0"/>
          <w:sz w:val="32"/>
        </w:rPr>
        <w:t>2024年度喀什地区生态环境局塔什库尔干塔吉克自治县分局（行政单位和参照公务员法管理事业单位）机关运行经费支出7.07万元，比上年增加3.07万元，增长76.75%，主要原因是：本年车辆维修费用、差旅费、办公耗材支出较上年增加，导致机关运行经费增加。</w:t>
      </w:r>
    </w:p>
    <w:p w14:paraId="48E740AF">
      <w:pPr>
        <w:spacing w:line="640" w:lineRule="exact"/>
        <w:ind w:firstLine="640"/>
        <w:jc w:val="both"/>
        <w:outlineLvl w:val="3"/>
      </w:pPr>
      <w:r>
        <w:rPr>
          <w:rFonts w:ascii="楷体_GB2312" w:hAnsi="楷体_GB2312" w:eastAsia="楷体_GB2312"/>
          <w:b/>
          <w:sz w:val="32"/>
        </w:rPr>
        <w:t>（二）政府采购情况</w:t>
      </w:r>
    </w:p>
    <w:p w14:paraId="7BEF2F4F">
      <w:pPr>
        <w:spacing w:line="580" w:lineRule="exact"/>
        <w:ind w:firstLine="640"/>
        <w:jc w:val="both"/>
      </w:pPr>
      <w:r>
        <w:rPr>
          <w:rFonts w:ascii="仿宋_GB2312" w:hAnsi="仿宋_GB2312" w:eastAsia="仿宋_GB2312"/>
          <w:b w:val="0"/>
          <w:sz w:val="32"/>
        </w:rPr>
        <w:t>2024年度政府采购支出总额1.46万元，其中：政府采购货物支出1.06万元、政府采购工程支出0.00万元、政府采购服务支出0.40万元。</w:t>
      </w:r>
    </w:p>
    <w:p w14:paraId="22AE9750">
      <w:pPr>
        <w:spacing w:line="580" w:lineRule="exact"/>
        <w:ind w:firstLine="640"/>
        <w:jc w:val="both"/>
      </w:pPr>
      <w:r>
        <w:rPr>
          <w:rFonts w:ascii="仿宋_GB2312" w:hAnsi="仿宋_GB2312" w:eastAsia="仿宋_GB2312"/>
          <w:b w:val="0"/>
          <w:sz w:val="32"/>
        </w:rPr>
        <w:t>授予中小企业合同金额1.22万元，占政府采购支出总额的83.56%，其中：授予小微企业合同金额1.22万元，占政府采购支出总额的83.56%。</w:t>
      </w:r>
    </w:p>
    <w:p w14:paraId="35140786">
      <w:pPr>
        <w:spacing w:line="640" w:lineRule="exact"/>
        <w:ind w:firstLine="640"/>
        <w:jc w:val="both"/>
        <w:outlineLvl w:val="3"/>
      </w:pPr>
      <w:r>
        <w:rPr>
          <w:rFonts w:ascii="楷体_GB2312" w:hAnsi="楷体_GB2312" w:eastAsia="楷体_GB2312"/>
          <w:b/>
          <w:sz w:val="32"/>
        </w:rPr>
        <w:t>（三）国有资产占用情况说明</w:t>
      </w:r>
    </w:p>
    <w:p w14:paraId="18B484C8">
      <w:pPr>
        <w:spacing w:line="580" w:lineRule="exact"/>
        <w:ind w:firstLine="640"/>
        <w:jc w:val="both"/>
      </w:pPr>
      <w:r>
        <w:rPr>
          <w:rFonts w:ascii="仿宋_GB2312" w:hAnsi="仿宋_GB2312" w:eastAsia="仿宋_GB2312"/>
          <w:b w:val="0"/>
          <w:sz w:val="32"/>
        </w:rPr>
        <w:t>截至2024年12月31日，房屋2,031.00平方米，价值441.01万元。车辆1辆，价值12.78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705E3CD9">
      <w:pPr>
        <w:spacing w:line="640" w:lineRule="exact"/>
        <w:ind w:firstLine="640"/>
        <w:jc w:val="both"/>
        <w:outlineLvl w:val="2"/>
      </w:pPr>
      <w:r>
        <w:rPr>
          <w:rFonts w:ascii="黑体" w:hAnsi="黑体" w:eastAsia="黑体"/>
          <w:sz w:val="32"/>
        </w:rPr>
        <w:t>十一、预算绩效的情况说明</w:t>
      </w:r>
    </w:p>
    <w:p w14:paraId="795A5F2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117.13万元，实际执行总额117.13万元；预算绩效评价项目0个，全年预算数0.00万元，全年执行数0.00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w:t>
      </w:r>
    </w:p>
    <w:p w14:paraId="4AFEC80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54BCEF1">
        <w:tblPrEx>
          <w:tblCellMar>
            <w:top w:w="0" w:type="dxa"/>
            <w:left w:w="108" w:type="dxa"/>
            <w:bottom w:w="0" w:type="dxa"/>
            <w:right w:w="108" w:type="dxa"/>
          </w:tblCellMar>
        </w:tblPrEx>
        <w:tc>
          <w:tcPr>
            <w:tcW w:w="8847" w:type="dxa"/>
            <w:gridSpan w:val="9"/>
            <w:vAlign w:val="center"/>
          </w:tcPr>
          <w:p w14:paraId="48A03640">
            <w:pPr>
              <w:jc w:val="center"/>
            </w:pPr>
            <w:r>
              <w:rPr>
                <w:rFonts w:ascii="宋体" w:hAnsi="宋体" w:eastAsia="宋体"/>
                <w:sz w:val="24"/>
              </w:rPr>
              <w:t>单位整体支出绩效自评表</w:t>
            </w:r>
          </w:p>
        </w:tc>
      </w:tr>
      <w:tr w14:paraId="70FBC85D">
        <w:tblPrEx>
          <w:tblCellMar>
            <w:top w:w="0" w:type="dxa"/>
            <w:left w:w="108" w:type="dxa"/>
            <w:bottom w:w="0" w:type="dxa"/>
            <w:right w:w="108" w:type="dxa"/>
          </w:tblCellMar>
        </w:tblPrEx>
        <w:tc>
          <w:tcPr>
            <w:tcW w:w="8847" w:type="dxa"/>
            <w:gridSpan w:val="9"/>
            <w:vAlign w:val="center"/>
          </w:tcPr>
          <w:p w14:paraId="337AE001">
            <w:pPr>
              <w:jc w:val="center"/>
            </w:pPr>
            <w:r>
              <w:rPr>
                <w:rFonts w:ascii="宋体" w:hAnsi="宋体" w:eastAsia="宋体"/>
                <w:sz w:val="24"/>
              </w:rPr>
              <w:t>（2024年度）</w:t>
            </w:r>
          </w:p>
        </w:tc>
      </w:tr>
      <w:tr w14:paraId="1318CFD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EEC73">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1516CB6">
            <w:pPr>
              <w:jc w:val="center"/>
            </w:pPr>
            <w:r>
              <w:rPr>
                <w:rFonts w:ascii="宋体" w:hAnsi="宋体" w:eastAsia="宋体"/>
                <w:sz w:val="16"/>
              </w:rPr>
              <w:t>喀什地区生态环境局塔什库尔干塔吉克自治县分局</w:t>
            </w:r>
          </w:p>
        </w:tc>
      </w:tr>
      <w:tr w14:paraId="1CDB40D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EE662C">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80625">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9011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E6EFD">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7CB64">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28D7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70161">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D9A2B">
            <w:pPr>
              <w:jc w:val="center"/>
            </w:pPr>
            <w:r>
              <w:rPr>
                <w:rFonts w:ascii="宋体" w:hAnsi="宋体" w:eastAsia="宋体"/>
                <w:sz w:val="16"/>
              </w:rPr>
              <w:t>得分</w:t>
            </w:r>
          </w:p>
        </w:tc>
      </w:tr>
      <w:tr w14:paraId="4DCA3A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CC4A7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07A07">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361A1">
            <w:pPr>
              <w:jc w:val="center"/>
            </w:pPr>
            <w:r>
              <w:rPr>
                <w:rFonts w:ascii="宋体" w:hAnsi="宋体" w:eastAsia="宋体"/>
                <w:sz w:val="16"/>
              </w:rPr>
              <w:t>129.54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F949D">
            <w:pPr>
              <w:jc w:val="center"/>
            </w:pPr>
            <w:r>
              <w:rPr>
                <w:rFonts w:ascii="宋体" w:hAnsi="宋体" w:eastAsia="宋体"/>
                <w:sz w:val="16"/>
              </w:rPr>
              <w:t>117.13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F4CBE">
            <w:pPr>
              <w:jc w:val="center"/>
            </w:pPr>
            <w:r>
              <w:rPr>
                <w:rFonts w:ascii="宋体" w:hAnsi="宋体" w:eastAsia="宋体"/>
                <w:sz w:val="16"/>
              </w:rPr>
              <w:t>117.13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4E8A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0B209">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A50F1">
            <w:pPr>
              <w:jc w:val="center"/>
            </w:pPr>
            <w:r>
              <w:rPr>
                <w:rFonts w:ascii="宋体" w:hAnsi="宋体" w:eastAsia="宋体"/>
                <w:sz w:val="16"/>
              </w:rPr>
              <w:t>10</w:t>
            </w:r>
          </w:p>
        </w:tc>
      </w:tr>
      <w:tr w14:paraId="4E7743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EB1D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55FC0">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75EA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52732">
            <w:pPr>
              <w:jc w:val="center"/>
            </w:pPr>
            <w:r>
              <w:rPr>
                <w:rFonts w:ascii="宋体" w:hAnsi="宋体" w:eastAsia="宋体"/>
                <w:sz w:val="16"/>
              </w:rPr>
              <w:t>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ADEEE">
            <w:pPr>
              <w:jc w:val="center"/>
            </w:pPr>
            <w:r>
              <w:rPr>
                <w:rFonts w:ascii="宋体" w:hAnsi="宋体" w:eastAsia="宋体"/>
                <w:sz w:val="16"/>
              </w:rPr>
              <w:t>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2D13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333C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E93BB">
            <w:pPr>
              <w:jc w:val="center"/>
            </w:pPr>
            <w:r>
              <w:rPr>
                <w:rFonts w:ascii="宋体" w:hAnsi="宋体" w:eastAsia="宋体"/>
                <w:sz w:val="16"/>
              </w:rPr>
              <w:t>—</w:t>
            </w:r>
          </w:p>
        </w:tc>
      </w:tr>
      <w:tr w14:paraId="123C76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ACE14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79D5F">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969C7">
            <w:pPr>
              <w:jc w:val="center"/>
            </w:pPr>
            <w:r>
              <w:rPr>
                <w:rFonts w:ascii="宋体" w:hAnsi="宋体" w:eastAsia="宋体"/>
                <w:sz w:val="16"/>
              </w:rPr>
              <w:t>129.54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366AD">
            <w:pPr>
              <w:jc w:val="center"/>
            </w:pPr>
            <w:r>
              <w:rPr>
                <w:rFonts w:ascii="宋体" w:hAnsi="宋体" w:eastAsia="宋体"/>
                <w:sz w:val="16"/>
              </w:rPr>
              <w:t>115.63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8C729">
            <w:pPr>
              <w:jc w:val="center"/>
            </w:pPr>
            <w:r>
              <w:rPr>
                <w:rFonts w:ascii="宋体" w:hAnsi="宋体" w:eastAsia="宋体"/>
                <w:sz w:val="16"/>
              </w:rPr>
              <w:t>115.63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7CF0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1EBA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2F2E1">
            <w:pPr>
              <w:jc w:val="center"/>
            </w:pPr>
            <w:r>
              <w:rPr>
                <w:rFonts w:ascii="宋体" w:hAnsi="宋体" w:eastAsia="宋体"/>
                <w:sz w:val="16"/>
              </w:rPr>
              <w:t>—</w:t>
            </w:r>
          </w:p>
        </w:tc>
      </w:tr>
      <w:tr w14:paraId="2F0796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E79E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01409">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8796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3178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920F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FD0D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FE27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8BED7">
            <w:pPr>
              <w:jc w:val="center"/>
            </w:pPr>
            <w:r>
              <w:rPr>
                <w:rFonts w:ascii="宋体" w:hAnsi="宋体" w:eastAsia="宋体"/>
                <w:sz w:val="16"/>
              </w:rPr>
              <w:t>—</w:t>
            </w:r>
          </w:p>
        </w:tc>
      </w:tr>
      <w:tr w14:paraId="1BBA918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D192D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536CD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02AA29">
            <w:pPr>
              <w:jc w:val="center"/>
            </w:pPr>
            <w:r>
              <w:rPr>
                <w:rFonts w:ascii="宋体" w:hAnsi="宋体" w:eastAsia="宋体"/>
                <w:sz w:val="16"/>
              </w:rPr>
              <w:t>实际完成情况</w:t>
            </w:r>
          </w:p>
        </w:tc>
      </w:tr>
      <w:tr w14:paraId="653827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1AF7B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4ED100">
            <w:pPr>
              <w:jc w:val="both"/>
            </w:pPr>
            <w:r>
              <w:rPr>
                <w:rFonts w:ascii="宋体" w:hAnsi="宋体" w:eastAsia="宋体"/>
                <w:sz w:val="16"/>
              </w:rPr>
              <w:t>2024年，守住生态环境质量“只能变好、不能变坏”的底线，力争空气优良天数比例达到90%以上；确保县级以上饮用水水源地、地表水塔什库尔干河、湖库水质达标率100%；全县土壤趋势得到初步遏制，农用地、建设用地土壤安全得到基本保障；按进度完成各类环保督察反馈问题、交办信访件整改销号任务。一是定期对主要矿山企业尾矿库环境情况进行监测，每季度监测１次，全年监测不少于４次，水利发电企业以及其他单位执法监督，每个月执法检查不少于1次，全年不少于12次，落实好生态保护各项制度，对</w:t>
            </w:r>
            <w:r>
              <w:rPr>
                <w:rFonts w:hint="eastAsia" w:ascii="宋体" w:hAnsi="宋体"/>
                <w:sz w:val="16"/>
                <w:lang w:eastAsia="zh-CN"/>
              </w:rPr>
              <w:t>塔什库尔干塔吉克自治县</w:t>
            </w:r>
            <w:r>
              <w:rPr>
                <w:rFonts w:ascii="宋体" w:hAnsi="宋体" w:eastAsia="宋体"/>
                <w:sz w:val="16"/>
              </w:rPr>
              <w:t>城市及农村集中式饮用水源地及地表水保护及执法检查力度，确保水环境安全。推进生态环境保护治理体系和治理能力现代化，切实提升水、大气、土环境质量及工业企业污染物排放监测能力和监管信息化水平，打好打赢污染防治攻坚战。</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37B9DF">
            <w:pPr>
              <w:jc w:val="both"/>
            </w:pPr>
            <w:r>
              <w:rPr>
                <w:rFonts w:ascii="宋体" w:hAnsi="宋体" w:eastAsia="宋体"/>
                <w:sz w:val="16"/>
              </w:rPr>
              <w:t>紧紧围绕年初确定的发展目标任务，坚决打好污染防治攻坚战，积极推进各级督察反馈问题整改，全面加强我市生态文明建设，全体干部团结一心、主动担当作为，坚定实干步伐，各项工作有序推进。扎实推进了生态文明建设和生态环境保护，持续深入打好污染防治攻坚战，做好大气环境、声环境、水环境质量监测工作。截至目前完成了对主要矿山企业尾矿库环境情况</w:t>
            </w:r>
            <w:r>
              <w:rPr>
                <w:rFonts w:hint="eastAsia" w:ascii="宋体" w:hAnsi="宋体"/>
                <w:sz w:val="16"/>
                <w:lang w:eastAsia="zh-CN"/>
              </w:rPr>
              <w:t>监测</w:t>
            </w:r>
            <w:r>
              <w:rPr>
                <w:rFonts w:ascii="宋体" w:hAnsi="宋体" w:eastAsia="宋体"/>
                <w:sz w:val="16"/>
              </w:rPr>
              <w:t>4次；对水利发电企业以及其他单位执法监督执法检查全年完成1次；落实好生态保护各项制度，对</w:t>
            </w:r>
            <w:r>
              <w:rPr>
                <w:rFonts w:hint="eastAsia" w:ascii="宋体" w:hAnsi="宋体"/>
                <w:sz w:val="16"/>
                <w:lang w:eastAsia="zh-CN"/>
              </w:rPr>
              <w:t>塔什库尔干塔吉克自治县</w:t>
            </w:r>
            <w:r>
              <w:rPr>
                <w:rFonts w:ascii="宋体" w:hAnsi="宋体" w:eastAsia="宋体"/>
                <w:sz w:val="16"/>
              </w:rPr>
              <w:t>城市及农村集中式饮用水源地及地表水保护及执法检查力度，确保水环境安全每月1次，全年完成12次；县级以上饮用水水源地、地表水塔什库尔干河、湖库水质达标率100%；2024年1月到12月31日，塔什库尔干塔吉克自治县空气质量优良天数344天，确保了天气质量,空气质量得到了显著改善，达到了大气污染防治目的。</w:t>
            </w:r>
          </w:p>
        </w:tc>
      </w:tr>
      <w:tr w14:paraId="7A58A9A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35DF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F5C6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0391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84483">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C8445">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EE2F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2E4A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B2EA6">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753F2">
            <w:pPr>
              <w:jc w:val="center"/>
            </w:pPr>
            <w:r>
              <w:rPr>
                <w:rFonts w:ascii="宋体" w:hAnsi="宋体" w:eastAsia="宋体"/>
                <w:sz w:val="16"/>
              </w:rPr>
              <w:t>得分</w:t>
            </w:r>
          </w:p>
        </w:tc>
      </w:tr>
      <w:tr w14:paraId="451B56A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30A89D">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CEE0C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0D2A3">
            <w:pPr>
              <w:jc w:val="center"/>
            </w:pPr>
            <w:r>
              <w:rPr>
                <w:rFonts w:hint="eastAsia" w:ascii="宋体" w:hAnsi="宋体"/>
                <w:sz w:val="16"/>
                <w:lang w:eastAsia="zh-CN"/>
              </w:rPr>
              <w:t>塔什库尔干塔吉克自治县</w:t>
            </w:r>
            <w:r>
              <w:rPr>
                <w:rFonts w:ascii="宋体" w:hAnsi="宋体" w:eastAsia="宋体"/>
                <w:sz w:val="16"/>
              </w:rPr>
              <w:t>优良天数比例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F49A6">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84981">
            <w:pPr>
              <w:jc w:val="center"/>
            </w:pPr>
            <w:r>
              <w:rPr>
                <w:rFonts w:ascii="宋体" w:hAnsi="宋体" w:eastAsia="宋体"/>
                <w:sz w:val="16"/>
              </w:rPr>
              <w:t>喀什地区生态环境局</w:t>
            </w:r>
            <w:r>
              <w:rPr>
                <w:rFonts w:hint="eastAsia" w:ascii="宋体" w:hAnsi="宋体"/>
                <w:sz w:val="16"/>
                <w:lang w:eastAsia="zh-CN"/>
              </w:rPr>
              <w:t>塔什库尔干塔吉克自治县</w:t>
            </w:r>
            <w:r>
              <w:rPr>
                <w:rFonts w:ascii="宋体" w:hAnsi="宋体" w:eastAsia="宋体"/>
                <w:sz w:val="16"/>
              </w:rPr>
              <w:t>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B539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C33EB">
            <w:pPr>
              <w:jc w:val="center"/>
            </w:pPr>
            <w:r>
              <w:rPr>
                <w:rFonts w:ascii="宋体" w:hAnsi="宋体" w:eastAsia="宋体"/>
                <w:sz w:val="16"/>
              </w:rPr>
              <w:t>96.4%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A4948">
            <w:pPr>
              <w:jc w:val="center"/>
            </w:pPr>
            <w:r>
              <w:rPr>
                <w:rFonts w:ascii="宋体" w:hAnsi="宋体" w:eastAsia="宋体"/>
                <w:sz w:val="16"/>
              </w:rPr>
              <w:t>107.11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1EB70">
            <w:pPr>
              <w:jc w:val="center"/>
            </w:pPr>
            <w:r>
              <w:rPr>
                <w:rFonts w:ascii="宋体" w:hAnsi="宋体" w:eastAsia="宋体"/>
                <w:sz w:val="16"/>
              </w:rPr>
              <w:t>20</w:t>
            </w:r>
          </w:p>
        </w:tc>
      </w:tr>
      <w:tr w14:paraId="430E6A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B874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28BF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3DA52">
            <w:pPr>
              <w:jc w:val="center"/>
            </w:pPr>
            <w:r>
              <w:rPr>
                <w:rFonts w:ascii="宋体" w:hAnsi="宋体" w:eastAsia="宋体"/>
                <w:sz w:val="16"/>
              </w:rPr>
              <w:t>县级以上饮用水水源地、地表水塔什库尔干河、湖库水质达标率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2839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9FC8F">
            <w:pPr>
              <w:jc w:val="center"/>
            </w:pPr>
            <w:r>
              <w:rPr>
                <w:rFonts w:ascii="宋体" w:hAnsi="宋体" w:eastAsia="宋体"/>
                <w:sz w:val="16"/>
              </w:rPr>
              <w:t>喀什地区生态环境局</w:t>
            </w:r>
            <w:r>
              <w:rPr>
                <w:rFonts w:hint="eastAsia" w:ascii="宋体" w:hAnsi="宋体"/>
                <w:sz w:val="16"/>
                <w:lang w:eastAsia="zh-CN"/>
              </w:rPr>
              <w:t>塔什库尔干塔吉克自治县</w:t>
            </w:r>
            <w:r>
              <w:rPr>
                <w:rFonts w:ascii="宋体" w:hAnsi="宋体" w:eastAsia="宋体"/>
                <w:sz w:val="16"/>
              </w:rPr>
              <w:t>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4AFD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5CC2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DE9E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6D638">
            <w:pPr>
              <w:jc w:val="center"/>
            </w:pPr>
            <w:r>
              <w:rPr>
                <w:rFonts w:ascii="宋体" w:hAnsi="宋体" w:eastAsia="宋体"/>
                <w:sz w:val="16"/>
              </w:rPr>
              <w:t>20</w:t>
            </w:r>
          </w:p>
        </w:tc>
      </w:tr>
      <w:tr w14:paraId="3E1561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7BDFE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2F4FB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C733B">
            <w:pPr>
              <w:jc w:val="center"/>
            </w:pPr>
            <w:r>
              <w:rPr>
                <w:rFonts w:ascii="宋体" w:hAnsi="宋体" w:eastAsia="宋体"/>
                <w:sz w:val="16"/>
              </w:rPr>
              <w:t>对主要矿山企业尾矿库环境情况进行监测次数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16C87">
            <w:pPr>
              <w:jc w:val="center"/>
            </w:pPr>
            <w:r>
              <w:rPr>
                <w:rFonts w:ascii="宋体" w:hAnsi="宋体" w:eastAsia="宋体"/>
                <w:sz w:val="16"/>
              </w:rPr>
              <w:t>=4次/年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B459D">
            <w:pPr>
              <w:jc w:val="center"/>
            </w:pPr>
            <w:r>
              <w:rPr>
                <w:rFonts w:ascii="宋体" w:hAnsi="宋体" w:eastAsia="宋体"/>
                <w:sz w:val="16"/>
              </w:rPr>
              <w:t>喀什地区生态环境局</w:t>
            </w:r>
            <w:r>
              <w:rPr>
                <w:rFonts w:hint="eastAsia" w:ascii="宋体" w:hAnsi="宋体"/>
                <w:sz w:val="16"/>
                <w:lang w:eastAsia="zh-CN"/>
              </w:rPr>
              <w:t>塔什库尔干塔吉克自治县</w:t>
            </w:r>
            <w:r>
              <w:rPr>
                <w:rFonts w:ascii="宋体" w:hAnsi="宋体" w:eastAsia="宋体"/>
                <w:sz w:val="16"/>
              </w:rPr>
              <w:t>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AC36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84744">
            <w:pPr>
              <w:jc w:val="center"/>
            </w:pPr>
            <w:r>
              <w:rPr>
                <w:rFonts w:ascii="宋体" w:hAnsi="宋体" w:eastAsia="宋体"/>
                <w:sz w:val="16"/>
              </w:rPr>
              <w:t>4次/年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FA6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CA4D0">
            <w:pPr>
              <w:jc w:val="center"/>
            </w:pPr>
            <w:r>
              <w:rPr>
                <w:rFonts w:ascii="宋体" w:hAnsi="宋体" w:eastAsia="宋体"/>
                <w:sz w:val="16"/>
              </w:rPr>
              <w:t>20</w:t>
            </w:r>
          </w:p>
        </w:tc>
      </w:tr>
      <w:tr w14:paraId="2822A8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0007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EF0C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CD736">
            <w:pPr>
              <w:jc w:val="center"/>
            </w:pPr>
            <w:r>
              <w:rPr>
                <w:rFonts w:ascii="宋体" w:hAnsi="宋体" w:eastAsia="宋体"/>
                <w:sz w:val="16"/>
              </w:rPr>
              <w:t>对水源地执法巡查次数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E3263">
            <w:pPr>
              <w:jc w:val="center"/>
            </w:pPr>
            <w:r>
              <w:rPr>
                <w:rFonts w:ascii="宋体" w:hAnsi="宋体" w:eastAsia="宋体"/>
                <w:sz w:val="16"/>
              </w:rPr>
              <w:t>&gt;=12次/年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AD142">
            <w:pPr>
              <w:jc w:val="center"/>
            </w:pPr>
            <w:r>
              <w:rPr>
                <w:rFonts w:ascii="宋体" w:hAnsi="宋体" w:eastAsia="宋体"/>
                <w:sz w:val="16"/>
              </w:rPr>
              <w:t>喀什地区生态环境局</w:t>
            </w:r>
            <w:r>
              <w:rPr>
                <w:rFonts w:hint="eastAsia" w:ascii="宋体" w:hAnsi="宋体"/>
                <w:sz w:val="16"/>
                <w:lang w:eastAsia="zh-CN"/>
              </w:rPr>
              <w:t>塔什库尔干塔吉克自治县</w:t>
            </w:r>
            <w:r>
              <w:rPr>
                <w:rFonts w:ascii="宋体" w:hAnsi="宋体" w:eastAsia="宋体"/>
                <w:sz w:val="16"/>
              </w:rPr>
              <w:t>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BED7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2DCF1">
            <w:pPr>
              <w:jc w:val="center"/>
            </w:pPr>
            <w:r>
              <w:rPr>
                <w:rFonts w:ascii="宋体" w:hAnsi="宋体" w:eastAsia="宋体"/>
                <w:sz w:val="16"/>
              </w:rPr>
              <w:t>12次/年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829E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3265D">
            <w:pPr>
              <w:jc w:val="center"/>
            </w:pPr>
            <w:r>
              <w:rPr>
                <w:rFonts w:ascii="宋体" w:hAnsi="宋体" w:eastAsia="宋体"/>
                <w:sz w:val="16"/>
              </w:rPr>
              <w:t>20</w:t>
            </w:r>
          </w:p>
        </w:tc>
      </w:tr>
      <w:tr w14:paraId="0A4145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36485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65F7C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E42A8">
            <w:pPr>
              <w:jc w:val="center"/>
            </w:pPr>
            <w:r>
              <w:rPr>
                <w:rFonts w:ascii="宋体" w:hAnsi="宋体" w:eastAsia="宋体"/>
                <w:sz w:val="16"/>
              </w:rPr>
              <w:t>对水利发电企业以及其他单位执法监督次数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839D0">
            <w:pPr>
              <w:jc w:val="center"/>
            </w:pPr>
            <w:r>
              <w:rPr>
                <w:rFonts w:ascii="宋体" w:hAnsi="宋体" w:eastAsia="宋体"/>
                <w:sz w:val="16"/>
              </w:rPr>
              <w:t>=1次/年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8B6F4">
            <w:pPr>
              <w:jc w:val="center"/>
            </w:pPr>
            <w:r>
              <w:rPr>
                <w:rFonts w:ascii="宋体" w:hAnsi="宋体" w:eastAsia="宋体"/>
                <w:sz w:val="16"/>
              </w:rPr>
              <w:t>喀什地区生态环境局</w:t>
            </w:r>
            <w:r>
              <w:rPr>
                <w:rFonts w:hint="eastAsia" w:ascii="宋体" w:hAnsi="宋体"/>
                <w:sz w:val="16"/>
                <w:lang w:eastAsia="zh-CN"/>
              </w:rPr>
              <w:t>塔什库尔干塔吉克自治县</w:t>
            </w:r>
            <w:r>
              <w:rPr>
                <w:rFonts w:ascii="宋体" w:hAnsi="宋体" w:eastAsia="宋体"/>
                <w:sz w:val="16"/>
              </w:rPr>
              <w:t>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4DC5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650F2">
            <w:pPr>
              <w:jc w:val="center"/>
            </w:pPr>
            <w:r>
              <w:rPr>
                <w:rFonts w:ascii="宋体" w:hAnsi="宋体" w:eastAsia="宋体"/>
                <w:sz w:val="16"/>
              </w:rPr>
              <w:t>1次/年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5646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6EADB">
            <w:pPr>
              <w:jc w:val="center"/>
            </w:pPr>
            <w:r>
              <w:rPr>
                <w:rFonts w:ascii="宋体" w:hAnsi="宋体" w:eastAsia="宋体"/>
                <w:sz w:val="16"/>
              </w:rPr>
              <w:t>10</w:t>
            </w:r>
          </w:p>
        </w:tc>
      </w:tr>
    </w:tbl>
    <w:p w14:paraId="10CA9784">
      <w:r>
        <w:br w:type="page"/>
      </w:r>
    </w:p>
    <w:p w14:paraId="14556BBD">
      <w:pPr>
        <w:spacing w:line="640" w:lineRule="exact"/>
        <w:ind w:firstLine="640"/>
        <w:jc w:val="both"/>
        <w:outlineLvl w:val="2"/>
      </w:pPr>
      <w:r>
        <w:rPr>
          <w:rFonts w:ascii="黑体" w:hAnsi="黑体" w:eastAsia="黑体"/>
          <w:sz w:val="32"/>
        </w:rPr>
        <w:t>十二、其他需说明的事项</w:t>
      </w:r>
    </w:p>
    <w:p w14:paraId="6BA329E2">
      <w:pPr>
        <w:spacing w:line="580" w:lineRule="exact"/>
        <w:ind w:firstLine="640"/>
        <w:jc w:val="both"/>
      </w:pPr>
      <w:r>
        <w:rPr>
          <w:rFonts w:ascii="仿宋_GB2312" w:hAnsi="仿宋_GB2312" w:eastAsia="仿宋_GB2312"/>
          <w:b w:val="0"/>
          <w:sz w:val="32"/>
        </w:rPr>
        <w:t>本单位无其他需说明的事项。</w:t>
      </w:r>
    </w:p>
    <w:p w14:paraId="778F68F7">
      <w:r>
        <w:br w:type="page"/>
      </w:r>
    </w:p>
    <w:p w14:paraId="1D7B4F76">
      <w:pPr>
        <w:spacing w:line="240" w:lineRule="auto"/>
        <w:jc w:val="center"/>
        <w:outlineLvl w:val="1"/>
      </w:pPr>
      <w:r>
        <w:rPr>
          <w:rFonts w:ascii="黑体" w:hAnsi="黑体" w:eastAsia="黑体"/>
          <w:sz w:val="32"/>
        </w:rPr>
        <w:t>第三部分 专业名词解释</w:t>
      </w:r>
    </w:p>
    <w:p w14:paraId="5E1578E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C64041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8CD0D3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BF582D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C6E39D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401D88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CAEFA3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6FC999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930835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B39EE0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748DBF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FF5C98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72CDBE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174F3A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F94538E">
      <w:r>
        <w:br w:type="page"/>
      </w:r>
    </w:p>
    <w:p w14:paraId="4C7233C0">
      <w:pPr>
        <w:spacing w:line="240" w:lineRule="auto"/>
        <w:jc w:val="center"/>
        <w:outlineLvl w:val="1"/>
      </w:pPr>
      <w:r>
        <w:rPr>
          <w:rFonts w:ascii="黑体" w:hAnsi="黑体" w:eastAsia="黑体"/>
          <w:sz w:val="32"/>
        </w:rPr>
        <w:t>第四部分 部门决算报表（见附表）</w:t>
      </w:r>
    </w:p>
    <w:p w14:paraId="60EC205C">
      <w:pPr>
        <w:spacing w:line="240" w:lineRule="auto"/>
        <w:ind w:firstLine="640"/>
        <w:jc w:val="both"/>
      </w:pPr>
      <w:r>
        <w:rPr>
          <w:rFonts w:ascii="仿宋_GB2312" w:hAnsi="仿宋_GB2312" w:eastAsia="仿宋_GB2312"/>
          <w:b w:val="0"/>
          <w:sz w:val="32"/>
        </w:rPr>
        <w:t>一、《收入支出决算总表》</w:t>
      </w:r>
    </w:p>
    <w:p w14:paraId="395AA2D0">
      <w:pPr>
        <w:spacing w:line="240" w:lineRule="auto"/>
        <w:ind w:firstLine="640"/>
        <w:jc w:val="both"/>
      </w:pPr>
      <w:r>
        <w:rPr>
          <w:rFonts w:ascii="仿宋_GB2312" w:hAnsi="仿宋_GB2312" w:eastAsia="仿宋_GB2312"/>
          <w:b w:val="0"/>
          <w:sz w:val="32"/>
        </w:rPr>
        <w:t>二、《收入决算表》</w:t>
      </w:r>
    </w:p>
    <w:p w14:paraId="2EF59E32">
      <w:pPr>
        <w:spacing w:line="240" w:lineRule="auto"/>
        <w:ind w:firstLine="640"/>
        <w:jc w:val="both"/>
      </w:pPr>
      <w:r>
        <w:rPr>
          <w:rFonts w:ascii="仿宋_GB2312" w:hAnsi="仿宋_GB2312" w:eastAsia="仿宋_GB2312"/>
          <w:b w:val="0"/>
          <w:sz w:val="32"/>
        </w:rPr>
        <w:t>三、《支出决算表》</w:t>
      </w:r>
    </w:p>
    <w:p w14:paraId="5856F275">
      <w:pPr>
        <w:spacing w:line="240" w:lineRule="auto"/>
        <w:ind w:firstLine="640"/>
        <w:jc w:val="both"/>
      </w:pPr>
      <w:r>
        <w:rPr>
          <w:rFonts w:ascii="仿宋_GB2312" w:hAnsi="仿宋_GB2312" w:eastAsia="仿宋_GB2312"/>
          <w:b w:val="0"/>
          <w:sz w:val="32"/>
        </w:rPr>
        <w:t>四、《财政拨款收入支出决算总表》</w:t>
      </w:r>
    </w:p>
    <w:p w14:paraId="2938DEA7">
      <w:pPr>
        <w:spacing w:line="240" w:lineRule="auto"/>
        <w:ind w:firstLine="640"/>
        <w:jc w:val="both"/>
      </w:pPr>
      <w:r>
        <w:rPr>
          <w:rFonts w:ascii="仿宋_GB2312" w:hAnsi="仿宋_GB2312" w:eastAsia="仿宋_GB2312"/>
          <w:b w:val="0"/>
          <w:sz w:val="32"/>
        </w:rPr>
        <w:t>五、《一般公共预算财政拨款支出决算表》</w:t>
      </w:r>
    </w:p>
    <w:p w14:paraId="7C2F2929">
      <w:pPr>
        <w:spacing w:line="240" w:lineRule="auto"/>
        <w:ind w:firstLine="640"/>
        <w:jc w:val="both"/>
      </w:pPr>
      <w:r>
        <w:rPr>
          <w:rFonts w:ascii="仿宋_GB2312" w:hAnsi="仿宋_GB2312" w:eastAsia="仿宋_GB2312"/>
          <w:b w:val="0"/>
          <w:sz w:val="32"/>
        </w:rPr>
        <w:t>六、《一般公共预算财政拨款基本支出决算表》</w:t>
      </w:r>
    </w:p>
    <w:p w14:paraId="16441E4C">
      <w:pPr>
        <w:spacing w:line="240" w:lineRule="auto"/>
        <w:ind w:firstLine="640"/>
        <w:jc w:val="both"/>
      </w:pPr>
      <w:r>
        <w:rPr>
          <w:rFonts w:ascii="仿宋_GB2312" w:hAnsi="仿宋_GB2312" w:eastAsia="仿宋_GB2312"/>
          <w:b w:val="0"/>
          <w:sz w:val="32"/>
        </w:rPr>
        <w:t>七、《政府性基金预算财政拨款收入支出决算表》</w:t>
      </w:r>
    </w:p>
    <w:p w14:paraId="06D3A3C6">
      <w:pPr>
        <w:spacing w:line="240" w:lineRule="auto"/>
        <w:ind w:firstLine="640"/>
        <w:jc w:val="both"/>
      </w:pPr>
      <w:r>
        <w:rPr>
          <w:rFonts w:ascii="仿宋_GB2312" w:hAnsi="仿宋_GB2312" w:eastAsia="仿宋_GB2312"/>
          <w:b w:val="0"/>
          <w:sz w:val="32"/>
        </w:rPr>
        <w:t>八、《国有资本经营预算财政拨款收入支出决算表》</w:t>
      </w:r>
    </w:p>
    <w:p w14:paraId="60B8A7BE">
      <w:pPr>
        <w:spacing w:line="240" w:lineRule="auto"/>
        <w:ind w:firstLine="640"/>
        <w:jc w:val="both"/>
      </w:pPr>
      <w:r>
        <w:rPr>
          <w:rFonts w:ascii="仿宋_GB2312" w:hAnsi="仿宋_GB2312" w:eastAsia="仿宋_GB2312"/>
          <w:b w:val="0"/>
          <w:sz w:val="32"/>
        </w:rPr>
        <w:t>九、《财政拨款“三公”经费支出决算表》</w:t>
      </w:r>
    </w:p>
    <w:p w14:paraId="4B9C243A">
      <w:pPr>
        <w:spacing w:line="240" w:lineRule="auto"/>
        <w:ind w:firstLine="640"/>
        <w:jc w:val="both"/>
      </w:pPr>
    </w:p>
    <w:p w14:paraId="02353158">
      <w:pPr>
        <w:spacing w:line="240" w:lineRule="auto"/>
        <w:ind w:firstLine="640"/>
        <w:jc w:val="both"/>
      </w:pPr>
    </w:p>
    <w:p w14:paraId="5487AAD1">
      <w:pPr>
        <w:spacing w:line="240" w:lineRule="auto"/>
        <w:ind w:firstLine="640"/>
        <w:jc w:val="both"/>
      </w:pPr>
    </w:p>
    <w:p w14:paraId="122FDDD6">
      <w:pPr>
        <w:spacing w:line="240" w:lineRule="auto"/>
        <w:ind w:firstLine="640"/>
        <w:jc w:val="both"/>
      </w:pPr>
    </w:p>
    <w:p w14:paraId="4D650F9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5E3FC31-E249-4710-8FD8-4DE0C6C7A5A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8C28BAA-F23A-4439-A9FB-86DB7C0EDF78}"/>
  </w:font>
  <w:font w:name="仿宋_GB2312">
    <w:altName w:val="仿宋"/>
    <w:panose1 w:val="02010609030101010101"/>
    <w:charset w:val="86"/>
    <w:family w:val="modern"/>
    <w:pitch w:val="default"/>
    <w:sig w:usb0="00000000" w:usb1="00000000" w:usb2="00000000" w:usb3="00000000" w:csb0="00040000" w:csb1="00000000"/>
    <w:embedRegular r:id="rId3" w:fontKey="{3CB255DC-837E-4D79-B112-99F25C28F2A6}"/>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B21582CF-555F-4C5E-B3B6-F381E9160BC6}"/>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BAC6B45"/>
    <w:rsid w:val="0C3613A3"/>
    <w:rsid w:val="0C7227A7"/>
    <w:rsid w:val="0DCA6EF7"/>
    <w:rsid w:val="0E4B1576"/>
    <w:rsid w:val="0EA04331"/>
    <w:rsid w:val="0F9811B3"/>
    <w:rsid w:val="11E15093"/>
    <w:rsid w:val="120E0809"/>
    <w:rsid w:val="19071D6C"/>
    <w:rsid w:val="190B31A9"/>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5861</Words>
  <Characters>6578</Characters>
  <Lines>0</Lines>
  <Paragraphs>0</Paragraphs>
  <TotalTime>6</TotalTime>
  <ScaleCrop>false</ScaleCrop>
  <LinksUpToDate>false</LinksUpToDate>
  <CharactersWithSpaces>6586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2025-09-03T11:38:11Z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