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82EB13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喀什地区生态环境局岳普湖县分局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4C9B38E">
      <w:r>
        <w:br w:type="page"/>
      </w:r>
    </w:p>
    <w:p w14:paraId="270C49CD">
      <w:pPr>
        <w:spacing w:line="640" w:lineRule="exact"/>
        <w:jc w:val="center"/>
        <w:outlineLvl w:val="1"/>
      </w:pPr>
      <w:r>
        <w:rPr>
          <w:rFonts w:ascii="黑体" w:hAnsi="黑体" w:eastAsia="黑体"/>
          <w:sz w:val="32"/>
        </w:rPr>
        <w:t>第一部分 单位概况</w:t>
      </w:r>
    </w:p>
    <w:p w14:paraId="5D156A53">
      <w:pPr>
        <w:spacing w:line="640" w:lineRule="exact"/>
        <w:ind w:firstLine="640"/>
        <w:jc w:val="both"/>
        <w:outlineLvl w:val="2"/>
      </w:pPr>
      <w:r>
        <w:rPr>
          <w:rFonts w:ascii="黑体" w:hAnsi="黑体" w:eastAsia="黑体"/>
          <w:sz w:val="32"/>
        </w:rPr>
        <w:t>一、主要职能</w:t>
      </w:r>
    </w:p>
    <w:p w14:paraId="14DF27BE">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负责建立健全生态环境制度，贯彻预算国家和自治区生态环境政策、规划。</w:t>
      </w:r>
    </w:p>
    <w:p w14:paraId="00C538C2">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负责重大生态环境问题的统筹协调和监督管理。</w:t>
      </w:r>
    </w:p>
    <w:p w14:paraId="3354B4C3">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负责监督管理自治区减排目标的落实。</w:t>
      </w:r>
    </w:p>
    <w:p w14:paraId="766E1637">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负责环境污染防治的监督管理。</w:t>
      </w:r>
    </w:p>
    <w:p w14:paraId="6CF558B7">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指导协调和监督生态保护修复工作。</w:t>
      </w:r>
    </w:p>
    <w:p w14:paraId="369ACEEB">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负责核与辐射安全的监督管理。</w:t>
      </w:r>
    </w:p>
    <w:p w14:paraId="1A5C5848">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负责生态环境准入的监督管理。</w:t>
      </w:r>
    </w:p>
    <w:p w14:paraId="58A59391">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负责生态环境监测工作。</w:t>
      </w:r>
    </w:p>
    <w:p w14:paraId="3B5BA30B">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负责应对气候变化工作。</w:t>
      </w:r>
    </w:p>
    <w:p w14:paraId="28C7217E">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负责生态环境监察工作。</w:t>
      </w:r>
    </w:p>
    <w:p w14:paraId="46753603">
      <w:pPr>
        <w:spacing w:line="580" w:lineRule="exact"/>
        <w:ind w:firstLine="640"/>
        <w:jc w:val="both"/>
      </w:pPr>
      <w:r>
        <w:rPr>
          <w:rFonts w:hint="eastAsia" w:ascii="仿宋_GB2312" w:hAnsi="仿宋_GB2312" w:eastAsia="仿宋_GB2312"/>
          <w:sz w:val="32"/>
          <w:lang w:eastAsia="zh-CN"/>
        </w:rPr>
        <w:t>11.</w:t>
      </w:r>
      <w:r>
        <w:rPr>
          <w:rFonts w:ascii="仿宋_GB2312" w:hAnsi="仿宋_GB2312" w:eastAsia="仿宋_GB2312"/>
          <w:sz w:val="32"/>
        </w:rPr>
        <w:t>统一负责生态环境监督执法。</w:t>
      </w:r>
    </w:p>
    <w:p w14:paraId="4EDF7FF7">
      <w:pPr>
        <w:spacing w:line="580" w:lineRule="exact"/>
        <w:ind w:firstLine="640"/>
        <w:jc w:val="both"/>
      </w:pPr>
      <w:r>
        <w:rPr>
          <w:rFonts w:hint="eastAsia" w:ascii="仿宋_GB2312" w:hAnsi="仿宋_GB2312" w:eastAsia="仿宋_GB2312"/>
          <w:sz w:val="32"/>
          <w:lang w:eastAsia="zh-CN"/>
        </w:rPr>
        <w:t>12.</w:t>
      </w:r>
      <w:r>
        <w:rPr>
          <w:rFonts w:ascii="仿宋_GB2312" w:hAnsi="仿宋_GB2312" w:eastAsia="仿宋_GB2312"/>
          <w:sz w:val="32"/>
        </w:rPr>
        <w:t>组织指导和协调生态环境保护宣传教育工作，制定并组织实施生态环境保护宣传教育规划，推动社会组织和公众参与生态环境保护。</w:t>
      </w:r>
    </w:p>
    <w:p w14:paraId="3BD14454">
      <w:pPr>
        <w:spacing w:line="580" w:lineRule="exact"/>
        <w:ind w:firstLine="640"/>
        <w:jc w:val="both"/>
      </w:pPr>
      <w:r>
        <w:rPr>
          <w:rFonts w:hint="eastAsia" w:ascii="仿宋_GB2312" w:hAnsi="仿宋_GB2312" w:eastAsia="仿宋_GB2312"/>
          <w:sz w:val="32"/>
          <w:lang w:eastAsia="zh-CN"/>
        </w:rPr>
        <w:t>13.</w:t>
      </w:r>
      <w:r>
        <w:rPr>
          <w:rFonts w:ascii="仿宋_GB2312" w:hAnsi="仿宋_GB2312" w:eastAsia="仿宋_GB2312"/>
          <w:sz w:val="32"/>
        </w:rPr>
        <w:t>完成县委、县政府及地区生态环境局交办的其他工作任务。</w:t>
      </w:r>
    </w:p>
    <w:p w14:paraId="53A26C45">
      <w:pPr>
        <w:spacing w:line="640" w:lineRule="exact"/>
        <w:ind w:firstLine="640"/>
        <w:jc w:val="both"/>
        <w:outlineLvl w:val="2"/>
      </w:pPr>
      <w:r>
        <w:rPr>
          <w:rFonts w:ascii="黑体" w:hAnsi="黑体" w:eastAsia="黑体"/>
          <w:sz w:val="32"/>
        </w:rPr>
        <w:t>二、机构设置及人员情况</w:t>
      </w:r>
    </w:p>
    <w:p w14:paraId="47BDE2F6">
      <w:pPr>
        <w:spacing w:line="580" w:lineRule="exact"/>
        <w:ind w:firstLine="640"/>
        <w:jc w:val="both"/>
      </w:pPr>
      <w:r>
        <w:rPr>
          <w:rFonts w:ascii="仿宋_GB2312" w:hAnsi="仿宋_GB2312" w:eastAsia="仿宋_GB2312"/>
          <w:sz w:val="32"/>
        </w:rPr>
        <w:t>喀什地区生态环境局岳普湖县分局2024年度，实有人数9人，其中：在职人员8人，减少1人；离休人员0人，增加0人；退休人员1人,减少5人。</w:t>
      </w:r>
    </w:p>
    <w:p w14:paraId="7D7958F9">
      <w:pPr>
        <w:spacing w:line="580" w:lineRule="exact"/>
        <w:ind w:firstLine="640"/>
        <w:jc w:val="both"/>
      </w:pPr>
      <w:r>
        <w:rPr>
          <w:rFonts w:ascii="仿宋_GB2312" w:hAnsi="仿宋_GB2312" w:eastAsia="仿宋_GB2312"/>
          <w:sz w:val="32"/>
        </w:rPr>
        <w:t>喀什地区生态环境局岳普湖县分局无下属预算单位，下设2个科室，分别是：办公室、综合业务室。</w:t>
      </w:r>
    </w:p>
    <w:p w14:paraId="172B0077">
      <w:r>
        <w:br w:type="page"/>
      </w:r>
    </w:p>
    <w:p w14:paraId="25CEAA77">
      <w:pPr>
        <w:spacing w:line="240" w:lineRule="auto"/>
        <w:jc w:val="center"/>
        <w:outlineLvl w:val="1"/>
      </w:pPr>
      <w:r>
        <w:rPr>
          <w:rFonts w:ascii="黑体" w:hAnsi="黑体" w:eastAsia="黑体"/>
          <w:sz w:val="32"/>
        </w:rPr>
        <w:t>第二部分 部门决算情况说明</w:t>
      </w:r>
    </w:p>
    <w:p w14:paraId="2BBC0411">
      <w:pPr>
        <w:spacing w:line="640" w:lineRule="exact"/>
        <w:ind w:firstLine="640"/>
        <w:jc w:val="both"/>
        <w:outlineLvl w:val="2"/>
      </w:pPr>
      <w:r>
        <w:rPr>
          <w:rFonts w:ascii="黑体" w:hAnsi="黑体" w:eastAsia="黑体"/>
          <w:sz w:val="32"/>
        </w:rPr>
        <w:t>一、收入支出决算总体情况说明</w:t>
      </w:r>
    </w:p>
    <w:p w14:paraId="21158A47">
      <w:pPr>
        <w:spacing w:line="580" w:lineRule="exact"/>
        <w:ind w:firstLine="640"/>
        <w:jc w:val="both"/>
      </w:pPr>
      <w:r>
        <w:rPr>
          <w:rFonts w:ascii="仿宋_GB2312" w:hAnsi="仿宋_GB2312" w:eastAsia="仿宋_GB2312"/>
          <w:b/>
          <w:sz w:val="32"/>
        </w:rPr>
        <w:t>2024年度收入总计149.67万元，</w:t>
      </w:r>
      <w:r>
        <w:rPr>
          <w:rFonts w:ascii="仿宋_GB2312" w:hAnsi="仿宋_GB2312" w:eastAsia="仿宋_GB2312"/>
          <w:b w:val="0"/>
          <w:sz w:val="32"/>
        </w:rPr>
        <w:t>其中：本年收入合计149.67万元，使用非财政拨款结余（含专用结余）0.00万元，年初结转和结余0.00万元。</w:t>
      </w:r>
    </w:p>
    <w:p w14:paraId="00C1F081">
      <w:pPr>
        <w:spacing w:line="580" w:lineRule="exact"/>
        <w:ind w:firstLine="640"/>
        <w:jc w:val="both"/>
      </w:pPr>
      <w:r>
        <w:rPr>
          <w:rFonts w:ascii="仿宋_GB2312" w:hAnsi="仿宋_GB2312" w:eastAsia="仿宋_GB2312"/>
          <w:b/>
          <w:sz w:val="32"/>
        </w:rPr>
        <w:t>2024年度支出总计149.67万元，</w:t>
      </w:r>
      <w:r>
        <w:rPr>
          <w:rFonts w:ascii="仿宋_GB2312" w:hAnsi="仿宋_GB2312" w:eastAsia="仿宋_GB2312"/>
          <w:b w:val="0"/>
          <w:sz w:val="32"/>
        </w:rPr>
        <w:t>其中：本年支出合计149.67万元，结余分配0.00万元，年末结转和结余0.00万元。</w:t>
      </w:r>
    </w:p>
    <w:p w14:paraId="3D68B299">
      <w:pPr>
        <w:spacing w:line="580" w:lineRule="exact"/>
        <w:ind w:firstLine="640"/>
        <w:jc w:val="both"/>
      </w:pPr>
      <w:r>
        <w:rPr>
          <w:rFonts w:ascii="仿宋_GB2312" w:hAnsi="仿宋_GB2312" w:eastAsia="仿宋_GB2312"/>
          <w:b w:val="0"/>
          <w:sz w:val="32"/>
        </w:rPr>
        <w:t>收入支出总体与上年相比，减少4,832.31万元，下降97.00%，主要原因是：因机构改革地区垂管，2024年度减少农村禽畜粪便无害化处理厂耕地开垦费项目、国家重点生态功能区县域考核工作监测服务项目、泰岳工业园区环境空气质量自动监测站设备采购项目、中央农村环境整治项目、岳普湖县乡村振兴重点示范村建设项目支出。</w:t>
      </w:r>
    </w:p>
    <w:p w14:paraId="7E073062">
      <w:pPr>
        <w:spacing w:line="640" w:lineRule="exact"/>
        <w:ind w:firstLine="640"/>
        <w:jc w:val="both"/>
        <w:outlineLvl w:val="2"/>
      </w:pPr>
      <w:r>
        <w:rPr>
          <w:rFonts w:ascii="黑体" w:hAnsi="黑体" w:eastAsia="黑体"/>
          <w:sz w:val="32"/>
        </w:rPr>
        <w:t>二、收入决算情况说明</w:t>
      </w:r>
    </w:p>
    <w:p w14:paraId="56CDBEFA">
      <w:pPr>
        <w:spacing w:line="580" w:lineRule="exact"/>
        <w:ind w:firstLine="640"/>
        <w:jc w:val="both"/>
      </w:pPr>
      <w:r>
        <w:rPr>
          <w:rFonts w:ascii="仿宋_GB2312" w:hAnsi="仿宋_GB2312" w:eastAsia="仿宋_GB2312"/>
          <w:b/>
          <w:sz w:val="32"/>
        </w:rPr>
        <w:t>本年收入149.67万元，</w:t>
      </w:r>
      <w:r>
        <w:rPr>
          <w:rFonts w:ascii="仿宋_GB2312" w:hAnsi="仿宋_GB2312" w:eastAsia="仿宋_GB2312"/>
          <w:b w:val="0"/>
          <w:sz w:val="32"/>
        </w:rPr>
        <w:t>其中：财政拨款收入149.67万元，占100.00%；上级补助收入0.00万元，占0.00%；事业收入0.00万元，占0.00%；经营收入0.00万元，占0.00%；附属单位上缴收入0.00万元，占0.00%；其他收入0.00万元，占0.00%。</w:t>
      </w:r>
    </w:p>
    <w:p w14:paraId="0A011666">
      <w:pPr>
        <w:spacing w:line="640" w:lineRule="exact"/>
        <w:ind w:firstLine="640"/>
        <w:jc w:val="both"/>
        <w:outlineLvl w:val="2"/>
      </w:pPr>
      <w:r>
        <w:rPr>
          <w:rFonts w:ascii="黑体" w:hAnsi="黑体" w:eastAsia="黑体"/>
          <w:sz w:val="32"/>
        </w:rPr>
        <w:t>三、支出决算情况说明</w:t>
      </w:r>
    </w:p>
    <w:p w14:paraId="668EF205">
      <w:pPr>
        <w:spacing w:line="580" w:lineRule="exact"/>
        <w:ind w:firstLine="640"/>
        <w:jc w:val="both"/>
      </w:pPr>
      <w:r>
        <w:rPr>
          <w:rFonts w:ascii="仿宋_GB2312" w:hAnsi="仿宋_GB2312" w:eastAsia="仿宋_GB2312"/>
          <w:b/>
          <w:sz w:val="32"/>
        </w:rPr>
        <w:t>本年支出149.67万元，</w:t>
      </w:r>
      <w:r>
        <w:rPr>
          <w:rFonts w:ascii="仿宋_GB2312" w:hAnsi="仿宋_GB2312" w:eastAsia="仿宋_GB2312"/>
          <w:b w:val="0"/>
          <w:sz w:val="32"/>
        </w:rPr>
        <w:t>其中：基本支出149.67万元，占100.00%；项目支出0.00万元，占0.00%；上缴上级支出0.00万元，占0.00%；经营支出0.00万元，占0.00%；对附属单位补助支出0.00万元，占0.00%。</w:t>
      </w:r>
    </w:p>
    <w:p w14:paraId="607F81EF">
      <w:pPr>
        <w:spacing w:line="640" w:lineRule="exact"/>
        <w:ind w:firstLine="640"/>
        <w:jc w:val="both"/>
        <w:outlineLvl w:val="2"/>
      </w:pPr>
      <w:r>
        <w:rPr>
          <w:rFonts w:ascii="黑体" w:hAnsi="黑体" w:eastAsia="黑体"/>
          <w:sz w:val="32"/>
        </w:rPr>
        <w:t>四、财政拨款收入支出决算总体情况说明</w:t>
      </w:r>
    </w:p>
    <w:p w14:paraId="70208798">
      <w:pPr>
        <w:spacing w:line="580" w:lineRule="exact"/>
        <w:ind w:firstLine="640"/>
        <w:jc w:val="both"/>
      </w:pPr>
      <w:r>
        <w:rPr>
          <w:rFonts w:ascii="仿宋_GB2312" w:hAnsi="仿宋_GB2312" w:eastAsia="仿宋_GB2312"/>
          <w:b/>
          <w:sz w:val="32"/>
        </w:rPr>
        <w:t>2024年度财政拨款收入总计149.67万元，</w:t>
      </w:r>
      <w:r>
        <w:rPr>
          <w:rFonts w:ascii="仿宋_GB2312" w:hAnsi="仿宋_GB2312" w:eastAsia="仿宋_GB2312"/>
          <w:b w:val="0"/>
          <w:sz w:val="32"/>
        </w:rPr>
        <w:t>其中：年初财政拨款结转和结余0.00万元，本年财政拨款收入149.67万元。</w:t>
      </w:r>
      <w:r>
        <w:rPr>
          <w:rFonts w:ascii="仿宋_GB2312" w:hAnsi="仿宋_GB2312" w:eastAsia="仿宋_GB2312"/>
          <w:b/>
          <w:sz w:val="32"/>
        </w:rPr>
        <w:t>财政拨款支出总计149.67万元，</w:t>
      </w:r>
      <w:r>
        <w:rPr>
          <w:rFonts w:ascii="仿宋_GB2312" w:hAnsi="仿宋_GB2312" w:eastAsia="仿宋_GB2312"/>
          <w:b w:val="0"/>
          <w:sz w:val="32"/>
        </w:rPr>
        <w:t>其中：年末财政拨款结转和结余0.00万元，本年财政拨款支出149.67万元。</w:t>
      </w:r>
    </w:p>
    <w:p w14:paraId="133944A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4,812.66万元，下降96.98%，主要原因是：因机构改革地区垂管，2024年度减少农村禽畜粪便无害化处理厂耕地开垦费项目、国家重点生态功能区县域考核工作监测服务项目、泰岳工业园区环境空气质量自动监测站设备采购项目、中央农村环境整治项目、岳普湖县乡村振兴重点示范村建设项目支出。</w:t>
      </w:r>
      <w:r>
        <w:rPr>
          <w:rFonts w:ascii="仿宋_GB2312" w:hAnsi="仿宋_GB2312" w:eastAsia="仿宋_GB2312"/>
          <w:b/>
          <w:sz w:val="32"/>
        </w:rPr>
        <w:t>与年初预算相比，</w:t>
      </w:r>
      <w:r>
        <w:rPr>
          <w:rFonts w:ascii="仿宋_GB2312" w:hAnsi="仿宋_GB2312" w:eastAsia="仿宋_GB2312"/>
          <w:b w:val="0"/>
          <w:sz w:val="32"/>
        </w:rPr>
        <w:t>年初预算数173.70万元，决算数149.67万元，预决算差异率-13.83%，主要原因是：一是本年在职人员减少，年中调减人员经费；二是机构改革，退休人员调整至县上管理，本单位退休人员减少，导致预决算存在差异。</w:t>
      </w:r>
    </w:p>
    <w:p w14:paraId="2D831570">
      <w:pPr>
        <w:spacing w:line="640" w:lineRule="exact"/>
        <w:ind w:firstLine="640"/>
        <w:jc w:val="both"/>
        <w:outlineLvl w:val="2"/>
      </w:pPr>
      <w:r>
        <w:rPr>
          <w:rFonts w:ascii="黑体" w:hAnsi="黑体" w:eastAsia="黑体"/>
          <w:sz w:val="32"/>
        </w:rPr>
        <w:t>五、一般公共预算财政拨款支出决算情况说明</w:t>
      </w:r>
    </w:p>
    <w:p w14:paraId="06C775B7">
      <w:pPr>
        <w:spacing w:line="640" w:lineRule="exact"/>
        <w:ind w:firstLine="640"/>
        <w:jc w:val="both"/>
        <w:outlineLvl w:val="3"/>
      </w:pPr>
      <w:r>
        <w:rPr>
          <w:rFonts w:ascii="楷体_GB2312" w:hAnsi="楷体_GB2312" w:eastAsia="楷体_GB2312"/>
          <w:b/>
          <w:sz w:val="32"/>
        </w:rPr>
        <w:t>（一）一般公共预算财政拨款支出决算总体情况</w:t>
      </w:r>
    </w:p>
    <w:p w14:paraId="277881CD">
      <w:pPr>
        <w:spacing w:line="580" w:lineRule="exact"/>
        <w:ind w:firstLine="640"/>
        <w:jc w:val="both"/>
      </w:pPr>
      <w:r>
        <w:rPr>
          <w:rFonts w:ascii="仿宋_GB2312" w:hAnsi="仿宋_GB2312" w:eastAsia="仿宋_GB2312"/>
          <w:b/>
          <w:sz w:val="32"/>
        </w:rPr>
        <w:t>2024年度一般公共预算财政拨款支出149.67万元，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4,615.43万元，下降96.86%，主要原因是：因机构改革地区垂管，2024年度减少农村禽畜粪便无害化处理厂耕地开垦费项目、国家重点生态功能区县域考核工作监测服务项目、泰岳工业园区环境空气质量自动监测站设备采购项目、中央农村环境整治项目、岳普湖县乡村振兴重点示范村建设项目支出。</w:t>
      </w:r>
      <w:r>
        <w:rPr>
          <w:rFonts w:ascii="仿宋_GB2312" w:hAnsi="仿宋_GB2312" w:eastAsia="仿宋_GB2312"/>
          <w:b/>
          <w:sz w:val="32"/>
        </w:rPr>
        <w:t>与年初预算相比,</w:t>
      </w:r>
      <w:r>
        <w:rPr>
          <w:rFonts w:ascii="仿宋_GB2312" w:hAnsi="仿宋_GB2312" w:eastAsia="仿宋_GB2312"/>
          <w:b w:val="0"/>
          <w:sz w:val="32"/>
        </w:rPr>
        <w:t>年初预算数173.70万元，决算数149.67万元，预决算差异率-13.83%，主要原因是：一是本年在职人员减少，年中调减人员经费；二是机构改革，退休人员调整至县上管理，本单位退休人员减少，导致预决算存在差异。</w:t>
      </w:r>
    </w:p>
    <w:p w14:paraId="503ADD37">
      <w:pPr>
        <w:spacing w:line="640" w:lineRule="exact"/>
        <w:ind w:firstLine="640"/>
        <w:jc w:val="both"/>
        <w:outlineLvl w:val="3"/>
      </w:pPr>
      <w:r>
        <w:rPr>
          <w:rFonts w:ascii="楷体_GB2312" w:hAnsi="楷体_GB2312" w:eastAsia="楷体_GB2312"/>
          <w:b/>
          <w:sz w:val="32"/>
        </w:rPr>
        <w:t>（二）一般公共预算财政拨款支出决算结构情况</w:t>
      </w:r>
    </w:p>
    <w:p w14:paraId="1AFB9BFA">
      <w:pPr>
        <w:spacing w:line="580" w:lineRule="exact"/>
        <w:ind w:firstLine="640"/>
        <w:jc w:val="both"/>
      </w:pPr>
      <w:r>
        <w:rPr>
          <w:rFonts w:ascii="仿宋_GB2312" w:hAnsi="仿宋_GB2312" w:eastAsia="仿宋_GB2312"/>
          <w:b w:val="0"/>
          <w:sz w:val="32"/>
        </w:rPr>
        <w:t>1.社会保障和就业支出(类)15.73万元,占10.51%。</w:t>
      </w:r>
    </w:p>
    <w:p w14:paraId="3F4A5F43">
      <w:pPr>
        <w:spacing w:line="580" w:lineRule="exact"/>
        <w:ind w:firstLine="640"/>
        <w:jc w:val="both"/>
      </w:pPr>
      <w:r>
        <w:rPr>
          <w:rFonts w:ascii="仿宋_GB2312" w:hAnsi="仿宋_GB2312" w:eastAsia="仿宋_GB2312"/>
          <w:b w:val="0"/>
          <w:sz w:val="32"/>
        </w:rPr>
        <w:t>2.卫生健康支出(类)7.90万元,占5.28%。</w:t>
      </w:r>
    </w:p>
    <w:p w14:paraId="3DA6AA96">
      <w:pPr>
        <w:spacing w:line="580" w:lineRule="exact"/>
        <w:ind w:firstLine="640"/>
        <w:jc w:val="both"/>
      </w:pPr>
      <w:r>
        <w:rPr>
          <w:rFonts w:ascii="仿宋_GB2312" w:hAnsi="仿宋_GB2312" w:eastAsia="仿宋_GB2312"/>
          <w:b w:val="0"/>
          <w:sz w:val="32"/>
        </w:rPr>
        <w:t>3.节能环保支出(类)114.08万元,占76.22%。</w:t>
      </w:r>
    </w:p>
    <w:p w14:paraId="74FFE01B">
      <w:pPr>
        <w:spacing w:line="580" w:lineRule="exact"/>
        <w:ind w:firstLine="640"/>
        <w:jc w:val="both"/>
      </w:pPr>
      <w:r>
        <w:rPr>
          <w:rFonts w:ascii="仿宋_GB2312" w:hAnsi="仿宋_GB2312" w:eastAsia="仿宋_GB2312"/>
          <w:b w:val="0"/>
          <w:sz w:val="32"/>
        </w:rPr>
        <w:t>4.住房保障支出(类)11.97万元,占8.00%。</w:t>
      </w:r>
    </w:p>
    <w:p w14:paraId="3AD7ECF3">
      <w:pPr>
        <w:spacing w:line="640" w:lineRule="exact"/>
        <w:ind w:firstLine="640"/>
        <w:jc w:val="both"/>
        <w:outlineLvl w:val="3"/>
      </w:pPr>
      <w:r>
        <w:rPr>
          <w:rFonts w:ascii="楷体_GB2312" w:hAnsi="楷体_GB2312" w:eastAsia="楷体_GB2312"/>
          <w:b/>
          <w:sz w:val="32"/>
        </w:rPr>
        <w:t>（三）一般公共预算财政拨款支出决算具体情况</w:t>
      </w:r>
    </w:p>
    <w:p w14:paraId="65FB5B49">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0.64万元，比上年决算减少6.58万元，下降91.14%,主要原因是：机构改革，退休人员调整至县上管理，本单位退休人员减少，相关经费减少。</w:t>
      </w:r>
    </w:p>
    <w:p w14:paraId="5ACE269E">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14.89万元，比上年决算增加0.36万元，增长2.48%,主要原因是：本年在职人员工资基数调增，养老缴费基数上涨，相应支出增加。</w:t>
      </w:r>
    </w:p>
    <w:p w14:paraId="07EC5281">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0.21万元，比上年决算减少6.97万元，下降97.08%,主要原因是：本年调出人员较上年减少，职业年金缴费较上年减少。</w:t>
      </w:r>
    </w:p>
    <w:p w14:paraId="22828803">
      <w:pPr>
        <w:spacing w:line="580" w:lineRule="exact"/>
        <w:ind w:firstLine="640"/>
        <w:jc w:val="both"/>
      </w:pPr>
      <w:r>
        <w:rPr>
          <w:rFonts w:ascii="仿宋_GB2312" w:hAnsi="仿宋_GB2312" w:eastAsia="仿宋_GB2312"/>
          <w:b w:val="0"/>
          <w:sz w:val="32"/>
        </w:rPr>
        <w:t>4.卫生健康支出(类)行政事业单位医疗(款)行政单位医疗(项):支出决算数为6.33万元，比上年决算减少2.59万元，下降29.04%,主要原因是：本年在职人员减少，行政单位医疗支出较上年减少。</w:t>
      </w:r>
    </w:p>
    <w:p w14:paraId="71D56939">
      <w:pPr>
        <w:spacing w:line="580" w:lineRule="exact"/>
        <w:ind w:firstLine="640"/>
        <w:jc w:val="both"/>
      </w:pPr>
      <w:r>
        <w:rPr>
          <w:rFonts w:ascii="仿宋_GB2312" w:hAnsi="仿宋_GB2312" w:eastAsia="仿宋_GB2312"/>
          <w:b w:val="0"/>
          <w:sz w:val="32"/>
        </w:rPr>
        <w:t>5.卫生健康支出(类)行政事业单位医疗(款)公务员医疗补助(项):支出决算数为1.57万元，比上年决算减少0.73万元，下降31.74%,主要原因是：本年在职人员减少，公务员医疗补助较上年减少。</w:t>
      </w:r>
    </w:p>
    <w:p w14:paraId="53BD7727">
      <w:pPr>
        <w:spacing w:line="580" w:lineRule="exact"/>
        <w:ind w:firstLine="640"/>
        <w:jc w:val="both"/>
      </w:pPr>
      <w:r>
        <w:rPr>
          <w:rFonts w:ascii="仿宋_GB2312" w:hAnsi="仿宋_GB2312" w:eastAsia="仿宋_GB2312"/>
          <w:b w:val="0"/>
          <w:sz w:val="32"/>
        </w:rPr>
        <w:t>6.节能环保支出(类)环境保护管理事务(款)行政运行(项):支出决算数为114.08万元，比上年决算减少9.91万元，下降7.99%,主要原因是：本年在职人员减少，工资等相关人员经费减少。</w:t>
      </w:r>
    </w:p>
    <w:p w14:paraId="6903876B">
      <w:pPr>
        <w:spacing w:line="580" w:lineRule="exact"/>
        <w:ind w:firstLine="640"/>
        <w:jc w:val="both"/>
      </w:pPr>
      <w:r>
        <w:rPr>
          <w:rFonts w:ascii="仿宋_GB2312" w:hAnsi="仿宋_GB2312" w:eastAsia="仿宋_GB2312"/>
          <w:b w:val="0"/>
          <w:sz w:val="32"/>
        </w:rPr>
        <w:t>7.节能环保支出(类)环境保护管理事务(款)其他环境保护管理事务支出(项):支出决算数为0.00万元，比上年决算减少13.70万元，下降100.00%,主要原因是：因机构改革地区垂管，2024年减少农村禽畜粪便无害化处理厂耕地开垦费项目支出。</w:t>
      </w:r>
    </w:p>
    <w:p w14:paraId="421E9966">
      <w:pPr>
        <w:spacing w:line="580" w:lineRule="exact"/>
        <w:ind w:firstLine="640"/>
        <w:jc w:val="both"/>
      </w:pPr>
      <w:r>
        <w:rPr>
          <w:rFonts w:ascii="仿宋_GB2312" w:hAnsi="仿宋_GB2312" w:eastAsia="仿宋_GB2312"/>
          <w:b w:val="0"/>
          <w:sz w:val="32"/>
        </w:rPr>
        <w:t>8.节能环保支出(类)环境监测与监察(款)其他环境监测与监察支出(项):支出决算数为0.00万元，比上年决算减少50.00万元，下降100.00%,主要原因是：因机构改革地区垂管，2024年度减少国家重点生态功能区县域考核工作监测服务项目、泰岳工业园区环境空气质量自动监测站设备采购项目等支出。</w:t>
      </w:r>
    </w:p>
    <w:p w14:paraId="55873D9D">
      <w:pPr>
        <w:spacing w:line="580" w:lineRule="exact"/>
        <w:ind w:firstLine="640"/>
        <w:jc w:val="both"/>
      </w:pPr>
      <w:r>
        <w:rPr>
          <w:rFonts w:ascii="仿宋_GB2312" w:hAnsi="仿宋_GB2312" w:eastAsia="仿宋_GB2312"/>
          <w:b w:val="0"/>
          <w:sz w:val="32"/>
        </w:rPr>
        <w:t>9.节能环保支出(类)自然生态保护(款)农村环境保护(项):支出决算数为0.00万元，比上年决算减少40.58万元，下降100.00%,主要原因是：因机构改革地区垂管，2024年度减少中央农村环境整治项目。</w:t>
      </w:r>
    </w:p>
    <w:p w14:paraId="47C4252D">
      <w:pPr>
        <w:spacing w:line="580" w:lineRule="exact"/>
        <w:ind w:firstLine="640"/>
        <w:jc w:val="both"/>
      </w:pPr>
      <w:r>
        <w:rPr>
          <w:rFonts w:ascii="仿宋_GB2312" w:hAnsi="仿宋_GB2312" w:eastAsia="仿宋_GB2312"/>
          <w:b w:val="0"/>
          <w:sz w:val="32"/>
        </w:rPr>
        <w:t>10.农林水支出(类)巩固脱贫攻坚成果衔接乡村振兴(款)农村基础设施建设(项):支出决算数为0.00万元，比上年决算减少4,485.18万元，下降100.00%,主要原因是：因机构改革地区垂管，2024年度减少岳普湖县乡村振兴重点示范村建设项目。</w:t>
      </w:r>
    </w:p>
    <w:p w14:paraId="1651CB5D">
      <w:pPr>
        <w:spacing w:line="580" w:lineRule="exact"/>
        <w:ind w:firstLine="640"/>
        <w:jc w:val="both"/>
      </w:pPr>
      <w:r>
        <w:rPr>
          <w:rFonts w:ascii="仿宋_GB2312" w:hAnsi="仿宋_GB2312" w:eastAsia="仿宋_GB2312"/>
          <w:b w:val="0"/>
          <w:sz w:val="32"/>
        </w:rPr>
        <w:t>11.住房保障支出(类)住房改革支出(款)住房公积金(项):支出决算数为11.97万元，比上年决算增加0.47万元，增长4.09%,主要原因是：本年在职人员工资基数调增，公积金缴费基数上涨，相应支出增加。</w:t>
      </w:r>
    </w:p>
    <w:p w14:paraId="7EAEE3B3">
      <w:pPr>
        <w:spacing w:line="640" w:lineRule="exact"/>
        <w:ind w:firstLine="640"/>
        <w:jc w:val="both"/>
        <w:outlineLvl w:val="2"/>
      </w:pPr>
      <w:r>
        <w:rPr>
          <w:rFonts w:ascii="黑体" w:hAnsi="黑体" w:eastAsia="黑体"/>
          <w:sz w:val="32"/>
        </w:rPr>
        <w:t>六、一般公共预算财政拨款基本支出决算情况说明</w:t>
      </w:r>
    </w:p>
    <w:p w14:paraId="0B8DAAD1">
      <w:pPr>
        <w:spacing w:line="580" w:lineRule="exact"/>
        <w:ind w:firstLine="640"/>
        <w:jc w:val="both"/>
      </w:pPr>
      <w:r>
        <w:rPr>
          <w:rFonts w:ascii="仿宋_GB2312" w:hAnsi="仿宋_GB2312" w:eastAsia="仿宋_GB2312"/>
          <w:b w:val="0"/>
          <w:sz w:val="32"/>
        </w:rPr>
        <w:t>2024年度一般公共预算财政拨款基本支出149.67万元，其中：</w:t>
      </w:r>
      <w:r>
        <w:rPr>
          <w:rFonts w:ascii="仿宋_GB2312" w:hAnsi="仿宋_GB2312" w:eastAsia="仿宋_GB2312"/>
          <w:b/>
          <w:sz w:val="32"/>
        </w:rPr>
        <w:t>人员经费141.04万元，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包括：基本工资、津贴补贴、奖金、机关事业单位基本养老保险缴费、职业年金缴费、职工基本医疗保险缴费、公务员医疗补助缴费、其他社会保障缴费、住房公积金、退休费、奖励金。</w:t>
      </w:r>
    </w:p>
    <w:p w14:paraId="0F0AD4DE">
      <w:pPr>
        <w:spacing w:line="580" w:lineRule="exact"/>
        <w:ind w:firstLine="640"/>
        <w:jc w:val="both"/>
      </w:pPr>
      <w:r>
        <w:rPr>
          <w:rFonts w:ascii="仿宋_GB2312" w:hAnsi="仿宋_GB2312" w:eastAsia="仿宋_GB2312"/>
          <w:b/>
          <w:sz w:val="32"/>
        </w:rPr>
        <w:t>公用经费8.63万元，</w:t>
      </w:r>
      <w:r>
        <w:rPr>
          <w:rFonts w:ascii="仿宋_GB2312" w:hAnsi="仿宋_GB2312" w:eastAsia="仿宋_GB2312"/>
          <w:b w:val="0"/>
          <w:sz w:val="32"/>
        </w:rPr>
        <w:t>包括：办公费、水费、邮电费、差旅费、专用材料费、委托业务费、工会经费、公务用车运行维护费。</w:t>
      </w:r>
    </w:p>
    <w:p w14:paraId="294ECAF8">
      <w:pPr>
        <w:spacing w:line="640" w:lineRule="exact"/>
        <w:ind w:firstLine="640"/>
        <w:jc w:val="both"/>
        <w:outlineLvl w:val="2"/>
      </w:pPr>
      <w:r>
        <w:rPr>
          <w:rFonts w:ascii="黑体" w:hAnsi="黑体" w:eastAsia="黑体"/>
          <w:sz w:val="32"/>
        </w:rPr>
        <w:t>七、政府性基金预算财政拨款收入支出决算情况说明</w:t>
      </w:r>
    </w:p>
    <w:p w14:paraId="5F68A60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6900481">
      <w:pPr>
        <w:spacing w:line="640" w:lineRule="exact"/>
        <w:ind w:firstLine="640"/>
        <w:jc w:val="both"/>
        <w:outlineLvl w:val="2"/>
      </w:pPr>
      <w:r>
        <w:rPr>
          <w:rFonts w:ascii="黑体" w:hAnsi="黑体" w:eastAsia="黑体"/>
          <w:sz w:val="32"/>
        </w:rPr>
        <w:t>八、国有资本经营预算财政拨款收入支出决算情况说明</w:t>
      </w:r>
    </w:p>
    <w:p w14:paraId="00A69DC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9A165EC">
      <w:pPr>
        <w:spacing w:line="640" w:lineRule="exact"/>
        <w:ind w:firstLine="640"/>
        <w:jc w:val="both"/>
        <w:outlineLvl w:val="2"/>
      </w:pPr>
      <w:r>
        <w:rPr>
          <w:rFonts w:ascii="黑体" w:hAnsi="黑体" w:eastAsia="黑体"/>
          <w:sz w:val="32"/>
        </w:rPr>
        <w:t>九、财政拨款“三公”经费支出决算情况说明</w:t>
      </w:r>
    </w:p>
    <w:p w14:paraId="37F861C4">
      <w:pPr>
        <w:spacing w:line="580" w:lineRule="exact"/>
        <w:ind w:firstLine="640"/>
        <w:jc w:val="both"/>
      </w:pPr>
      <w:r>
        <w:rPr>
          <w:rFonts w:ascii="仿宋_GB2312" w:hAnsi="仿宋_GB2312" w:eastAsia="仿宋_GB2312"/>
          <w:b/>
          <w:sz w:val="32"/>
        </w:rPr>
        <w:t>2024年度财政拨款“三公”经费支出1.50万元，</w:t>
      </w:r>
      <w:r>
        <w:rPr>
          <w:rFonts w:ascii="仿宋_GB2312" w:hAnsi="仿宋_GB2312" w:eastAsia="仿宋_GB2312"/>
          <w:b w:val="0"/>
          <w:sz w:val="32"/>
        </w:rPr>
        <w:t>比上年增加1.09万元，增长265.85%，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1.50万元，占100.00%，比上年增加1.09万元，增长265.85%，主要原因是：本单位公务用车日渐老化，维修维护成本增加，导致公务用车运行维护费较上年增加。公务接待费支出0.00万元，占0.00%，比上年增加0.00万元，增长0.00%，主要原因是：2023年与2024年均未安排公务接待费支出。</w:t>
      </w:r>
    </w:p>
    <w:p w14:paraId="68AF61E3">
      <w:pPr>
        <w:spacing w:line="580" w:lineRule="exact"/>
        <w:ind w:firstLine="640"/>
        <w:jc w:val="both"/>
      </w:pPr>
      <w:r>
        <w:rPr>
          <w:rFonts w:ascii="仿宋_GB2312" w:hAnsi="仿宋_GB2312" w:eastAsia="仿宋_GB2312"/>
          <w:b/>
          <w:sz w:val="32"/>
        </w:rPr>
        <w:t>具体情况如下：</w:t>
      </w:r>
    </w:p>
    <w:p w14:paraId="1DA240C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3B5E684">
      <w:pPr>
        <w:spacing w:line="580" w:lineRule="exact"/>
        <w:ind w:firstLine="640"/>
        <w:jc w:val="both"/>
      </w:pPr>
      <w:r>
        <w:rPr>
          <w:rFonts w:ascii="仿宋_GB2312" w:hAnsi="仿宋_GB2312" w:eastAsia="仿宋_GB2312"/>
          <w:b w:val="0"/>
          <w:sz w:val="32"/>
        </w:rPr>
        <w:t>公务用车购置及运行维护费1.50万元，其中：公务用车购置费0.00万元，公务用车运行维护费1.50万元。公务用车运行维护费开支内容包括公务用车维修费、燃油费、车辆保险费。公务用车购置数0辆，公务用车保有量1辆。国有资产占用情况中固定资产车辆2辆，与公务用车保有量差异原因是：差异车辆为待处置车辆，未产生相关经费支出。</w:t>
      </w:r>
    </w:p>
    <w:p w14:paraId="1832D6A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235540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1.50万元，决算数1.50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1.50万元，决算数1.50万元，预决算差异率0.00%，主要原因是：严格按照预算执行，预决算无差异。公务接待费全年预算数0.00万元，决算数0.00万元，预决算差异率0.00%，主要原因是：本单位无公务接待费。</w:t>
      </w:r>
    </w:p>
    <w:p w14:paraId="0937D519">
      <w:pPr>
        <w:spacing w:line="640" w:lineRule="exact"/>
        <w:ind w:firstLine="640"/>
        <w:jc w:val="both"/>
        <w:outlineLvl w:val="2"/>
      </w:pPr>
      <w:r>
        <w:rPr>
          <w:rFonts w:ascii="黑体" w:hAnsi="黑体" w:eastAsia="黑体"/>
          <w:sz w:val="32"/>
        </w:rPr>
        <w:t>十、其他重要事项的情况说明</w:t>
      </w:r>
    </w:p>
    <w:p w14:paraId="05E7B256">
      <w:pPr>
        <w:spacing w:line="640" w:lineRule="exact"/>
        <w:ind w:firstLine="640"/>
        <w:jc w:val="both"/>
        <w:outlineLvl w:val="3"/>
      </w:pPr>
      <w:r>
        <w:rPr>
          <w:rFonts w:ascii="楷体_GB2312" w:hAnsi="楷体_GB2312" w:eastAsia="楷体_GB2312"/>
          <w:b/>
          <w:sz w:val="32"/>
        </w:rPr>
        <w:t>（一）机关运行经费及公用经费支出情况</w:t>
      </w:r>
    </w:p>
    <w:p w14:paraId="4A22DD54">
      <w:pPr>
        <w:spacing w:line="580" w:lineRule="exact"/>
        <w:ind w:firstLine="640"/>
        <w:jc w:val="both"/>
      </w:pPr>
      <w:r>
        <w:rPr>
          <w:rFonts w:ascii="仿宋_GB2312" w:hAnsi="仿宋_GB2312" w:eastAsia="仿宋_GB2312"/>
          <w:b w:val="0"/>
          <w:sz w:val="32"/>
        </w:rPr>
        <w:t>2024年度喀什地区生态环境局岳普湖县分局（行政单位和参照公务员法管理事业单位）机关运行经费支出8.63万元，比上年增加4.62万元，增长115.21%，主要原因是：本年办公费、差旅费增加，导致公用经费增加。</w:t>
      </w:r>
    </w:p>
    <w:p w14:paraId="31D75A76">
      <w:pPr>
        <w:spacing w:line="640" w:lineRule="exact"/>
        <w:ind w:firstLine="640"/>
        <w:jc w:val="both"/>
        <w:outlineLvl w:val="3"/>
      </w:pPr>
      <w:r>
        <w:rPr>
          <w:rFonts w:ascii="楷体_GB2312" w:hAnsi="楷体_GB2312" w:eastAsia="楷体_GB2312"/>
          <w:b/>
          <w:sz w:val="32"/>
        </w:rPr>
        <w:t>（二）政府采购情况</w:t>
      </w:r>
    </w:p>
    <w:p w14:paraId="0CA35B21">
      <w:pPr>
        <w:spacing w:line="580" w:lineRule="exact"/>
        <w:ind w:firstLine="640"/>
        <w:jc w:val="both"/>
      </w:pPr>
      <w:r>
        <w:rPr>
          <w:rFonts w:ascii="仿宋_GB2312" w:hAnsi="仿宋_GB2312" w:eastAsia="仿宋_GB2312"/>
          <w:b w:val="0"/>
          <w:sz w:val="32"/>
        </w:rPr>
        <w:t>2024年度政府采购支出总额4.25万元，其中：政府采购货物支出3.35万元、政府采购工程支出0.00万元、政府采购服务支出0.90万元。</w:t>
      </w:r>
    </w:p>
    <w:p w14:paraId="6A4E4C24">
      <w:pPr>
        <w:spacing w:line="580" w:lineRule="exact"/>
        <w:ind w:firstLine="640"/>
        <w:jc w:val="both"/>
      </w:pPr>
      <w:r>
        <w:rPr>
          <w:rFonts w:ascii="仿宋_GB2312" w:hAnsi="仿宋_GB2312" w:eastAsia="仿宋_GB2312"/>
          <w:b w:val="0"/>
          <w:sz w:val="32"/>
        </w:rPr>
        <w:t>授予中小企业合同金额4.25万元，占政府采购支出总额的100.00%，其中：授予小微企业合同金额3.54万元，占政府采购支出总额的83.29%。</w:t>
      </w:r>
    </w:p>
    <w:p w14:paraId="7E9FCD6A">
      <w:pPr>
        <w:spacing w:line="640" w:lineRule="exact"/>
        <w:ind w:firstLine="640"/>
        <w:jc w:val="both"/>
        <w:outlineLvl w:val="3"/>
      </w:pPr>
      <w:r>
        <w:rPr>
          <w:rFonts w:ascii="楷体_GB2312" w:hAnsi="楷体_GB2312" w:eastAsia="楷体_GB2312"/>
          <w:b/>
          <w:sz w:val="32"/>
        </w:rPr>
        <w:t>（三）国有资产占用情况说明</w:t>
      </w:r>
    </w:p>
    <w:p w14:paraId="38F30026">
      <w:pPr>
        <w:spacing w:line="580" w:lineRule="exact"/>
        <w:ind w:firstLine="640"/>
        <w:jc w:val="both"/>
      </w:pPr>
      <w:r>
        <w:rPr>
          <w:rFonts w:ascii="仿宋_GB2312" w:hAnsi="仿宋_GB2312" w:eastAsia="仿宋_GB2312"/>
          <w:b w:val="0"/>
          <w:sz w:val="32"/>
        </w:rPr>
        <w:t>截至2024年12月31日，房屋12,346.77平方米，价值1,535.90万元。车辆2辆，价值44.82万元，其中：副部（省）级及以上领导用车0辆、主要负责人用车0辆、机要通信用车0辆、应急保障用车0辆、执法执勤用车1辆、特种专业技术用车0辆、离退休干部服务用车0辆、其他用车1辆，其他用车主要是：单位吸污车。单价100万元（含）以上设备（不含车辆）2台（套）。</w:t>
      </w:r>
    </w:p>
    <w:p w14:paraId="101D4D61">
      <w:pPr>
        <w:spacing w:line="640" w:lineRule="exact"/>
        <w:ind w:firstLine="640"/>
        <w:jc w:val="both"/>
        <w:outlineLvl w:val="2"/>
      </w:pPr>
      <w:r>
        <w:rPr>
          <w:rFonts w:ascii="黑体" w:hAnsi="黑体" w:eastAsia="黑体"/>
          <w:sz w:val="32"/>
        </w:rPr>
        <w:t>十一、预算绩效的情况说明</w:t>
      </w:r>
    </w:p>
    <w:p w14:paraId="06946A2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149.67万元，实际执行总额149.67万元；预算绩效评价项目0个，全年预算数0.00万元，全年执行数0.00万元。预算绩效管理取得的成效：一是管理意识增强，资金使用和管理</w:t>
      </w:r>
      <w:bookmarkStart w:id="0" w:name="_GoBack"/>
      <w:r>
        <w:rPr>
          <w:rFonts w:hint="eastAsia" w:ascii="仿宋_GB2312" w:hAnsi="仿宋_GB2312" w:eastAsia="仿宋_GB2312"/>
          <w:b w:val="0"/>
          <w:sz w:val="32"/>
          <w:lang w:eastAsia="zh-CN"/>
        </w:rPr>
        <w:t>逐渐</w:t>
      </w:r>
      <w:bookmarkEnd w:id="0"/>
      <w:r>
        <w:rPr>
          <w:rFonts w:ascii="仿宋_GB2312" w:hAnsi="仿宋_GB2312" w:eastAsia="仿宋_GB2312"/>
          <w:b w:val="0"/>
          <w:sz w:val="32"/>
        </w:rPr>
        <w:t>规范。预算部门对预算管理、资金绩效的重视程度和管理能力逐步提升，预算控制比较严格，无项目支出超预算的情况，财政部门布置的协同理财、国库集中支付、资产管理、政府采购等规定的执行总体比较规范。绩效目标编制的规范性、专业性和量化水平明显提高；二是绩效意识进一步增强。贯彻县政府目标管理的总体要求，各单位绩效管理的意识进一步增强，评价项目的目标任务基本完成，项目成效明显；三是评价结果应用逐步深化。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绩效评价工作还存在自我审定的局限性，影响评价质量；二是缺少带着问题去评价的意识，现场评价的工作量少，后续效益评价具体措施和方法不足。下一步改进措施：一是多进行有关绩效管理工作方面的培训。积极组织第三方开展绩效管理工作培训，进一步夯实业务基础，提高我单位绩效人员水平；二是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三是进一步完善项目评价过程中有关数据和资料的收集、整理、审核及分析。项目启动时同步做好档案的归纳与整理，及时整理、收集、汇总，健全档案资料。项目后续管理有待进一步加强和跟踪；四是评价工作应从项目实施方案源头抓起，评价工作和意识应贯穿项目整个过程。具体附整体支出绩效自评表。</w:t>
      </w:r>
    </w:p>
    <w:p w14:paraId="5B8B2B1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5D10BBB">
        <w:tblPrEx>
          <w:tblCellMar>
            <w:top w:w="0" w:type="dxa"/>
            <w:left w:w="108" w:type="dxa"/>
            <w:bottom w:w="0" w:type="dxa"/>
            <w:right w:w="108" w:type="dxa"/>
          </w:tblCellMar>
        </w:tblPrEx>
        <w:tc>
          <w:tcPr>
            <w:tcW w:w="8847" w:type="dxa"/>
            <w:gridSpan w:val="9"/>
            <w:vAlign w:val="center"/>
          </w:tcPr>
          <w:p w14:paraId="029AD326">
            <w:pPr>
              <w:jc w:val="center"/>
            </w:pPr>
            <w:r>
              <w:rPr>
                <w:rFonts w:ascii="宋体" w:hAnsi="宋体" w:eastAsia="宋体"/>
                <w:sz w:val="24"/>
              </w:rPr>
              <w:t>单位整体支出绩效自评表</w:t>
            </w:r>
          </w:p>
        </w:tc>
      </w:tr>
      <w:tr w14:paraId="20000D0B">
        <w:tblPrEx>
          <w:tblCellMar>
            <w:top w:w="0" w:type="dxa"/>
            <w:left w:w="108" w:type="dxa"/>
            <w:bottom w:w="0" w:type="dxa"/>
            <w:right w:w="108" w:type="dxa"/>
          </w:tblCellMar>
        </w:tblPrEx>
        <w:tc>
          <w:tcPr>
            <w:tcW w:w="8847" w:type="dxa"/>
            <w:gridSpan w:val="9"/>
            <w:vAlign w:val="center"/>
          </w:tcPr>
          <w:p w14:paraId="2A664928">
            <w:pPr>
              <w:jc w:val="center"/>
            </w:pPr>
            <w:r>
              <w:rPr>
                <w:rFonts w:ascii="宋体" w:hAnsi="宋体" w:eastAsia="宋体"/>
                <w:sz w:val="24"/>
              </w:rPr>
              <w:t>（2024年度）</w:t>
            </w:r>
          </w:p>
        </w:tc>
      </w:tr>
      <w:tr w14:paraId="44DD20C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65A1B">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CA96465">
            <w:pPr>
              <w:jc w:val="center"/>
            </w:pPr>
            <w:r>
              <w:rPr>
                <w:rFonts w:ascii="宋体" w:hAnsi="宋体" w:eastAsia="宋体"/>
                <w:sz w:val="16"/>
              </w:rPr>
              <w:t>喀什地区生态环境局岳普湖县分局</w:t>
            </w:r>
          </w:p>
        </w:tc>
      </w:tr>
      <w:tr w14:paraId="6CF6D64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04B9DA">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28234">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5043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54D9B">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6E94F">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F2BF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B7166">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6BA97">
            <w:pPr>
              <w:jc w:val="center"/>
            </w:pPr>
            <w:r>
              <w:rPr>
                <w:rFonts w:ascii="宋体" w:hAnsi="宋体" w:eastAsia="宋体"/>
                <w:sz w:val="16"/>
              </w:rPr>
              <w:t>得分</w:t>
            </w:r>
          </w:p>
        </w:tc>
      </w:tr>
      <w:tr w14:paraId="537A67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2D02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1AEFA">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72292">
            <w:pPr>
              <w:jc w:val="center"/>
            </w:pPr>
            <w:r>
              <w:rPr>
                <w:rFonts w:ascii="宋体" w:hAnsi="宋体" w:eastAsia="宋体"/>
                <w:sz w:val="16"/>
              </w:rPr>
              <w:t>173.70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EEBD9">
            <w:pPr>
              <w:jc w:val="center"/>
            </w:pPr>
            <w:r>
              <w:rPr>
                <w:rFonts w:ascii="宋体" w:hAnsi="宋体" w:eastAsia="宋体"/>
                <w:sz w:val="16"/>
              </w:rPr>
              <w:t>149.67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6F865">
            <w:pPr>
              <w:jc w:val="center"/>
            </w:pPr>
            <w:r>
              <w:rPr>
                <w:rFonts w:ascii="宋体" w:hAnsi="宋体" w:eastAsia="宋体"/>
                <w:sz w:val="16"/>
              </w:rPr>
              <w:t>149.67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8D9A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180C3">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5DF20">
            <w:pPr>
              <w:jc w:val="center"/>
            </w:pPr>
            <w:r>
              <w:rPr>
                <w:rFonts w:ascii="宋体" w:hAnsi="宋体" w:eastAsia="宋体"/>
                <w:sz w:val="16"/>
              </w:rPr>
              <w:t>10</w:t>
            </w:r>
          </w:p>
        </w:tc>
      </w:tr>
      <w:tr w14:paraId="5EA118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C6CC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2B35E">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E75A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AFAE1">
            <w:pPr>
              <w:jc w:val="center"/>
            </w:pPr>
            <w:r>
              <w:rPr>
                <w:rFonts w:ascii="宋体" w:hAnsi="宋体" w:eastAsia="宋体"/>
                <w:sz w:val="16"/>
              </w:rPr>
              <w:t>2.41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EE2CD">
            <w:pPr>
              <w:jc w:val="center"/>
            </w:pPr>
            <w:r>
              <w:rPr>
                <w:rFonts w:ascii="宋体" w:hAnsi="宋体" w:eastAsia="宋体"/>
                <w:sz w:val="16"/>
              </w:rPr>
              <w:t>2.41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00B2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0910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28952">
            <w:pPr>
              <w:jc w:val="center"/>
            </w:pPr>
            <w:r>
              <w:rPr>
                <w:rFonts w:ascii="宋体" w:hAnsi="宋体" w:eastAsia="宋体"/>
                <w:sz w:val="16"/>
              </w:rPr>
              <w:t>—</w:t>
            </w:r>
          </w:p>
        </w:tc>
      </w:tr>
      <w:tr w14:paraId="100C3F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E47BD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C71C4">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82A60">
            <w:pPr>
              <w:jc w:val="center"/>
            </w:pPr>
            <w:r>
              <w:rPr>
                <w:rFonts w:ascii="宋体" w:hAnsi="宋体" w:eastAsia="宋体"/>
                <w:sz w:val="16"/>
              </w:rPr>
              <w:t>173.70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71BC3">
            <w:pPr>
              <w:jc w:val="center"/>
            </w:pPr>
            <w:r>
              <w:rPr>
                <w:rFonts w:ascii="宋体" w:hAnsi="宋体" w:eastAsia="宋体"/>
                <w:sz w:val="16"/>
              </w:rPr>
              <w:t>147.26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206AB">
            <w:pPr>
              <w:jc w:val="center"/>
            </w:pPr>
            <w:r>
              <w:rPr>
                <w:rFonts w:ascii="宋体" w:hAnsi="宋体" w:eastAsia="宋体"/>
                <w:sz w:val="16"/>
              </w:rPr>
              <w:t>147.26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4C39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E38A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5EB04">
            <w:pPr>
              <w:jc w:val="center"/>
            </w:pPr>
            <w:r>
              <w:rPr>
                <w:rFonts w:ascii="宋体" w:hAnsi="宋体" w:eastAsia="宋体"/>
                <w:sz w:val="16"/>
              </w:rPr>
              <w:t>—</w:t>
            </w:r>
          </w:p>
        </w:tc>
      </w:tr>
      <w:tr w14:paraId="54D2BE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1942D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CD2FC">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3C5E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98A8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9C22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8F18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19A3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556D9">
            <w:pPr>
              <w:jc w:val="center"/>
            </w:pPr>
            <w:r>
              <w:rPr>
                <w:rFonts w:ascii="宋体" w:hAnsi="宋体" w:eastAsia="宋体"/>
                <w:sz w:val="16"/>
              </w:rPr>
              <w:t>—</w:t>
            </w:r>
          </w:p>
        </w:tc>
      </w:tr>
      <w:tr w14:paraId="666F712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F7D99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19AF0E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6D216F">
            <w:pPr>
              <w:jc w:val="center"/>
            </w:pPr>
            <w:r>
              <w:rPr>
                <w:rFonts w:ascii="宋体" w:hAnsi="宋体" w:eastAsia="宋体"/>
                <w:sz w:val="16"/>
              </w:rPr>
              <w:t>实际完成情况</w:t>
            </w:r>
          </w:p>
        </w:tc>
      </w:tr>
      <w:tr w14:paraId="7C72AF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1D1C3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FC5AD1">
            <w:pPr>
              <w:jc w:val="both"/>
            </w:pPr>
            <w:r>
              <w:rPr>
                <w:rFonts w:ascii="宋体" w:hAnsi="宋体" w:eastAsia="宋体"/>
                <w:sz w:val="16"/>
              </w:rPr>
              <w:t>以改善环境质量为核心，以解决突出环境问题为重点，扎实推进生态文明和生态环境保护，持续深入打好污染防治攻坚战。做好大气环境质量工作，确保全年空气质量优良天数比率达到33.47%，全县全年PM2.5（空气中细颗粒物）浓度低于56毫克/立方米。做好水环境质量工作，全年完成地表水水质监测次数2次，水源地水质达标率达到100%。做好生态环境质量考核工作，按时完成生态环境监测，确保监测完成率达到100%。通过做好大气治理工作、水质监测工作、组织开展环保执法检查工作、开展环保宣传活动等，使得公民环保意识有效提升，区域内生态环境实现逐步有效改善和提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6E64E0">
            <w:pPr>
              <w:jc w:val="both"/>
            </w:pPr>
            <w:r>
              <w:rPr>
                <w:rFonts w:ascii="宋体" w:hAnsi="宋体" w:eastAsia="宋体"/>
                <w:sz w:val="16"/>
              </w:rPr>
              <w:t>（1）持续做好环境质量监测。一是全县空气质量大幅改善。</w:t>
            </w:r>
            <w:r>
              <w:rPr>
                <w:rFonts w:hint="eastAsia" w:ascii="宋体" w:hAnsi="宋体"/>
                <w:sz w:val="16"/>
                <w:lang w:eastAsia="zh-CN"/>
              </w:rPr>
              <w:t>截至</w:t>
            </w:r>
            <w:r>
              <w:rPr>
                <w:rFonts w:ascii="宋体" w:hAnsi="宋体" w:eastAsia="宋体"/>
                <w:sz w:val="16"/>
              </w:rPr>
              <w:t>12月底，岳普湖县空气质量监测数据有效天数为366天，其中优良天数183天，平均优良天数比例为50.8%，与去年同期相比增加54天上升比例为15.2%。首要污染物为PM10和PM2.5。二是水环境质量持续改善。2024年岳普湖县县级以上集中式饮用水水源地、乡镇级农村饮用水水源地水质达标率100%；跨行政区河流交接断面水质优良。三是土壤环境质量保持平稳，全县各类区域土壤总体处于清洁或尚清洁状态，土壤环境质量总体较好。</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认真做好声功能点位布局和噪声监测。一是按照《新疆维吾尔自治区“十四五”噪声污染防治实施方案》要求，年初全县共确定声环境监测点位128个，目前已完成全年声功能区监测工作。二是完成岳普湖县2024年声环境功能区划分评估工作，布设101个区域声环境监测点位、20个道路交通声环境监测点位、7个功能区声环境监测点位。</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狠抓各级督察反馈问题整改。一是2024年已完成第二轮中央生态环境保护督察反馈问题整改7条,水利局牵头1条整改问题于11月底完成。二是完成自治区党委第七巡视组、第五巡视组巡视反馈问题整改各1条；制定印发《岳普湖县贯彻落实自治区生态环境保护督察报告整改方案》，</w:t>
            </w:r>
            <w:r>
              <w:rPr>
                <w:rFonts w:hint="eastAsia" w:ascii="宋体" w:hAnsi="宋体"/>
                <w:sz w:val="16"/>
                <w:lang w:eastAsia="zh-CN"/>
              </w:rPr>
              <w:t>截至</w:t>
            </w:r>
            <w:r>
              <w:rPr>
                <w:rFonts w:ascii="宋体" w:hAnsi="宋体" w:eastAsia="宋体"/>
                <w:sz w:val="16"/>
              </w:rPr>
              <w:t>11月底，全县各整改单位给上级主管单位报送整改问题18项已完成整改销号。三是对第二轮</w:t>
            </w:r>
            <w:r>
              <w:rPr>
                <w:rFonts w:hint="eastAsia" w:ascii="宋体" w:hAnsi="宋体"/>
                <w:sz w:val="16"/>
                <w:lang w:eastAsia="zh-CN"/>
              </w:rPr>
              <w:t>中央生态环境保护督察</w:t>
            </w:r>
            <w:r>
              <w:rPr>
                <w:rFonts w:ascii="宋体" w:hAnsi="宋体" w:eastAsia="宋体"/>
                <w:sz w:val="16"/>
              </w:rPr>
              <w:t>期间收到的2件信访案件进行“回头看”，通过现场核查，问题均已整改到位，没有出现“反弹、回潮”现象。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（4）有序推进生态功能区考核工作。按照《国家重点生态功能区县域生态环境质量监测与评价指标体系》要求，全面做好全县重点生态功能县每月、每季度空气、水、土壤监测数据采集上报，目前已</w:t>
            </w:r>
            <w:r>
              <w:rPr>
                <w:rFonts w:hint="eastAsia" w:ascii="宋体" w:hAnsi="宋体"/>
                <w:sz w:val="16"/>
                <w:lang w:eastAsia="zh-CN"/>
              </w:rPr>
              <w:t>完成</w:t>
            </w:r>
            <w:r>
              <w:rPr>
                <w:rFonts w:ascii="宋体" w:hAnsi="宋体" w:eastAsia="宋体"/>
                <w:sz w:val="16"/>
              </w:rPr>
              <w:t>全年监测数据上报工作。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全力守护生态环境安全。一是对全县企业开展“双随机、一公开”执法检查96次，下发责令整改通知书12份，责令整改企业8家，立案查处3家，处罚金额2.08万元，有力打击了各类环境违法行为。二是全面推进挥发性有机物（VOCs)综合治理，联合县交通运输部门对全县汽车维修保养行业挥发性有机物（VOCs)处置情况开展联合执法5次，建立排查整治台账，确定有烤漆房设备汽车维修点34家，全部安装“活性炭吸附、光氧催化”污染防治设备。三是进一步拓展环保投诉渠道，认真办理群众来信来访案件，及时妥善处理各类信访案件5件，办结率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加强兵地生态保护联动工作。落实兵地联动工作要求，积极开展以环境保护、联合执法、数据共享、定期会商等兵地融合各项措施落实。截至目前与第三师42团生态环境局召开联席会议2次，联合执法2次，环境应急响应方案现场核查1次。</w:t>
            </w:r>
          </w:p>
        </w:tc>
      </w:tr>
      <w:tr w14:paraId="3FA6FF6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E40E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8097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C0CA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BBDA4">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14075">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0DA26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00BD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4F5F5">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1EB04">
            <w:pPr>
              <w:jc w:val="center"/>
            </w:pPr>
            <w:r>
              <w:rPr>
                <w:rFonts w:ascii="宋体" w:hAnsi="宋体" w:eastAsia="宋体"/>
                <w:sz w:val="16"/>
              </w:rPr>
              <w:t>得分</w:t>
            </w:r>
          </w:p>
        </w:tc>
      </w:tr>
      <w:tr w14:paraId="20BD817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6978F7">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E70CF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BCDFC">
            <w:pPr>
              <w:jc w:val="center"/>
            </w:pPr>
            <w:r>
              <w:rPr>
                <w:rFonts w:ascii="宋体" w:hAnsi="宋体" w:eastAsia="宋体"/>
                <w:sz w:val="16"/>
              </w:rPr>
              <w:t>地表水水质监测次数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A3E20">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12CE8">
            <w:pPr>
              <w:jc w:val="center"/>
            </w:pPr>
            <w:r>
              <w:rPr>
                <w:rFonts w:ascii="宋体" w:hAnsi="宋体" w:eastAsia="宋体"/>
                <w:sz w:val="16"/>
              </w:rPr>
              <w:t>《喀什地区生态环境局岳普湖县分局2024年工作计划》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D001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D5F4A">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CE86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7582C">
            <w:pPr>
              <w:jc w:val="center"/>
            </w:pPr>
            <w:r>
              <w:rPr>
                <w:rFonts w:ascii="宋体" w:hAnsi="宋体" w:eastAsia="宋体"/>
                <w:sz w:val="16"/>
              </w:rPr>
              <w:t>18</w:t>
            </w:r>
          </w:p>
        </w:tc>
      </w:tr>
      <w:tr w14:paraId="190E32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345BE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E2E2F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812C3">
            <w:pPr>
              <w:jc w:val="center"/>
            </w:pPr>
            <w:r>
              <w:rPr>
                <w:rFonts w:ascii="宋体" w:hAnsi="宋体" w:eastAsia="宋体"/>
                <w:sz w:val="16"/>
              </w:rPr>
              <w:t>全县全年空气质量优良天数比率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FA796">
            <w:pPr>
              <w:jc w:val="center"/>
            </w:pPr>
            <w:r>
              <w:rPr>
                <w:rFonts w:ascii="宋体" w:hAnsi="宋体" w:eastAsia="宋体"/>
                <w:sz w:val="16"/>
              </w:rPr>
              <w:t>&gt;=33.47%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78801">
            <w:pPr>
              <w:jc w:val="center"/>
            </w:pPr>
            <w:r>
              <w:rPr>
                <w:rFonts w:ascii="宋体" w:hAnsi="宋体" w:eastAsia="宋体"/>
                <w:sz w:val="16"/>
              </w:rPr>
              <w:t>《喀什地区生态环境局岳普湖县分局2024年工作计划》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6402C">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29DF9">
            <w:pPr>
              <w:jc w:val="center"/>
            </w:pPr>
            <w:r>
              <w:rPr>
                <w:rFonts w:ascii="宋体" w:hAnsi="宋体" w:eastAsia="宋体"/>
                <w:sz w:val="16"/>
              </w:rPr>
              <w:t>50.8%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4769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200E1">
            <w:pPr>
              <w:jc w:val="center"/>
            </w:pPr>
            <w:r>
              <w:rPr>
                <w:rFonts w:ascii="宋体" w:hAnsi="宋体" w:eastAsia="宋体"/>
                <w:sz w:val="16"/>
              </w:rPr>
              <w:t>18</w:t>
            </w:r>
          </w:p>
        </w:tc>
      </w:tr>
      <w:tr w14:paraId="29899E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C35C4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AE405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9BA50">
            <w:pPr>
              <w:jc w:val="center"/>
            </w:pPr>
            <w:r>
              <w:rPr>
                <w:rFonts w:ascii="宋体" w:hAnsi="宋体" w:eastAsia="宋体"/>
                <w:sz w:val="16"/>
              </w:rPr>
              <w:t>水源地水质达标率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1DDF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77D60">
            <w:pPr>
              <w:jc w:val="center"/>
            </w:pPr>
            <w:r>
              <w:rPr>
                <w:rFonts w:ascii="宋体" w:hAnsi="宋体" w:eastAsia="宋体"/>
                <w:sz w:val="16"/>
              </w:rPr>
              <w:t>《喀什地区生态环境局岳普湖县分局2024年工作计划》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A8B2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24BA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4077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D78E7">
            <w:pPr>
              <w:jc w:val="center"/>
            </w:pPr>
            <w:r>
              <w:rPr>
                <w:rFonts w:ascii="宋体" w:hAnsi="宋体" w:eastAsia="宋体"/>
                <w:sz w:val="16"/>
              </w:rPr>
              <w:t>18</w:t>
            </w:r>
          </w:p>
        </w:tc>
      </w:tr>
      <w:tr w14:paraId="5AF54E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6B487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2E72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BE607">
            <w:pPr>
              <w:jc w:val="center"/>
            </w:pPr>
            <w:r>
              <w:rPr>
                <w:rFonts w:ascii="宋体" w:hAnsi="宋体" w:eastAsia="宋体"/>
                <w:sz w:val="16"/>
              </w:rPr>
              <w:t>全县全年PM2.5（空气中细颗粒物）浓度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D15DBF">
            <w:pPr>
              <w:jc w:val="center"/>
            </w:pPr>
            <w:r>
              <w:rPr>
                <w:rFonts w:ascii="宋体" w:hAnsi="宋体" w:eastAsia="宋体"/>
                <w:sz w:val="16"/>
              </w:rPr>
              <w:t>&lt;=56微克/立方米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39788">
            <w:pPr>
              <w:jc w:val="center"/>
            </w:pPr>
            <w:r>
              <w:rPr>
                <w:rFonts w:ascii="宋体" w:hAnsi="宋体" w:eastAsia="宋体"/>
                <w:sz w:val="16"/>
              </w:rPr>
              <w:t>《喀什地区生态环境局岳普湖县分局2024年工作计划》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7B1FC">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E13C8">
            <w:pPr>
              <w:jc w:val="center"/>
            </w:pPr>
            <w:r>
              <w:rPr>
                <w:rFonts w:ascii="宋体" w:hAnsi="宋体" w:eastAsia="宋体"/>
                <w:sz w:val="16"/>
              </w:rPr>
              <w:t>40微克/立方米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9FB7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149FE">
            <w:pPr>
              <w:jc w:val="center"/>
            </w:pPr>
            <w:r>
              <w:rPr>
                <w:rFonts w:ascii="宋体" w:hAnsi="宋体" w:eastAsia="宋体"/>
                <w:sz w:val="16"/>
              </w:rPr>
              <w:t>18</w:t>
            </w:r>
          </w:p>
        </w:tc>
      </w:tr>
      <w:tr w14:paraId="044279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A8CFB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31ACA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E16FF">
            <w:pPr>
              <w:jc w:val="center"/>
            </w:pPr>
            <w:r>
              <w:rPr>
                <w:rFonts w:ascii="宋体" w:hAnsi="宋体" w:eastAsia="宋体"/>
                <w:sz w:val="16"/>
              </w:rPr>
              <w:t>生态环境监测完成率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33EB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312A4">
            <w:pPr>
              <w:jc w:val="center"/>
            </w:pPr>
            <w:r>
              <w:rPr>
                <w:rFonts w:ascii="宋体" w:hAnsi="宋体" w:eastAsia="宋体"/>
                <w:sz w:val="16"/>
              </w:rPr>
              <w:t>《喀什地区生态环境局岳普湖县分局2024年工作计划》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0BAA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E4A5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9891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6CF5A">
            <w:pPr>
              <w:jc w:val="center"/>
            </w:pPr>
            <w:r>
              <w:rPr>
                <w:rFonts w:ascii="宋体" w:hAnsi="宋体" w:eastAsia="宋体"/>
                <w:sz w:val="16"/>
              </w:rPr>
              <w:t>18</w:t>
            </w:r>
          </w:p>
        </w:tc>
      </w:tr>
    </w:tbl>
    <w:p w14:paraId="120190C1">
      <w:r>
        <w:br w:type="page"/>
      </w:r>
    </w:p>
    <w:p w14:paraId="391BE866">
      <w:pPr>
        <w:spacing w:line="640" w:lineRule="exact"/>
        <w:ind w:firstLine="640"/>
        <w:jc w:val="both"/>
        <w:outlineLvl w:val="2"/>
      </w:pPr>
      <w:r>
        <w:rPr>
          <w:rFonts w:ascii="黑体" w:hAnsi="黑体" w:eastAsia="黑体"/>
          <w:sz w:val="32"/>
        </w:rPr>
        <w:t>十二、其他需说明的事项</w:t>
      </w:r>
    </w:p>
    <w:p w14:paraId="365831ED">
      <w:pPr>
        <w:spacing w:line="580" w:lineRule="exact"/>
        <w:ind w:firstLine="640"/>
        <w:jc w:val="both"/>
      </w:pPr>
      <w:r>
        <w:rPr>
          <w:rFonts w:ascii="仿宋_GB2312" w:hAnsi="仿宋_GB2312" w:eastAsia="仿宋_GB2312"/>
          <w:b w:val="0"/>
          <w:sz w:val="32"/>
        </w:rPr>
        <w:t>本单位无其他需说明的事项。</w:t>
      </w:r>
    </w:p>
    <w:p w14:paraId="20B89D9C">
      <w:r>
        <w:br w:type="page"/>
      </w:r>
    </w:p>
    <w:p w14:paraId="7A5EF787">
      <w:pPr>
        <w:spacing w:line="240" w:lineRule="auto"/>
        <w:jc w:val="center"/>
        <w:outlineLvl w:val="1"/>
      </w:pPr>
      <w:r>
        <w:rPr>
          <w:rFonts w:ascii="黑体" w:hAnsi="黑体" w:eastAsia="黑体"/>
          <w:sz w:val="32"/>
        </w:rPr>
        <w:t>第三部分 专业名词解释</w:t>
      </w:r>
    </w:p>
    <w:p w14:paraId="2EFED87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0CFB66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9326C2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491271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CF6C50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3978C0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A57D24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4433AA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E34152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4BA694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51613C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2AEF32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2CF2FF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908A6C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6ED9201">
      <w:r>
        <w:br w:type="page"/>
      </w:r>
    </w:p>
    <w:p w14:paraId="7486F1BE">
      <w:pPr>
        <w:spacing w:line="240" w:lineRule="auto"/>
        <w:jc w:val="center"/>
        <w:outlineLvl w:val="1"/>
      </w:pPr>
      <w:r>
        <w:rPr>
          <w:rFonts w:ascii="黑体" w:hAnsi="黑体" w:eastAsia="黑体"/>
          <w:sz w:val="32"/>
        </w:rPr>
        <w:t>第四部分 部门决算报表（见附表）</w:t>
      </w:r>
    </w:p>
    <w:p w14:paraId="330291B7">
      <w:pPr>
        <w:spacing w:line="240" w:lineRule="auto"/>
        <w:ind w:firstLine="640"/>
        <w:jc w:val="both"/>
      </w:pPr>
      <w:r>
        <w:rPr>
          <w:rFonts w:ascii="仿宋_GB2312" w:hAnsi="仿宋_GB2312" w:eastAsia="仿宋_GB2312"/>
          <w:b w:val="0"/>
          <w:sz w:val="32"/>
        </w:rPr>
        <w:t>一、《收入支出决算总表》</w:t>
      </w:r>
    </w:p>
    <w:p w14:paraId="424F2F87">
      <w:pPr>
        <w:spacing w:line="240" w:lineRule="auto"/>
        <w:ind w:firstLine="640"/>
        <w:jc w:val="both"/>
      </w:pPr>
      <w:r>
        <w:rPr>
          <w:rFonts w:ascii="仿宋_GB2312" w:hAnsi="仿宋_GB2312" w:eastAsia="仿宋_GB2312"/>
          <w:b w:val="0"/>
          <w:sz w:val="32"/>
        </w:rPr>
        <w:t>二、《收入决算表》</w:t>
      </w:r>
    </w:p>
    <w:p w14:paraId="271861EE">
      <w:pPr>
        <w:spacing w:line="240" w:lineRule="auto"/>
        <w:ind w:firstLine="640"/>
        <w:jc w:val="both"/>
      </w:pPr>
      <w:r>
        <w:rPr>
          <w:rFonts w:ascii="仿宋_GB2312" w:hAnsi="仿宋_GB2312" w:eastAsia="仿宋_GB2312"/>
          <w:b w:val="0"/>
          <w:sz w:val="32"/>
        </w:rPr>
        <w:t>三、《支出决算表》</w:t>
      </w:r>
    </w:p>
    <w:p w14:paraId="4AAA73E0">
      <w:pPr>
        <w:spacing w:line="240" w:lineRule="auto"/>
        <w:ind w:firstLine="640"/>
        <w:jc w:val="both"/>
      </w:pPr>
      <w:r>
        <w:rPr>
          <w:rFonts w:ascii="仿宋_GB2312" w:hAnsi="仿宋_GB2312" w:eastAsia="仿宋_GB2312"/>
          <w:b w:val="0"/>
          <w:sz w:val="32"/>
        </w:rPr>
        <w:t>四、《财政拨款收入支出决算总表》</w:t>
      </w:r>
    </w:p>
    <w:p w14:paraId="291116C0">
      <w:pPr>
        <w:spacing w:line="240" w:lineRule="auto"/>
        <w:ind w:firstLine="640"/>
        <w:jc w:val="both"/>
      </w:pPr>
      <w:r>
        <w:rPr>
          <w:rFonts w:ascii="仿宋_GB2312" w:hAnsi="仿宋_GB2312" w:eastAsia="仿宋_GB2312"/>
          <w:b w:val="0"/>
          <w:sz w:val="32"/>
        </w:rPr>
        <w:t>五、《一般公共预算财政拨款支出决算表》</w:t>
      </w:r>
    </w:p>
    <w:p w14:paraId="7E3F54D3">
      <w:pPr>
        <w:spacing w:line="240" w:lineRule="auto"/>
        <w:ind w:firstLine="640"/>
        <w:jc w:val="both"/>
      </w:pPr>
      <w:r>
        <w:rPr>
          <w:rFonts w:ascii="仿宋_GB2312" w:hAnsi="仿宋_GB2312" w:eastAsia="仿宋_GB2312"/>
          <w:b w:val="0"/>
          <w:sz w:val="32"/>
        </w:rPr>
        <w:t>六、《一般公共预算财政拨款基本支出决算表》</w:t>
      </w:r>
    </w:p>
    <w:p w14:paraId="2FACB9E8">
      <w:pPr>
        <w:spacing w:line="240" w:lineRule="auto"/>
        <w:ind w:firstLine="640"/>
        <w:jc w:val="both"/>
      </w:pPr>
      <w:r>
        <w:rPr>
          <w:rFonts w:ascii="仿宋_GB2312" w:hAnsi="仿宋_GB2312" w:eastAsia="仿宋_GB2312"/>
          <w:b w:val="0"/>
          <w:sz w:val="32"/>
        </w:rPr>
        <w:t>七、《政府性基金预算财政拨款收入支出决算表》</w:t>
      </w:r>
    </w:p>
    <w:p w14:paraId="785DA596">
      <w:pPr>
        <w:spacing w:line="240" w:lineRule="auto"/>
        <w:ind w:firstLine="640"/>
        <w:jc w:val="both"/>
      </w:pPr>
      <w:r>
        <w:rPr>
          <w:rFonts w:ascii="仿宋_GB2312" w:hAnsi="仿宋_GB2312" w:eastAsia="仿宋_GB2312"/>
          <w:b w:val="0"/>
          <w:sz w:val="32"/>
        </w:rPr>
        <w:t>八、《国有资本经营预算财政拨款收入支出决算表》</w:t>
      </w:r>
    </w:p>
    <w:p w14:paraId="7DA7206A">
      <w:pPr>
        <w:spacing w:line="240" w:lineRule="auto"/>
        <w:ind w:firstLine="640"/>
        <w:jc w:val="both"/>
      </w:pPr>
      <w:r>
        <w:rPr>
          <w:rFonts w:ascii="仿宋_GB2312" w:hAnsi="仿宋_GB2312" w:eastAsia="仿宋_GB2312"/>
          <w:b w:val="0"/>
          <w:sz w:val="32"/>
        </w:rPr>
        <w:t>九、《财政拨款“三公”经费支出决算表》</w:t>
      </w:r>
    </w:p>
    <w:p w14:paraId="7ADF8599">
      <w:pPr>
        <w:spacing w:line="240" w:lineRule="auto"/>
        <w:ind w:firstLine="640"/>
        <w:jc w:val="both"/>
      </w:pPr>
    </w:p>
    <w:p w14:paraId="73B28DCF">
      <w:pPr>
        <w:spacing w:line="240" w:lineRule="auto"/>
        <w:ind w:firstLine="640"/>
        <w:jc w:val="both"/>
      </w:pPr>
    </w:p>
    <w:p w14:paraId="0D1BC63F">
      <w:pPr>
        <w:spacing w:line="240" w:lineRule="auto"/>
        <w:ind w:firstLine="640"/>
        <w:jc w:val="both"/>
      </w:pPr>
    </w:p>
    <w:p w14:paraId="213727F8">
      <w:pPr>
        <w:spacing w:line="240" w:lineRule="auto"/>
        <w:ind w:firstLine="640"/>
        <w:jc w:val="both"/>
      </w:pPr>
    </w:p>
    <w:p w14:paraId="7CA38E2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C0C1699"/>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64E6C"/>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5573</Words>
  <Characters>6307</Characters>
  <Lines>0</Lines>
  <Paragraphs>0</Paragraphs>
  <TotalTime>6</TotalTime>
  <ScaleCrop>false</ScaleCrop>
  <LinksUpToDate>false</LinksUpToDate>
  <CharactersWithSpaces>6315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2025-09-03T10:53:11Z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