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27C99A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喀什地区生态环境局巴楚县分局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C3C209">
      <w:r>
        <w:br w:type="page"/>
      </w:r>
    </w:p>
    <w:p w14:paraId="020D570E">
      <w:pPr>
        <w:spacing w:line="640" w:lineRule="exact"/>
        <w:jc w:val="center"/>
        <w:outlineLvl w:val="1"/>
      </w:pPr>
      <w:r>
        <w:rPr>
          <w:rFonts w:ascii="黑体" w:hAnsi="黑体" w:eastAsia="黑体"/>
          <w:sz w:val="32"/>
        </w:rPr>
        <w:t>第一部分 单位概况</w:t>
      </w:r>
    </w:p>
    <w:p w14:paraId="68F604B5">
      <w:pPr>
        <w:spacing w:line="640" w:lineRule="exact"/>
        <w:ind w:firstLine="640"/>
        <w:jc w:val="both"/>
        <w:outlineLvl w:val="2"/>
      </w:pPr>
      <w:r>
        <w:rPr>
          <w:rFonts w:ascii="黑体" w:hAnsi="黑体" w:eastAsia="黑体"/>
          <w:sz w:val="32"/>
        </w:rPr>
        <w:t>一、主要职能</w:t>
      </w:r>
    </w:p>
    <w:p w14:paraId="38B8C6BA">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负责建立健全生态环境制度。贯彻执行国家和自治区、地区生态环境政策、规划。</w:t>
      </w:r>
    </w:p>
    <w:p w14:paraId="4F2615A3">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负责重大生态环境问题的统筹协调和监督管理。牵头协调环境污染事故和生态破坏事件的调查处理，指导协调辖区范围内突发生态环境事件的应急、预警工作，牵头指导实施生态环境损害赔偿制度，协调解决有关跨区域环境污染纠纷，统筹协调重点区域、流域生态环境保护工作。</w:t>
      </w:r>
    </w:p>
    <w:p w14:paraId="7159751B">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负责监督管理自治区减排目标的落实。贯彻落实国家、自治区、地区污染物排放总量控制、排污许可制度并监督实施。拟订县域总量控制计划并监督实施，实施生态环境保护目标责任制。</w:t>
      </w:r>
    </w:p>
    <w:p w14:paraId="1B7B9863">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负责环境污染防治的监督管理。根据国家、自治区和地区大气、水、土壤、噪声、光、恶臭、固体废物、化学品、机动车等的污染防治管理制度，拟订县域污染防治管理制度并监督实施。会同有关部门监督管理饮用水水源地生态环境保护工作，组织指导城乡生态环境综合整治工作，监督指导农业面源污染治理工作。监督指导区域大气环境保护工作，监督重点区域大气污染联防联控协作机制的实施。</w:t>
      </w:r>
    </w:p>
    <w:p w14:paraId="788D9457">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指导协调和监督生态保护修复工作。组织编制县域生态保护规划，监督对生态环境有影响的自然资源开发利用活动、重要生态环境建设和生态破坏恢复工作。组织制定各类自然保护地生态环境监管制度并监督执法。</w:t>
      </w:r>
    </w:p>
    <w:p w14:paraId="5EB354F4">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负责核与辐射安全的监督管理。根据国家、自治区和地区有关核与辐射安全政策、规划、标准参与核事故应急处理，组织实施辐射环境事故应急处理工作，监督管理放射源安全和核技术应用、电磁辐射、伴有放射性矿产资源开发利用中的污染防治。</w:t>
      </w:r>
    </w:p>
    <w:p w14:paraId="3ED37D59">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负责生态环境准入的监督管理。受地区生态环境局委托按照国家、自治区和地区规定，负责规划环境影响评价、政策环境影响评价审查和项目环境影响评价审批。实施生态环境准入清单。</w:t>
      </w:r>
    </w:p>
    <w:p w14:paraId="54C73494">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负责生态环境监测工作。会同有关部门统一规划县生态环境质量监测站点设置，组织实施生态环境监测、生态环境质量状况调查评价、考核、预警预测。执行生态环境质量公告制度，统一发布县域生态环境综合性报告和生态环境信息。</w:t>
      </w:r>
    </w:p>
    <w:p w14:paraId="77332DBA">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负责应对气候变化工作。组织协调实施应对气候变化及温室气体减排的规划和政策措施。协调组织应对气候变化对外合作和能力建设。</w:t>
      </w:r>
    </w:p>
    <w:p w14:paraId="06F118AB">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负责生态环境监察工作。建立健全</w:t>
      </w:r>
      <w:r>
        <w:rPr>
          <w:rFonts w:hint="eastAsia" w:ascii="仿宋_GB2312" w:hAnsi="仿宋_GB2312" w:eastAsia="仿宋_GB2312"/>
          <w:sz w:val="32"/>
          <w:lang w:eastAsia="zh-CN"/>
        </w:rPr>
        <w:t>生态环境保护督察</w:t>
      </w:r>
      <w:r>
        <w:rPr>
          <w:rFonts w:ascii="仿宋_GB2312" w:hAnsi="仿宋_GB2312" w:eastAsia="仿宋_GB2312"/>
          <w:sz w:val="32"/>
        </w:rPr>
        <w:t>制度，根据授权对</w:t>
      </w:r>
      <w:r>
        <w:rPr>
          <w:rFonts w:hint="eastAsia" w:ascii="仿宋_GB2312" w:hAnsi="仿宋_GB2312" w:eastAsia="仿宋_GB2312"/>
          <w:sz w:val="32"/>
          <w:lang w:eastAsia="zh-CN"/>
        </w:rPr>
        <w:t>贯彻落实</w:t>
      </w:r>
      <w:r>
        <w:rPr>
          <w:rFonts w:ascii="仿宋_GB2312" w:hAnsi="仿宋_GB2312" w:eastAsia="仿宋_GB2312"/>
          <w:sz w:val="32"/>
        </w:rPr>
        <w:t>中央生态环境保护决策部署、自治区和地区工作要求</w:t>
      </w:r>
      <w:r>
        <w:rPr>
          <w:rFonts w:hint="eastAsia" w:ascii="仿宋_GB2312" w:hAnsi="仿宋_GB2312" w:eastAsia="仿宋_GB2312"/>
          <w:sz w:val="32"/>
          <w:lang w:eastAsia="zh-CN"/>
        </w:rPr>
        <w:t>情况</w:t>
      </w:r>
      <w:r>
        <w:rPr>
          <w:rFonts w:ascii="仿宋_GB2312" w:hAnsi="仿宋_GB2312" w:eastAsia="仿宋_GB2312"/>
          <w:sz w:val="32"/>
        </w:rPr>
        <w:t>进行监察问责。组织协调生态环境保护督察工作。</w:t>
      </w:r>
    </w:p>
    <w:p w14:paraId="0588EB69">
      <w:pPr>
        <w:spacing w:line="580" w:lineRule="exact"/>
        <w:ind w:firstLine="640"/>
        <w:jc w:val="both"/>
      </w:pPr>
      <w:r>
        <w:rPr>
          <w:rFonts w:hint="eastAsia" w:ascii="仿宋_GB2312" w:hAnsi="仿宋_GB2312" w:eastAsia="仿宋_GB2312"/>
          <w:sz w:val="32"/>
          <w:lang w:eastAsia="zh-CN"/>
        </w:rPr>
        <w:t>（十一）</w:t>
      </w:r>
      <w:r>
        <w:rPr>
          <w:rFonts w:ascii="仿宋_GB2312" w:hAnsi="仿宋_GB2312" w:eastAsia="仿宋_GB2312"/>
          <w:sz w:val="32"/>
        </w:rPr>
        <w:t>统一负责生态环境监督执法。组织开展生态环境保护执法检查活动，查处生态环境违法案件。负责环境信访投诉案件的办理。指导生态环境保护综合执法队伍建设和业务工作。</w:t>
      </w:r>
    </w:p>
    <w:p w14:paraId="15307422">
      <w:pPr>
        <w:spacing w:line="580" w:lineRule="exact"/>
        <w:ind w:firstLine="640"/>
        <w:jc w:val="both"/>
      </w:pPr>
      <w:r>
        <w:rPr>
          <w:rFonts w:hint="eastAsia" w:ascii="仿宋_GB2312" w:hAnsi="仿宋_GB2312" w:eastAsia="仿宋_GB2312"/>
          <w:sz w:val="32"/>
          <w:lang w:eastAsia="zh-CN"/>
        </w:rPr>
        <w:t>（十二）</w:t>
      </w:r>
      <w:r>
        <w:rPr>
          <w:rFonts w:ascii="仿宋_GB2312" w:hAnsi="仿宋_GB2312" w:eastAsia="仿宋_GB2312"/>
          <w:sz w:val="32"/>
        </w:rPr>
        <w:t>组织指导和协调生态环境保护宣传教育工作，制定并组织实施生态环境保护宣传教育规划，推动社会组织和公众参与生态环境保护。</w:t>
      </w:r>
    </w:p>
    <w:p w14:paraId="611E7C72">
      <w:pPr>
        <w:spacing w:line="580" w:lineRule="exact"/>
        <w:ind w:firstLine="640"/>
        <w:jc w:val="both"/>
      </w:pPr>
      <w:r>
        <w:rPr>
          <w:rFonts w:hint="eastAsia" w:ascii="仿宋_GB2312" w:hAnsi="仿宋_GB2312" w:eastAsia="仿宋_GB2312"/>
          <w:sz w:val="32"/>
          <w:lang w:eastAsia="zh-CN"/>
        </w:rPr>
        <w:t>（十三）</w:t>
      </w:r>
      <w:r>
        <w:rPr>
          <w:rFonts w:ascii="仿宋_GB2312" w:hAnsi="仿宋_GB2312" w:eastAsia="仿宋_GB2312"/>
          <w:sz w:val="32"/>
        </w:rPr>
        <w:t>完成县委、县政府及地区生态环境局交办的其他工作任务。</w:t>
      </w:r>
    </w:p>
    <w:p w14:paraId="0C10BD89">
      <w:pPr>
        <w:spacing w:line="640" w:lineRule="exact"/>
        <w:ind w:firstLine="640"/>
        <w:jc w:val="both"/>
        <w:outlineLvl w:val="2"/>
      </w:pPr>
      <w:r>
        <w:rPr>
          <w:rFonts w:ascii="黑体" w:hAnsi="黑体" w:eastAsia="黑体"/>
          <w:sz w:val="32"/>
        </w:rPr>
        <w:t>二、机构设置及人员情况</w:t>
      </w:r>
    </w:p>
    <w:p w14:paraId="497222C3">
      <w:pPr>
        <w:spacing w:line="580" w:lineRule="exact"/>
        <w:ind w:firstLine="640"/>
        <w:jc w:val="both"/>
      </w:pPr>
      <w:r>
        <w:rPr>
          <w:rFonts w:ascii="仿宋_GB2312" w:hAnsi="仿宋_GB2312" w:eastAsia="仿宋_GB2312"/>
          <w:sz w:val="32"/>
        </w:rPr>
        <w:t>喀什地区生态环境局巴楚县分局2024年度，实有人数11人，其中：在职人员10人，减少2人；离休人员0人，增加0人；退休人员1人,减少7人。</w:t>
      </w:r>
    </w:p>
    <w:p w14:paraId="1C9A5601">
      <w:pPr>
        <w:spacing w:line="580" w:lineRule="exact"/>
        <w:ind w:firstLine="640"/>
        <w:jc w:val="both"/>
      </w:pPr>
      <w:r>
        <w:rPr>
          <w:rFonts w:ascii="仿宋_GB2312" w:hAnsi="仿宋_GB2312" w:eastAsia="仿宋_GB2312"/>
          <w:sz w:val="32"/>
        </w:rPr>
        <w:t>喀什地区生态环境局巴楚县分局无下属预算单位，下设2个科室，分别是：办公室、综合业务室。</w:t>
      </w:r>
    </w:p>
    <w:p w14:paraId="3BA47C07">
      <w:r>
        <w:br w:type="page"/>
      </w:r>
    </w:p>
    <w:p w14:paraId="25453AB7">
      <w:pPr>
        <w:spacing w:line="240" w:lineRule="auto"/>
        <w:jc w:val="center"/>
        <w:outlineLvl w:val="1"/>
      </w:pPr>
      <w:r>
        <w:rPr>
          <w:rFonts w:ascii="黑体" w:hAnsi="黑体" w:eastAsia="黑体"/>
          <w:sz w:val="32"/>
        </w:rPr>
        <w:t>第二部分 部门决算情况说明</w:t>
      </w:r>
    </w:p>
    <w:p w14:paraId="0B1D5037">
      <w:pPr>
        <w:spacing w:line="640" w:lineRule="exact"/>
        <w:ind w:firstLine="640"/>
        <w:jc w:val="both"/>
        <w:outlineLvl w:val="2"/>
      </w:pPr>
      <w:r>
        <w:rPr>
          <w:rFonts w:ascii="黑体" w:hAnsi="黑体" w:eastAsia="黑体"/>
          <w:sz w:val="32"/>
        </w:rPr>
        <w:t>一、收入支出决算总体情况说明</w:t>
      </w:r>
    </w:p>
    <w:p w14:paraId="195CF5F9">
      <w:pPr>
        <w:spacing w:line="580" w:lineRule="exact"/>
        <w:ind w:firstLine="640"/>
        <w:jc w:val="both"/>
      </w:pPr>
      <w:r>
        <w:rPr>
          <w:rFonts w:ascii="仿宋_GB2312" w:hAnsi="仿宋_GB2312" w:eastAsia="仿宋_GB2312"/>
          <w:b/>
          <w:sz w:val="32"/>
        </w:rPr>
        <w:t>2024年度收入总计195.03万元，</w:t>
      </w:r>
      <w:r>
        <w:rPr>
          <w:rFonts w:ascii="仿宋_GB2312" w:hAnsi="仿宋_GB2312" w:eastAsia="仿宋_GB2312"/>
          <w:b w:val="0"/>
          <w:sz w:val="32"/>
        </w:rPr>
        <w:t>其中：本年收入合计195.03万元，使用非财政拨款结余（含专用结余）0.00万元，年初结转和结余0.00万元。</w:t>
      </w:r>
    </w:p>
    <w:p w14:paraId="2CCA758F">
      <w:pPr>
        <w:spacing w:line="580" w:lineRule="exact"/>
        <w:ind w:firstLine="640"/>
        <w:jc w:val="both"/>
      </w:pPr>
      <w:r>
        <w:rPr>
          <w:rFonts w:ascii="仿宋_GB2312" w:hAnsi="仿宋_GB2312" w:eastAsia="仿宋_GB2312"/>
          <w:b/>
          <w:sz w:val="32"/>
        </w:rPr>
        <w:t>2024年度支出总计195.03万元，</w:t>
      </w:r>
      <w:r>
        <w:rPr>
          <w:rFonts w:ascii="仿宋_GB2312" w:hAnsi="仿宋_GB2312" w:eastAsia="仿宋_GB2312"/>
          <w:b w:val="0"/>
          <w:sz w:val="32"/>
        </w:rPr>
        <w:t>其中：本年支出合计195.03万元，结余分配0.00万元，年末结转和结余0.00万元。</w:t>
      </w:r>
    </w:p>
    <w:p w14:paraId="752F3257">
      <w:pPr>
        <w:spacing w:line="580" w:lineRule="exact"/>
        <w:ind w:firstLine="640"/>
        <w:jc w:val="both"/>
      </w:pPr>
      <w:r>
        <w:rPr>
          <w:rFonts w:ascii="仿宋_GB2312" w:hAnsi="仿宋_GB2312" w:eastAsia="仿宋_GB2312"/>
          <w:b w:val="0"/>
          <w:sz w:val="32"/>
        </w:rPr>
        <w:t>收入支出总体与上年相比，减少75.72万元，下降27.97%，主要原因是：本年减少2019年“千吨万人”及农田灌溉水质量监测项目、2020年巴楚县域重点生态功能区环境质量监测项目经费，导致相关经费减少。</w:t>
      </w:r>
    </w:p>
    <w:p w14:paraId="33AC06A4">
      <w:pPr>
        <w:spacing w:line="640" w:lineRule="exact"/>
        <w:ind w:firstLine="640"/>
        <w:jc w:val="both"/>
        <w:outlineLvl w:val="2"/>
      </w:pPr>
      <w:r>
        <w:rPr>
          <w:rFonts w:ascii="黑体" w:hAnsi="黑体" w:eastAsia="黑体"/>
          <w:sz w:val="32"/>
        </w:rPr>
        <w:t>二、收入决算情况说明</w:t>
      </w:r>
    </w:p>
    <w:p w14:paraId="5DE2FC92">
      <w:pPr>
        <w:spacing w:line="580" w:lineRule="exact"/>
        <w:ind w:firstLine="640"/>
        <w:jc w:val="both"/>
      </w:pPr>
      <w:r>
        <w:rPr>
          <w:rFonts w:ascii="仿宋_GB2312" w:hAnsi="仿宋_GB2312" w:eastAsia="仿宋_GB2312"/>
          <w:b/>
          <w:sz w:val="32"/>
        </w:rPr>
        <w:t>本年收入195.03万元，</w:t>
      </w:r>
      <w:r>
        <w:rPr>
          <w:rFonts w:ascii="仿宋_GB2312" w:hAnsi="仿宋_GB2312" w:eastAsia="仿宋_GB2312"/>
          <w:b w:val="0"/>
          <w:sz w:val="32"/>
        </w:rPr>
        <w:t>其中：财政拨款收入195.03万元，占100.00%；上级补助收入0.00万元，占0.00%；事业收入0.00万元，占0.00%；经营收入0.00万元，占0.00%；附属单位上缴收入0.00万元，占0.00%；其他收入0.00万元，占0.00%。</w:t>
      </w:r>
    </w:p>
    <w:p w14:paraId="78E5065E">
      <w:pPr>
        <w:spacing w:line="640" w:lineRule="exact"/>
        <w:ind w:firstLine="640"/>
        <w:jc w:val="both"/>
        <w:outlineLvl w:val="2"/>
      </w:pPr>
      <w:r>
        <w:rPr>
          <w:rFonts w:ascii="黑体" w:hAnsi="黑体" w:eastAsia="黑体"/>
          <w:sz w:val="32"/>
        </w:rPr>
        <w:t>三、支出决算情况说明</w:t>
      </w:r>
    </w:p>
    <w:p w14:paraId="0FF992EE">
      <w:pPr>
        <w:spacing w:line="580" w:lineRule="exact"/>
        <w:ind w:firstLine="640"/>
        <w:jc w:val="both"/>
      </w:pPr>
      <w:r>
        <w:rPr>
          <w:rFonts w:ascii="仿宋_GB2312" w:hAnsi="仿宋_GB2312" w:eastAsia="仿宋_GB2312"/>
          <w:b/>
          <w:sz w:val="32"/>
        </w:rPr>
        <w:t>本年支出195.03万元，</w:t>
      </w:r>
      <w:r>
        <w:rPr>
          <w:rFonts w:ascii="仿宋_GB2312" w:hAnsi="仿宋_GB2312" w:eastAsia="仿宋_GB2312"/>
          <w:b w:val="0"/>
          <w:sz w:val="32"/>
        </w:rPr>
        <w:t>其中：基本支出195.03万元，占100.00%；项目支出0.00万元，占0.00%；上缴上级支出0.00万元，占0.00%；经营支出0.00万元，占0.00%；对附属单位补助支出0.00万元，占0.00%。</w:t>
      </w:r>
    </w:p>
    <w:p w14:paraId="68A668D1">
      <w:pPr>
        <w:spacing w:line="640" w:lineRule="exact"/>
        <w:ind w:firstLine="640"/>
        <w:jc w:val="both"/>
        <w:outlineLvl w:val="2"/>
      </w:pPr>
      <w:r>
        <w:rPr>
          <w:rFonts w:ascii="黑体" w:hAnsi="黑体" w:eastAsia="黑体"/>
          <w:sz w:val="32"/>
        </w:rPr>
        <w:t>四、财政拨款收入支出决算总体情况说明</w:t>
      </w:r>
    </w:p>
    <w:p w14:paraId="730D3740">
      <w:pPr>
        <w:spacing w:line="580" w:lineRule="exact"/>
        <w:ind w:firstLine="640"/>
        <w:jc w:val="both"/>
      </w:pPr>
      <w:r>
        <w:rPr>
          <w:rFonts w:ascii="仿宋_GB2312" w:hAnsi="仿宋_GB2312" w:eastAsia="仿宋_GB2312"/>
          <w:b/>
          <w:sz w:val="32"/>
        </w:rPr>
        <w:t>2024年度财政拨款收入总计195.03万元，</w:t>
      </w:r>
      <w:r>
        <w:rPr>
          <w:rFonts w:ascii="仿宋_GB2312" w:hAnsi="仿宋_GB2312" w:eastAsia="仿宋_GB2312"/>
          <w:b w:val="0"/>
          <w:sz w:val="32"/>
        </w:rPr>
        <w:t>其中：年初财政拨款结转和结余0.00万元，本年财政拨款收入195.03万元。</w:t>
      </w:r>
      <w:r>
        <w:rPr>
          <w:rFonts w:ascii="仿宋_GB2312" w:hAnsi="仿宋_GB2312" w:eastAsia="仿宋_GB2312"/>
          <w:b/>
          <w:sz w:val="32"/>
        </w:rPr>
        <w:t>财政拨款支出总计195.03万元，</w:t>
      </w:r>
      <w:r>
        <w:rPr>
          <w:rFonts w:ascii="仿宋_GB2312" w:hAnsi="仿宋_GB2312" w:eastAsia="仿宋_GB2312"/>
          <w:b w:val="0"/>
          <w:sz w:val="32"/>
        </w:rPr>
        <w:t>其中：年末财政拨款结转和结余0.00万元，本年财政拨款支出195.03万元。</w:t>
      </w:r>
    </w:p>
    <w:p w14:paraId="5C1D4FC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减少75.72万元，下降27.97%，主要原因是：本年减少2019年“千吨万人”及农田灌溉水质量监测项目、2020年巴楚县域重点生态功能区环境质量监测项目经费，导致相关经费减少。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年初预算数236.68万元，决算数195.03万元，预决算差异率-17.60%，主要原因是：本年在职人员减少，年中调减人员经费，导致预决算存在差异。</w:t>
      </w:r>
    </w:p>
    <w:p w14:paraId="729D44FD">
      <w:pPr>
        <w:spacing w:line="640" w:lineRule="exact"/>
        <w:ind w:firstLine="640"/>
        <w:jc w:val="both"/>
        <w:outlineLvl w:val="2"/>
      </w:pPr>
      <w:r>
        <w:rPr>
          <w:rFonts w:ascii="黑体" w:hAnsi="黑体" w:eastAsia="黑体"/>
          <w:sz w:val="32"/>
        </w:rPr>
        <w:t>五、一般公共预算财政拨款支出决算情况说明</w:t>
      </w:r>
    </w:p>
    <w:p w14:paraId="56EAAC79">
      <w:pPr>
        <w:spacing w:line="640" w:lineRule="exact"/>
        <w:ind w:firstLine="640"/>
        <w:jc w:val="both"/>
        <w:outlineLvl w:val="3"/>
      </w:pPr>
      <w:r>
        <w:rPr>
          <w:rFonts w:ascii="楷体_GB2312" w:hAnsi="楷体_GB2312" w:eastAsia="楷体_GB2312"/>
          <w:b/>
          <w:sz w:val="32"/>
        </w:rPr>
        <w:t>（一）一般公共预算财政拨款支出决算总体情况</w:t>
      </w:r>
    </w:p>
    <w:p w14:paraId="168B6AA6">
      <w:pPr>
        <w:spacing w:line="580" w:lineRule="exact"/>
        <w:ind w:firstLine="640"/>
        <w:jc w:val="both"/>
      </w:pPr>
      <w:r>
        <w:rPr>
          <w:rFonts w:ascii="仿宋_GB2312" w:hAnsi="仿宋_GB2312" w:eastAsia="仿宋_GB2312"/>
          <w:b/>
          <w:sz w:val="32"/>
        </w:rPr>
        <w:t>2024年度一般公共预算财政拨款支出195.03万元，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减少75.72万元，下降27.97%，主要原因是：本年减少2019年“千吨万人”及农田灌溉水质量监测项目、2020年巴楚县域重点生态功能区环境质量监测项目经费，导致相关经费减少。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年初预算数236.68万元，决算数195.03万元，预决算差异率-17.60%，主要原因是：本年在职人员减少，年中调减人员经费，导致预决算存在差异。</w:t>
      </w:r>
    </w:p>
    <w:p w14:paraId="586A03BE">
      <w:pPr>
        <w:spacing w:line="640" w:lineRule="exact"/>
        <w:ind w:firstLine="640"/>
        <w:jc w:val="both"/>
        <w:outlineLvl w:val="3"/>
      </w:pPr>
      <w:r>
        <w:rPr>
          <w:rFonts w:ascii="楷体_GB2312" w:hAnsi="楷体_GB2312" w:eastAsia="楷体_GB2312"/>
          <w:b/>
          <w:sz w:val="32"/>
        </w:rPr>
        <w:t>（二）一般公共预算财政拨款支出决算结构情况</w:t>
      </w:r>
    </w:p>
    <w:p w14:paraId="4BF2FBF7">
      <w:pPr>
        <w:spacing w:line="580" w:lineRule="exact"/>
        <w:ind w:firstLine="640"/>
        <w:jc w:val="both"/>
      </w:pPr>
      <w:r>
        <w:rPr>
          <w:rFonts w:ascii="仿宋_GB2312" w:hAnsi="仿宋_GB2312" w:eastAsia="仿宋_GB2312"/>
          <w:b w:val="0"/>
          <w:sz w:val="32"/>
        </w:rPr>
        <w:t>1.社会保障和就业支出(类)20.35万元,占10.43%。</w:t>
      </w:r>
    </w:p>
    <w:p w14:paraId="7EE59B5D">
      <w:pPr>
        <w:spacing w:line="580" w:lineRule="exact"/>
        <w:ind w:firstLine="640"/>
        <w:jc w:val="both"/>
      </w:pPr>
      <w:r>
        <w:rPr>
          <w:rFonts w:ascii="仿宋_GB2312" w:hAnsi="仿宋_GB2312" w:eastAsia="仿宋_GB2312"/>
          <w:b w:val="0"/>
          <w:sz w:val="32"/>
        </w:rPr>
        <w:t>2.卫生健康支出(类)9.79万元,占5.02%。</w:t>
      </w:r>
    </w:p>
    <w:p w14:paraId="509F53E9">
      <w:pPr>
        <w:spacing w:line="580" w:lineRule="exact"/>
        <w:ind w:firstLine="640"/>
        <w:jc w:val="both"/>
      </w:pPr>
      <w:r>
        <w:rPr>
          <w:rFonts w:ascii="仿宋_GB2312" w:hAnsi="仿宋_GB2312" w:eastAsia="仿宋_GB2312"/>
          <w:b w:val="0"/>
          <w:sz w:val="32"/>
        </w:rPr>
        <w:t>3.节能环保支出(类)149.23万元,占76.52%。</w:t>
      </w:r>
    </w:p>
    <w:p w14:paraId="04D1530D">
      <w:pPr>
        <w:spacing w:line="580" w:lineRule="exact"/>
        <w:ind w:firstLine="640"/>
        <w:jc w:val="both"/>
      </w:pPr>
      <w:r>
        <w:rPr>
          <w:rFonts w:ascii="仿宋_GB2312" w:hAnsi="仿宋_GB2312" w:eastAsia="仿宋_GB2312"/>
          <w:b w:val="0"/>
          <w:sz w:val="32"/>
        </w:rPr>
        <w:t>4.住房保障支出(类)15.66万元,占8.03%。</w:t>
      </w:r>
    </w:p>
    <w:p w14:paraId="140520A8">
      <w:pPr>
        <w:spacing w:line="640" w:lineRule="exact"/>
        <w:ind w:firstLine="640"/>
        <w:jc w:val="both"/>
        <w:outlineLvl w:val="3"/>
      </w:pPr>
      <w:r>
        <w:rPr>
          <w:rFonts w:ascii="楷体_GB2312" w:hAnsi="楷体_GB2312" w:eastAsia="楷体_GB2312"/>
          <w:b/>
          <w:sz w:val="32"/>
        </w:rPr>
        <w:t>（三）一般公共预算财政拨款支出决算具体情况</w:t>
      </w:r>
    </w:p>
    <w:p w14:paraId="434AA36E">
      <w:pPr>
        <w:spacing w:line="580" w:lineRule="exact"/>
        <w:ind w:firstLine="640"/>
        <w:jc w:val="both"/>
      </w:pPr>
      <w:r>
        <w:rPr>
          <w:rFonts w:ascii="仿宋_GB2312" w:hAnsi="仿宋_GB2312" w:eastAsia="仿宋_GB2312"/>
          <w:b w:val="0"/>
          <w:sz w:val="32"/>
        </w:rPr>
        <w:t>1.一般公共服务支出(类)商贸事务(款)招商引资(项):支出决算数为0.00万元，比上年决算减少0.88万元，下降100.00%,主要原因是：本年减少招商引资差旅费支出，导致相关经费减少。</w:t>
      </w:r>
    </w:p>
    <w:p w14:paraId="17999209">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2.社会保障和就业支出(类)行政事业单位养老支出(款)行政单位离退休(项):支出决算数为0.20万元，比上年决算减少9.13万元，下降97.86%,主要原因是：本年退休人员自然减员，行政单位离退休经费较上年减少。</w:t>
      </w:r>
    </w:p>
    <w:p w14:paraId="202EAE9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19.14万元，比上年决算增加0.29万元，增长1.54%,主要原因是：本年在职人员工资基数调增，养老缴费基数上涨，相应支出增加。</w:t>
      </w:r>
    </w:p>
    <w:p w14:paraId="008C320C">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4.社会保障和就业支出(类)行政事业单位养老支出(款)机关事业单位职业年金缴费支出(项):支出决算数为1.01万元，比上年决算增加1.01万元，增长100.00%,主要原因是：本年新增退休人员，职业年金缴费支出增加。</w:t>
      </w:r>
    </w:p>
    <w:p w14:paraId="520E05FC">
      <w:pPr>
        <w:spacing w:line="580" w:lineRule="exact"/>
        <w:ind w:firstLine="640"/>
        <w:jc w:val="both"/>
      </w:pPr>
      <w:r>
        <w:rPr>
          <w:rFonts w:ascii="仿宋_GB2312" w:hAnsi="仿宋_GB2312" w:eastAsia="仿宋_GB2312"/>
          <w:b w:val="0"/>
          <w:sz w:val="32"/>
        </w:rPr>
        <w:t>5.卫生健康支出(类)行政事业单位医疗(款)行政单位医疗(项):支出决算数为8.16万元，比上年决算增加0.15万元，增长1.87%,主要原因是：本年在职人员工资基数调增，医疗缴费基数上涨，相应支出增加。</w:t>
      </w:r>
    </w:p>
    <w:p w14:paraId="40789FE4">
      <w:pPr>
        <w:spacing w:line="580" w:lineRule="exact"/>
        <w:ind w:firstLine="640"/>
        <w:jc w:val="both"/>
      </w:pPr>
      <w:r>
        <w:rPr>
          <w:rFonts w:ascii="仿宋_GB2312" w:hAnsi="仿宋_GB2312" w:eastAsia="仿宋_GB2312"/>
          <w:b w:val="0"/>
          <w:sz w:val="32"/>
        </w:rPr>
        <w:t>6.卫生健康支出(类)行政事业单位医疗(款)公务员医疗补助(项):支出决算数为1.63万元，比上年决算增加0.10万元，增长6.54%,主要原因是：本年在职人员工资基数调增，医疗缴费基数上涨，相应支出增加。</w:t>
      </w:r>
    </w:p>
    <w:p w14:paraId="3A23087C">
      <w:pPr>
        <w:spacing w:line="580" w:lineRule="exact"/>
        <w:ind w:firstLine="640"/>
        <w:jc w:val="both"/>
      </w:pPr>
      <w:r>
        <w:rPr>
          <w:rFonts w:ascii="仿宋_GB2312" w:hAnsi="仿宋_GB2312" w:eastAsia="仿宋_GB2312"/>
          <w:b w:val="0"/>
          <w:sz w:val="32"/>
        </w:rPr>
        <w:t>7.节能环保支出(类)环境保护管理事务(款)行政运行(项):支出决算数为149.23万元，比上年决算增加40.74万元，增长37.55%,主要原因是：本年科目调整，部分人员经费上年在其他环境保护管理事务支出科目列支，本年调整至行政运行科目列支，导致相关经费增加。</w:t>
      </w:r>
    </w:p>
    <w:p w14:paraId="74882E36">
      <w:pPr>
        <w:spacing w:line="580" w:lineRule="exact"/>
        <w:ind w:firstLine="640"/>
        <w:jc w:val="both"/>
      </w:pPr>
      <w:r>
        <w:rPr>
          <w:rFonts w:ascii="仿宋_GB2312" w:hAnsi="仿宋_GB2312" w:eastAsia="仿宋_GB2312"/>
          <w:b w:val="0"/>
          <w:sz w:val="32"/>
        </w:rPr>
        <w:t>8.节能环保支出(类)环境保护管理事务(款)其他环境保护管理事务支出(项):支出决算数为0.00万元，比上年决算减少58.53万元，下降100.00%,主要原因是：本年科目调整，部分人员经费上年在其他环境保护管理事务支出科目列支，本年调整至行政运行科目列支，导致相关经费减少。</w:t>
      </w:r>
    </w:p>
    <w:p w14:paraId="10692DDE">
      <w:pPr>
        <w:spacing w:line="580" w:lineRule="exact"/>
        <w:ind w:firstLine="640"/>
        <w:jc w:val="both"/>
      </w:pPr>
      <w:r>
        <w:rPr>
          <w:rFonts w:ascii="仿宋_GB2312" w:hAnsi="仿宋_GB2312" w:eastAsia="仿宋_GB2312"/>
          <w:b w:val="0"/>
          <w:sz w:val="32"/>
        </w:rPr>
        <w:t>9.节能环保支出(类)污染防治(款)大气(项):支出决算数为0.00万元，比上年决算减少49.34万元，下降100.00%,主要原因是：本年减少2019年“千吨万人”及农田灌溉水质量监测项目、2020年巴楚县域重点生态功能区环境质量监测项目经费，导致相关经费减少。</w:t>
      </w:r>
    </w:p>
    <w:p w14:paraId="50F94026">
      <w:pPr>
        <w:spacing w:line="580" w:lineRule="exact"/>
        <w:ind w:firstLine="640"/>
        <w:jc w:val="both"/>
      </w:pPr>
      <w:r>
        <w:rPr>
          <w:rFonts w:ascii="仿宋_GB2312" w:hAnsi="仿宋_GB2312" w:eastAsia="仿宋_GB2312"/>
          <w:b w:val="0"/>
          <w:sz w:val="32"/>
        </w:rPr>
        <w:t>10.住房保障支出(类)住房改革支出(款)住房公积金(项):支出决算数为15.66万元，比上年决算减少0.13万元，下降0.82%,主要原因是：本年在职人员减少，住房公积金缴费较上年减少。</w:t>
      </w:r>
    </w:p>
    <w:p w14:paraId="69503D69">
      <w:pPr>
        <w:spacing w:line="640" w:lineRule="exact"/>
        <w:ind w:firstLine="640"/>
        <w:jc w:val="both"/>
        <w:outlineLvl w:val="2"/>
      </w:pPr>
      <w:r>
        <w:rPr>
          <w:rFonts w:ascii="黑体" w:hAnsi="黑体" w:eastAsia="黑体"/>
          <w:sz w:val="32"/>
        </w:rPr>
        <w:t>六、一般公共预算财政拨款基本支出决算情况说明</w:t>
      </w:r>
    </w:p>
    <w:p w14:paraId="3171C8D5">
      <w:pPr>
        <w:spacing w:line="580" w:lineRule="exact"/>
        <w:ind w:firstLine="640"/>
        <w:jc w:val="both"/>
      </w:pPr>
      <w:r>
        <w:rPr>
          <w:rFonts w:ascii="仿宋_GB2312" w:hAnsi="仿宋_GB2312" w:eastAsia="仿宋_GB2312"/>
          <w:b w:val="0"/>
          <w:sz w:val="32"/>
        </w:rPr>
        <w:t>2024年度一般公共预算财政拨款基本支出195.03万元，其中：</w:t>
      </w:r>
      <w:r>
        <w:rPr>
          <w:rFonts w:ascii="仿宋_GB2312" w:hAnsi="仿宋_GB2312" w:eastAsia="仿宋_GB2312"/>
          <w:b/>
          <w:sz w:val="32"/>
        </w:rPr>
        <w:t>人员经费182.29万元，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B096994">
      <w:pPr>
        <w:spacing w:line="580" w:lineRule="exact"/>
        <w:ind w:firstLine="640"/>
        <w:jc w:val="both"/>
      </w:pPr>
      <w:r>
        <w:rPr>
          <w:rFonts w:ascii="仿宋_GB2312" w:hAnsi="仿宋_GB2312" w:eastAsia="仿宋_GB2312"/>
          <w:b/>
          <w:sz w:val="32"/>
        </w:rPr>
        <w:t>公用经费12.74万元，</w:t>
      </w:r>
      <w:r>
        <w:rPr>
          <w:rFonts w:ascii="仿宋_GB2312" w:hAnsi="仿宋_GB2312" w:eastAsia="仿宋_GB2312"/>
          <w:b w:val="0"/>
          <w:sz w:val="32"/>
        </w:rPr>
        <w:t>包括：办公费、邮电费、差旅费、专用材料费、委托业务费、工会经费、公务用车运行维护费。</w:t>
      </w:r>
    </w:p>
    <w:p w14:paraId="79B36334">
      <w:pPr>
        <w:spacing w:line="640" w:lineRule="exact"/>
        <w:ind w:firstLine="640"/>
        <w:jc w:val="both"/>
        <w:outlineLvl w:val="2"/>
      </w:pPr>
      <w:r>
        <w:rPr>
          <w:rFonts w:ascii="黑体" w:hAnsi="黑体" w:eastAsia="黑体"/>
          <w:sz w:val="32"/>
        </w:rPr>
        <w:t>七、政府性基金预算财政拨款收入支出决算情况说明</w:t>
      </w:r>
    </w:p>
    <w:p w14:paraId="0B58D07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7B474B2">
      <w:pPr>
        <w:spacing w:line="640" w:lineRule="exact"/>
        <w:ind w:firstLine="640"/>
        <w:jc w:val="both"/>
        <w:outlineLvl w:val="2"/>
      </w:pPr>
      <w:r>
        <w:rPr>
          <w:rFonts w:ascii="黑体" w:hAnsi="黑体" w:eastAsia="黑体"/>
          <w:sz w:val="32"/>
        </w:rPr>
        <w:t>八、国有资本经营预算财政拨款收入支出决算情况说明</w:t>
      </w:r>
    </w:p>
    <w:p w14:paraId="687A4DF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0F2E20">
      <w:pPr>
        <w:spacing w:line="640" w:lineRule="exact"/>
        <w:ind w:firstLine="640"/>
        <w:jc w:val="both"/>
        <w:outlineLvl w:val="2"/>
      </w:pPr>
      <w:r>
        <w:rPr>
          <w:rFonts w:ascii="黑体" w:hAnsi="黑体" w:eastAsia="黑体"/>
          <w:sz w:val="32"/>
        </w:rPr>
        <w:t>九、财政拨款“三公”经费支出决算情况说明</w:t>
      </w:r>
    </w:p>
    <w:p w14:paraId="31EF163F">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减少0.37万元，下降10.98%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3.00万元，占100.00%，比上年减少0.37万元，下降10.98%，主要原因是：严格落实中央八项规定精神，厉行节约，减少公务用车运行维护费。公务接待费支出0.00万元，占0.00%，比上年增加0.00万元，增长0.00%，主要原因是：2023年与2024年均未安排公务接待费支出。</w:t>
      </w:r>
    </w:p>
    <w:p w14:paraId="2136A229">
      <w:pPr>
        <w:spacing w:line="580" w:lineRule="exact"/>
        <w:ind w:firstLine="640"/>
        <w:jc w:val="both"/>
      </w:pPr>
      <w:r>
        <w:rPr>
          <w:rFonts w:ascii="仿宋_GB2312" w:hAnsi="仿宋_GB2312" w:eastAsia="仿宋_GB2312"/>
          <w:b/>
          <w:sz w:val="32"/>
        </w:rPr>
        <w:t>具体情况如下：</w:t>
      </w:r>
    </w:p>
    <w:p w14:paraId="25B9324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DD99964">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燃油费、保险费、维修维护费。公务用车购置数0辆，公务用车保有量2辆。国有资产占用情况中固定资产车辆3辆，与公务用车保有量差异原因是：借用其他单位车辆一辆，车辆费用由本单位支付。</w:t>
      </w:r>
    </w:p>
    <w:p w14:paraId="0D7261A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3129E8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6D3E8AEF">
      <w:pPr>
        <w:spacing w:line="640" w:lineRule="exact"/>
        <w:ind w:firstLine="640"/>
        <w:jc w:val="both"/>
        <w:outlineLvl w:val="2"/>
      </w:pPr>
      <w:r>
        <w:rPr>
          <w:rFonts w:ascii="黑体" w:hAnsi="黑体" w:eastAsia="黑体"/>
          <w:sz w:val="32"/>
        </w:rPr>
        <w:t>十、其他重要事项的情况说明</w:t>
      </w:r>
    </w:p>
    <w:p w14:paraId="750D5FBA">
      <w:pPr>
        <w:spacing w:line="640" w:lineRule="exact"/>
        <w:ind w:firstLine="640"/>
        <w:jc w:val="both"/>
        <w:outlineLvl w:val="3"/>
      </w:pPr>
      <w:r>
        <w:rPr>
          <w:rFonts w:ascii="楷体_GB2312" w:hAnsi="楷体_GB2312" w:eastAsia="楷体_GB2312"/>
          <w:b/>
          <w:sz w:val="32"/>
        </w:rPr>
        <w:t>（一）机关运行经费及公用经费支出情况</w:t>
      </w:r>
    </w:p>
    <w:p w14:paraId="5433C7D2">
      <w:pPr>
        <w:spacing w:line="580" w:lineRule="exact"/>
        <w:ind w:firstLine="640"/>
        <w:jc w:val="both"/>
      </w:pPr>
      <w:r>
        <w:rPr>
          <w:rFonts w:ascii="仿宋_GB2312" w:hAnsi="仿宋_GB2312" w:eastAsia="仿宋_GB2312"/>
          <w:b w:val="0"/>
          <w:sz w:val="32"/>
        </w:rPr>
        <w:t>2024年度喀什地区生态环境局巴楚县分局（行政单位和参照公务员法管理事业单位）机关运行经费支出12.74万元，比上年增加3.46万元，增长37.28%，主要原因是：本年更新、维护补充办公用品，导致机关运行经费较上年增加。</w:t>
      </w:r>
    </w:p>
    <w:p w14:paraId="648CF331">
      <w:pPr>
        <w:spacing w:line="640" w:lineRule="exact"/>
        <w:ind w:firstLine="640"/>
        <w:jc w:val="both"/>
        <w:outlineLvl w:val="3"/>
      </w:pPr>
      <w:r>
        <w:rPr>
          <w:rFonts w:ascii="楷体_GB2312" w:hAnsi="楷体_GB2312" w:eastAsia="楷体_GB2312"/>
          <w:b/>
          <w:sz w:val="32"/>
        </w:rPr>
        <w:t>（二）政府采购情况</w:t>
      </w:r>
    </w:p>
    <w:p w14:paraId="45FC6C8F">
      <w:pPr>
        <w:spacing w:line="580" w:lineRule="exact"/>
        <w:ind w:firstLine="640"/>
        <w:jc w:val="both"/>
      </w:pPr>
      <w:r>
        <w:rPr>
          <w:rFonts w:ascii="仿宋_GB2312" w:hAnsi="仿宋_GB2312" w:eastAsia="仿宋_GB2312"/>
          <w:b w:val="0"/>
          <w:sz w:val="32"/>
        </w:rPr>
        <w:t>2024年度政府采购支出总额4.82万元，其中：政府采购货物支出4.39万元、政府采购工程支出0.00万元、政府采购服务支出0.43万元。</w:t>
      </w:r>
    </w:p>
    <w:p w14:paraId="242655F5">
      <w:pPr>
        <w:spacing w:line="580" w:lineRule="exact"/>
        <w:ind w:firstLine="640"/>
        <w:jc w:val="both"/>
      </w:pPr>
      <w:r>
        <w:rPr>
          <w:rFonts w:ascii="仿宋_GB2312" w:hAnsi="仿宋_GB2312" w:eastAsia="仿宋_GB2312"/>
          <w:b w:val="0"/>
          <w:sz w:val="32"/>
        </w:rPr>
        <w:t>授予中小企业合同金额4.39万元，占政府采购支出总额的91.08%，其中：授予小微企业合同金额4.39万元，占政府采购支出总额的91.08%。</w:t>
      </w:r>
    </w:p>
    <w:p w14:paraId="40D19E79">
      <w:pPr>
        <w:spacing w:line="640" w:lineRule="exact"/>
        <w:ind w:firstLine="640"/>
        <w:jc w:val="both"/>
        <w:outlineLvl w:val="3"/>
      </w:pPr>
      <w:r>
        <w:rPr>
          <w:rFonts w:ascii="楷体_GB2312" w:hAnsi="楷体_GB2312" w:eastAsia="楷体_GB2312"/>
          <w:b/>
          <w:sz w:val="32"/>
        </w:rPr>
        <w:t>（三）国有资产占用情况说明</w:t>
      </w:r>
    </w:p>
    <w:p w14:paraId="637D0129">
      <w:pPr>
        <w:spacing w:line="580" w:lineRule="exact"/>
        <w:ind w:firstLine="640"/>
        <w:jc w:val="both"/>
      </w:pPr>
      <w:r>
        <w:rPr>
          <w:rFonts w:ascii="仿宋_GB2312" w:hAnsi="仿宋_GB2312" w:eastAsia="仿宋_GB2312"/>
          <w:b w:val="0"/>
          <w:sz w:val="32"/>
        </w:rPr>
        <w:t>截至2024年12月31日，房屋0.00平方米，价值0.00万元。车辆3辆，价值50.26万元，其中：副部（省）级及以上领导用车0辆、主要负责人用车0辆、机要通信用车0辆、应急保障用车0辆、执法执勤用车3辆、特种专业技术用车0辆、离退休干部服务用车0辆、其他用车0辆，其他用车主要是：本单位无其他用车。单价100万元（含）以上设备（不含车辆）0台（套）。</w:t>
      </w:r>
    </w:p>
    <w:p w14:paraId="6F44BFB4">
      <w:pPr>
        <w:spacing w:line="640" w:lineRule="exact"/>
        <w:ind w:firstLine="640"/>
        <w:jc w:val="both"/>
        <w:outlineLvl w:val="2"/>
      </w:pPr>
      <w:r>
        <w:rPr>
          <w:rFonts w:ascii="黑体" w:hAnsi="黑体" w:eastAsia="黑体"/>
          <w:sz w:val="32"/>
        </w:rPr>
        <w:t>十一、预算绩效的情况说明</w:t>
      </w:r>
    </w:p>
    <w:p w14:paraId="0CDCB10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195.03万元，实际执行总额195.03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44C80DD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CF0FEF">
        <w:tblPrEx>
          <w:tblCellMar>
            <w:top w:w="0" w:type="dxa"/>
            <w:left w:w="108" w:type="dxa"/>
            <w:bottom w:w="0" w:type="dxa"/>
            <w:right w:w="108" w:type="dxa"/>
          </w:tblCellMar>
        </w:tblPrEx>
        <w:tc>
          <w:tcPr>
            <w:tcW w:w="8847" w:type="dxa"/>
            <w:gridSpan w:val="9"/>
            <w:vAlign w:val="center"/>
          </w:tcPr>
          <w:p w14:paraId="0050EFEC">
            <w:pPr>
              <w:jc w:val="center"/>
            </w:pPr>
            <w:r>
              <w:rPr>
                <w:rFonts w:ascii="宋体" w:hAnsi="宋体" w:eastAsia="宋体"/>
                <w:sz w:val="24"/>
              </w:rPr>
              <w:t>单位整体支出绩效自评表</w:t>
            </w:r>
          </w:p>
        </w:tc>
      </w:tr>
      <w:tr w14:paraId="12A92B49">
        <w:tblPrEx>
          <w:tblCellMar>
            <w:top w:w="0" w:type="dxa"/>
            <w:left w:w="108" w:type="dxa"/>
            <w:bottom w:w="0" w:type="dxa"/>
            <w:right w:w="108" w:type="dxa"/>
          </w:tblCellMar>
        </w:tblPrEx>
        <w:tc>
          <w:tcPr>
            <w:tcW w:w="8847" w:type="dxa"/>
            <w:gridSpan w:val="9"/>
            <w:vAlign w:val="center"/>
          </w:tcPr>
          <w:p w14:paraId="65FC4691">
            <w:pPr>
              <w:jc w:val="center"/>
            </w:pPr>
            <w:r>
              <w:rPr>
                <w:rFonts w:ascii="宋体" w:hAnsi="宋体" w:eastAsia="宋体"/>
                <w:sz w:val="24"/>
              </w:rPr>
              <w:t>（2024年度）</w:t>
            </w:r>
          </w:p>
        </w:tc>
      </w:tr>
      <w:tr w14:paraId="24E61C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AD6D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E04B7A">
            <w:pPr>
              <w:jc w:val="center"/>
            </w:pPr>
            <w:r>
              <w:rPr>
                <w:rFonts w:ascii="宋体" w:hAnsi="宋体" w:eastAsia="宋体"/>
                <w:sz w:val="16"/>
              </w:rPr>
              <w:t>喀什地区生态环境局巴楚县分局</w:t>
            </w:r>
          </w:p>
        </w:tc>
      </w:tr>
      <w:tr w14:paraId="5E6D79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A441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7838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A234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595C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7D93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A456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2B30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8CAE5">
            <w:pPr>
              <w:jc w:val="center"/>
            </w:pPr>
            <w:r>
              <w:rPr>
                <w:rFonts w:ascii="宋体" w:hAnsi="宋体" w:eastAsia="宋体"/>
                <w:sz w:val="16"/>
              </w:rPr>
              <w:t>得分</w:t>
            </w:r>
          </w:p>
        </w:tc>
      </w:tr>
      <w:tr w14:paraId="5CBE88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17E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75BB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76C93">
            <w:pPr>
              <w:jc w:val="center"/>
            </w:pPr>
            <w:r>
              <w:rPr>
                <w:rFonts w:ascii="宋体" w:hAnsi="宋体" w:eastAsia="宋体"/>
                <w:sz w:val="16"/>
              </w:rPr>
              <w:t>236.68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4CBA3">
            <w:pPr>
              <w:jc w:val="center"/>
            </w:pPr>
            <w:r>
              <w:rPr>
                <w:rFonts w:ascii="宋体" w:hAnsi="宋体" w:eastAsia="宋体"/>
                <w:sz w:val="16"/>
              </w:rPr>
              <w:t>195.03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6EEB2">
            <w:pPr>
              <w:jc w:val="center"/>
            </w:pPr>
            <w:r>
              <w:rPr>
                <w:rFonts w:ascii="宋体" w:hAnsi="宋体" w:eastAsia="宋体"/>
                <w:sz w:val="16"/>
              </w:rPr>
              <w:t>195.03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A61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1EC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BD236">
            <w:pPr>
              <w:jc w:val="center"/>
            </w:pPr>
            <w:r>
              <w:rPr>
                <w:rFonts w:ascii="宋体" w:hAnsi="宋体" w:eastAsia="宋体"/>
                <w:sz w:val="16"/>
              </w:rPr>
              <w:t>10</w:t>
            </w:r>
          </w:p>
        </w:tc>
      </w:tr>
      <w:tr w14:paraId="11EBD1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EFB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6561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327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2EBB2">
            <w:pPr>
              <w:jc w:val="center"/>
            </w:pPr>
            <w:r>
              <w:rPr>
                <w:rFonts w:ascii="宋体" w:hAnsi="宋体" w:eastAsia="宋体"/>
                <w:sz w:val="16"/>
              </w:rPr>
              <w:t>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17C0A">
            <w:pPr>
              <w:jc w:val="center"/>
            </w:pPr>
            <w:r>
              <w:rPr>
                <w:rFonts w:ascii="宋体" w:hAnsi="宋体" w:eastAsia="宋体"/>
                <w:sz w:val="16"/>
              </w:rPr>
              <w:t>3.25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184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1098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F4B5">
            <w:pPr>
              <w:jc w:val="center"/>
            </w:pPr>
            <w:r>
              <w:rPr>
                <w:rFonts w:ascii="宋体" w:hAnsi="宋体" w:eastAsia="宋体"/>
                <w:sz w:val="16"/>
              </w:rPr>
              <w:t>—</w:t>
            </w:r>
          </w:p>
        </w:tc>
      </w:tr>
      <w:tr w14:paraId="34F320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493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4B12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88935">
            <w:pPr>
              <w:jc w:val="center"/>
            </w:pPr>
            <w:r>
              <w:rPr>
                <w:rFonts w:ascii="宋体" w:hAnsi="宋体" w:eastAsia="宋体"/>
                <w:sz w:val="16"/>
              </w:rPr>
              <w:t>236.68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B6D56">
            <w:pPr>
              <w:jc w:val="center"/>
            </w:pPr>
            <w:r>
              <w:rPr>
                <w:rFonts w:ascii="宋体" w:hAnsi="宋体" w:eastAsia="宋体"/>
                <w:sz w:val="16"/>
              </w:rPr>
              <w:t>191.78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73CE5">
            <w:pPr>
              <w:jc w:val="center"/>
            </w:pPr>
            <w:r>
              <w:rPr>
                <w:rFonts w:ascii="宋体" w:hAnsi="宋体" w:eastAsia="宋体"/>
                <w:sz w:val="16"/>
              </w:rPr>
              <w:t>191.78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B6C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5794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4A877">
            <w:pPr>
              <w:jc w:val="center"/>
            </w:pPr>
            <w:r>
              <w:rPr>
                <w:rFonts w:ascii="宋体" w:hAnsi="宋体" w:eastAsia="宋体"/>
                <w:sz w:val="16"/>
              </w:rPr>
              <w:t>—</w:t>
            </w:r>
          </w:p>
        </w:tc>
      </w:tr>
      <w:tr w14:paraId="345535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4E6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1831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0F8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248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7AB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EA7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614B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C5CFB">
            <w:pPr>
              <w:jc w:val="center"/>
            </w:pPr>
            <w:r>
              <w:rPr>
                <w:rFonts w:ascii="宋体" w:hAnsi="宋体" w:eastAsia="宋体"/>
                <w:sz w:val="16"/>
              </w:rPr>
              <w:t>—</w:t>
            </w:r>
          </w:p>
        </w:tc>
      </w:tr>
      <w:tr w14:paraId="17DE8E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E87B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ED9D5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4FEB90">
            <w:pPr>
              <w:jc w:val="center"/>
            </w:pPr>
            <w:r>
              <w:rPr>
                <w:rFonts w:ascii="宋体" w:hAnsi="宋体" w:eastAsia="宋体"/>
                <w:sz w:val="16"/>
              </w:rPr>
              <w:t>实际完成情况</w:t>
            </w:r>
          </w:p>
        </w:tc>
      </w:tr>
      <w:tr w14:paraId="6C4F5F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2DA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6DE528">
            <w:pPr>
              <w:jc w:val="both"/>
            </w:pPr>
            <w:r>
              <w:rPr>
                <w:rFonts w:ascii="宋体" w:hAnsi="宋体" w:eastAsia="宋体"/>
                <w:sz w:val="16"/>
              </w:rPr>
              <w:t>以改善环境质量为核心，以解决突出环境问题为重点，扎实推进生态文明和生态环境保护，持续深入打好污染防治攻坚战。确保全年空气质量优良天数比率达到40%，全县全年PM2.5（空气中细颗粒物）浓度低于54.4毫克/立方米。做好水环境质量工作，确保巴楚县河流监测断面达到或好于Ⅲ类水体比例100%。做好第二轮中央生态环境保护督察反馈问题整改工作，完成整改率要达到80%，通过做好大气治理工作、组织开展环保执法检查工作等，确保巴楚县全年重污染天数比率低于0.50%，使得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449922">
            <w:pPr>
              <w:jc w:val="both"/>
            </w:pPr>
            <w:r>
              <w:rPr>
                <w:rFonts w:ascii="宋体" w:hAnsi="宋体" w:eastAsia="宋体"/>
                <w:sz w:val="16"/>
              </w:rPr>
              <w:t>单位年度重点工作: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持续巩固污染防治攻坚战成果。一是加强大气污染防治。通过进一步调整优化产业结构推进企业绿色发展、推进我县大气污染联防联控、建设工地和道路扬尘污染治理、城市及周边绿化和防风防沙林建设、采暖季重点行业生产治理、工业挥发性有机物（VOCS）治理、烟花爆竹和秸秆燃烧控制以及机动车污染防治等举措的贯彻落实，推动空气质量进一步改善；二是强化水污染防治，重点整治叶尔羌河流域水体环境质量，着力节约保护水资源、落实重点水污染排放行业排污许可证制度，执行《喀什地区实施河（湖）长制工作方案》，持续开展城乡饮用水源地环境综合整治，强化城镇和工业园区污水集中收集处理，加强农业农村污水治理、集中整治城市黑臭水体、落实水污染防治工作年度考核等各项措施，确保我县用水量和地表水、地下水及城乡集中式饮用水源地水质安全；三是实施土壤污染防治，全力开展农用地和重点行业企业建设用地土壤污染状况调查、加强大宗固体废物堆场管理、规范企业危险废物处置行为、强化涉重金属行业污染治理、开展涉镉等重金属重点企业排查整治、执行重点污染物特别排放限值管理、全面启用固体废物动态监管系统和危险废物电子转移联单、持续对土壤重点企业实施重金属监督监测，加强各类固体废物和危险废物的管理，确保我县土壤环境安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强农村生态环境保护工程。重点开展农村饮用水水源保护、生活垃圾污水治理、养殖业和种植业污染防治。统筹实施污染治理和循环利用，加强环境基础设施建设，系统推进农业投入品减量化、生产清洁化、废弃物资源化、产业模式生态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加强生态环境监管，严把准入关。一是严格按照我县生态功能区布局审批项目，严把环评文件审批关口，严守生态三条红线，严格执行“环境准入清单制”，严控“两高”项目盲目上马；二是实施分类指导，提高环评审批效能，加强建设项目环评审批前现场勘验工作，加大对“未批先建”等违法行为的查处力度；三是完善重点建设项目环境管理的上会审议制度，进一步提升信息公开，完善公众参与机制。强化环评机构日常监督管理，对重点项目做好跟踪服务；四是认真做好建设项目竣工环保验收清理整治后续督查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4.严格环境执法监察，严厉打击违法行为。一是持续排查各类风险隐患，依法打击各类环境违法行为；二是加大重点企业污染源在线</w:t>
            </w:r>
            <w:bookmarkStart w:id="0" w:name="_GoBack"/>
            <w:bookmarkEnd w:id="0"/>
            <w:r>
              <w:rPr>
                <w:rFonts w:ascii="宋体" w:hAnsi="宋体" w:eastAsia="宋体"/>
                <w:sz w:val="16"/>
              </w:rPr>
              <w:t>监管力度，做好审核现场核查工作的数据有效性，严厉查处各种不执行有关规范、弄虚作假、不及时整改等行为；三是严格按照国家和自治区的安排完成辖区内所有企业排污许可证申报和核发工作；四是建立实施环境执法与刑事司法联动机制，建立联动执法联席会议、常设联络员和重大案件会商督办等制度，实现行政处罚和刑事处罚无缝衔接；五是深化环境信访解决机制，积极调查处理环境污染投诉和污染纠纷的工作，严肃查处威胁群众权益的环境违法案件，坚决维护群众的环境权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加大环保督察，落实生态保护责任。一是按照“依法依规、党政同责、一岗双责、终身追责”的原则，认真梳理贯彻落实国家、自治区关于生态文明建设和环境保护的重大决策落实情况以及存在的突出环境问题，采取有效措施，迅速补齐短板，从严、从实、从细抓好整改落实；二是经常性开展第一轮中央环保督察“回头看”工作，确保整改的问题不反弹，抓好第二轮中央环保督察问题整改推进；三是继续全面深入排查环境风险隐患，依法打击环境违法行为，严肃查处环境违法问题，进一步改善我县环境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年度绩效目标完成情况：</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巴楚县全年空气质量优良天数比率指标实际完成值为59.5%;巴楚县全年PM2.5（空气中细颗粒物）浓度指标实际完成值为46微克/立方米;巴楚县河流监测断面达到或好于Ⅲ类水体比例100%;完成第二轮中央生态环境保护督察反馈问题整改任务均已完成；全年没有出现重污染天气，比例为0%。</w:t>
            </w:r>
          </w:p>
        </w:tc>
      </w:tr>
      <w:tr w14:paraId="03AAD6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C011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631A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70B9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BA1D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D477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E561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E48F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0E62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84F0D">
            <w:pPr>
              <w:jc w:val="center"/>
            </w:pPr>
            <w:r>
              <w:rPr>
                <w:rFonts w:ascii="宋体" w:hAnsi="宋体" w:eastAsia="宋体"/>
                <w:sz w:val="16"/>
              </w:rPr>
              <w:t>得分</w:t>
            </w:r>
          </w:p>
        </w:tc>
      </w:tr>
      <w:tr w14:paraId="31915B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5C39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FD62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F9439">
            <w:pPr>
              <w:jc w:val="center"/>
            </w:pPr>
            <w:r>
              <w:rPr>
                <w:rFonts w:ascii="宋体" w:hAnsi="宋体" w:eastAsia="宋体"/>
                <w:sz w:val="16"/>
              </w:rPr>
              <w:t>巴楚县全年空气质量优良天数比率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1EF7">
            <w:pPr>
              <w:jc w:val="center"/>
            </w:pPr>
            <w:r>
              <w:rPr>
                <w:rFonts w:ascii="宋体" w:hAnsi="宋体" w:eastAsia="宋体"/>
                <w:sz w:val="16"/>
              </w:rPr>
              <w:t>&gt;=40%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84B35">
            <w:pPr>
              <w:jc w:val="center"/>
            </w:pPr>
            <w:r>
              <w:rPr>
                <w:rFonts w:ascii="宋体" w:hAnsi="宋体" w:eastAsia="宋体"/>
                <w:sz w:val="16"/>
              </w:rPr>
              <w:t>关于印发《喀什地区2024年生态环境工作要点》的通知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213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9B8A9">
            <w:pPr>
              <w:jc w:val="center"/>
            </w:pPr>
            <w:r>
              <w:rPr>
                <w:rFonts w:ascii="宋体" w:hAnsi="宋体" w:eastAsia="宋体"/>
                <w:sz w:val="16"/>
              </w:rPr>
              <w:t>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171A5">
            <w:pPr>
              <w:jc w:val="center"/>
            </w:pPr>
            <w:r>
              <w:rPr>
                <w:rFonts w:ascii="宋体" w:hAnsi="宋体" w:eastAsia="宋体"/>
                <w:sz w:val="16"/>
              </w:rPr>
              <w:t>148.7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1FE79">
            <w:pPr>
              <w:jc w:val="center"/>
            </w:pPr>
            <w:r>
              <w:rPr>
                <w:rFonts w:ascii="宋体" w:hAnsi="宋体" w:eastAsia="宋体"/>
                <w:sz w:val="16"/>
              </w:rPr>
              <w:t>20</w:t>
            </w:r>
          </w:p>
        </w:tc>
      </w:tr>
      <w:tr w14:paraId="155980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8EB3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04A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F0490">
            <w:pPr>
              <w:jc w:val="center"/>
            </w:pPr>
            <w:r>
              <w:rPr>
                <w:rFonts w:ascii="宋体" w:hAnsi="宋体" w:eastAsia="宋体"/>
                <w:sz w:val="16"/>
              </w:rPr>
              <w:t>巴楚县全年PM2.5（空气中细颗粒物）浓度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35C00">
            <w:pPr>
              <w:jc w:val="center"/>
            </w:pPr>
            <w:r>
              <w:rPr>
                <w:rFonts w:ascii="宋体" w:hAnsi="宋体" w:eastAsia="宋体"/>
                <w:sz w:val="16"/>
              </w:rPr>
              <w:t>&lt;=54.4微克/立方米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BF529">
            <w:pPr>
              <w:jc w:val="center"/>
            </w:pPr>
            <w:r>
              <w:rPr>
                <w:rFonts w:ascii="宋体" w:hAnsi="宋体" w:eastAsia="宋体"/>
                <w:sz w:val="16"/>
              </w:rPr>
              <w:t>关于印发《喀什地区2024年生态环境工作要点》的通知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64E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EB708">
            <w:pPr>
              <w:jc w:val="center"/>
            </w:pPr>
            <w:r>
              <w:rPr>
                <w:rFonts w:ascii="宋体" w:hAnsi="宋体" w:eastAsia="宋体"/>
                <w:sz w:val="16"/>
              </w:rPr>
              <w:t>46微克/立方米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544D4">
            <w:pPr>
              <w:jc w:val="center"/>
            </w:pPr>
            <w:r>
              <w:rPr>
                <w:rFonts w:ascii="宋体" w:hAnsi="宋体" w:eastAsia="宋体"/>
                <w:sz w:val="16"/>
              </w:rPr>
              <w:t>118.3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56960">
            <w:pPr>
              <w:jc w:val="center"/>
            </w:pPr>
            <w:r>
              <w:rPr>
                <w:rFonts w:ascii="宋体" w:hAnsi="宋体" w:eastAsia="宋体"/>
                <w:sz w:val="16"/>
              </w:rPr>
              <w:t>20</w:t>
            </w:r>
          </w:p>
        </w:tc>
      </w:tr>
      <w:tr w14:paraId="69FE3F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AE7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84E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88BAE">
            <w:pPr>
              <w:jc w:val="center"/>
            </w:pPr>
            <w:r>
              <w:rPr>
                <w:rFonts w:ascii="宋体" w:hAnsi="宋体" w:eastAsia="宋体"/>
                <w:sz w:val="16"/>
              </w:rPr>
              <w:t>巴楚县河流监测断面达到或好于Ⅲ类水体比例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AF5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270C7">
            <w:pPr>
              <w:jc w:val="center"/>
            </w:pPr>
            <w:r>
              <w:rPr>
                <w:rFonts w:ascii="宋体" w:hAnsi="宋体" w:eastAsia="宋体"/>
                <w:sz w:val="16"/>
              </w:rPr>
              <w:t>关于印发《喀什地区2024年生态环境工作要点》的通知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F8E0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110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AC9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A1A85">
            <w:pPr>
              <w:jc w:val="center"/>
            </w:pPr>
            <w:r>
              <w:rPr>
                <w:rFonts w:ascii="宋体" w:hAnsi="宋体" w:eastAsia="宋体"/>
                <w:sz w:val="16"/>
              </w:rPr>
              <w:t>20</w:t>
            </w:r>
          </w:p>
        </w:tc>
      </w:tr>
      <w:tr w14:paraId="0C8C01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A45B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27C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35B30">
            <w:pPr>
              <w:jc w:val="center"/>
            </w:pPr>
            <w:r>
              <w:rPr>
                <w:rFonts w:ascii="宋体" w:hAnsi="宋体" w:eastAsia="宋体"/>
                <w:sz w:val="16"/>
              </w:rPr>
              <w:t>完成第二轮中央生态环境保护督察反馈问题整改任务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389D4">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C964F">
            <w:pPr>
              <w:jc w:val="center"/>
            </w:pPr>
            <w:r>
              <w:rPr>
                <w:rFonts w:ascii="宋体" w:hAnsi="宋体" w:eastAsia="宋体"/>
                <w:sz w:val="16"/>
              </w:rPr>
              <w:t>关于印发《巴楚县贯彻落实第二轮中央生态环境保护督察报告整改方案》的通知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6483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E86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88E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8C70B">
            <w:pPr>
              <w:jc w:val="center"/>
            </w:pPr>
            <w:r>
              <w:rPr>
                <w:rFonts w:ascii="宋体" w:hAnsi="宋体" w:eastAsia="宋体"/>
                <w:sz w:val="16"/>
              </w:rPr>
              <w:t>20</w:t>
            </w:r>
          </w:p>
        </w:tc>
      </w:tr>
      <w:tr w14:paraId="41D172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C65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E45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965D6">
            <w:pPr>
              <w:jc w:val="center"/>
            </w:pPr>
            <w:r>
              <w:rPr>
                <w:rFonts w:ascii="宋体" w:hAnsi="宋体" w:eastAsia="宋体"/>
                <w:sz w:val="16"/>
              </w:rPr>
              <w:t>巴楚县全年重污染天数比率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23A6B">
            <w:pPr>
              <w:jc w:val="center"/>
            </w:pPr>
            <w:r>
              <w:rPr>
                <w:rFonts w:ascii="宋体" w:hAnsi="宋体" w:eastAsia="宋体"/>
                <w:sz w:val="16"/>
              </w:rPr>
              <w:t>&lt;=0.5%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17268">
            <w:pPr>
              <w:jc w:val="center"/>
            </w:pPr>
            <w:r>
              <w:rPr>
                <w:rFonts w:ascii="宋体" w:hAnsi="宋体" w:eastAsia="宋体"/>
                <w:sz w:val="16"/>
              </w:rPr>
              <w:t>关于印发《喀什地区2024年生态环境工作要点》的通知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88A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9C43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704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2A31F">
            <w:pPr>
              <w:jc w:val="center"/>
            </w:pPr>
            <w:r>
              <w:rPr>
                <w:rFonts w:ascii="宋体" w:hAnsi="宋体" w:eastAsia="宋体"/>
                <w:sz w:val="16"/>
              </w:rPr>
              <w:t>10</w:t>
            </w:r>
          </w:p>
        </w:tc>
      </w:tr>
    </w:tbl>
    <w:p w14:paraId="6B0B7AFD">
      <w:r>
        <w:br w:type="page"/>
      </w:r>
    </w:p>
    <w:p w14:paraId="19A78563">
      <w:pPr>
        <w:spacing w:line="640" w:lineRule="exact"/>
        <w:ind w:firstLine="640"/>
        <w:jc w:val="both"/>
        <w:outlineLvl w:val="2"/>
      </w:pPr>
      <w:r>
        <w:rPr>
          <w:rFonts w:ascii="黑体" w:hAnsi="黑体" w:eastAsia="黑体"/>
          <w:sz w:val="32"/>
        </w:rPr>
        <w:t>十二、其他需说明的事项</w:t>
      </w:r>
    </w:p>
    <w:p w14:paraId="63F41EE5">
      <w:pPr>
        <w:spacing w:line="580" w:lineRule="exact"/>
        <w:ind w:firstLine="640"/>
        <w:jc w:val="both"/>
      </w:pPr>
      <w:r>
        <w:rPr>
          <w:rFonts w:ascii="仿宋_GB2312" w:hAnsi="仿宋_GB2312" w:eastAsia="仿宋_GB2312"/>
          <w:b w:val="0"/>
          <w:sz w:val="32"/>
        </w:rPr>
        <w:t>本单位无其他需说明的事项。</w:t>
      </w:r>
    </w:p>
    <w:p w14:paraId="543DF99C">
      <w:r>
        <w:br w:type="page"/>
      </w:r>
    </w:p>
    <w:p w14:paraId="5F787F70">
      <w:pPr>
        <w:spacing w:line="240" w:lineRule="auto"/>
        <w:jc w:val="center"/>
        <w:outlineLvl w:val="1"/>
      </w:pPr>
      <w:r>
        <w:rPr>
          <w:rFonts w:ascii="黑体" w:hAnsi="黑体" w:eastAsia="黑体"/>
          <w:sz w:val="32"/>
        </w:rPr>
        <w:t>第三部分 专业名词解释</w:t>
      </w:r>
    </w:p>
    <w:p w14:paraId="7C61DEE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C9402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14FB2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43755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39AE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F5691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4A9B1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46075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E5A20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E884D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BC2BB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B816F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4C3FA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E2879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8E77A9">
      <w:r>
        <w:br w:type="page"/>
      </w:r>
    </w:p>
    <w:p w14:paraId="66F0EFD5">
      <w:pPr>
        <w:spacing w:line="240" w:lineRule="auto"/>
        <w:jc w:val="center"/>
        <w:outlineLvl w:val="1"/>
      </w:pPr>
      <w:r>
        <w:rPr>
          <w:rFonts w:ascii="黑体" w:hAnsi="黑体" w:eastAsia="黑体"/>
          <w:sz w:val="32"/>
        </w:rPr>
        <w:t>第四部分 部门决算报表（见附表）</w:t>
      </w:r>
    </w:p>
    <w:p w14:paraId="063A9C5B">
      <w:pPr>
        <w:spacing w:line="240" w:lineRule="auto"/>
        <w:ind w:firstLine="640"/>
        <w:jc w:val="both"/>
      </w:pPr>
      <w:r>
        <w:rPr>
          <w:rFonts w:ascii="仿宋_GB2312" w:hAnsi="仿宋_GB2312" w:eastAsia="仿宋_GB2312"/>
          <w:b w:val="0"/>
          <w:sz w:val="32"/>
        </w:rPr>
        <w:t>一、《收入支出决算总表》</w:t>
      </w:r>
    </w:p>
    <w:p w14:paraId="5788C668">
      <w:pPr>
        <w:spacing w:line="240" w:lineRule="auto"/>
        <w:ind w:firstLine="640"/>
        <w:jc w:val="both"/>
      </w:pPr>
      <w:r>
        <w:rPr>
          <w:rFonts w:ascii="仿宋_GB2312" w:hAnsi="仿宋_GB2312" w:eastAsia="仿宋_GB2312"/>
          <w:b w:val="0"/>
          <w:sz w:val="32"/>
        </w:rPr>
        <w:t>二、《收入决算表》</w:t>
      </w:r>
    </w:p>
    <w:p w14:paraId="619CF3F6">
      <w:pPr>
        <w:spacing w:line="240" w:lineRule="auto"/>
        <w:ind w:firstLine="640"/>
        <w:jc w:val="both"/>
      </w:pPr>
      <w:r>
        <w:rPr>
          <w:rFonts w:ascii="仿宋_GB2312" w:hAnsi="仿宋_GB2312" w:eastAsia="仿宋_GB2312"/>
          <w:b w:val="0"/>
          <w:sz w:val="32"/>
        </w:rPr>
        <w:t>三、《支出决算表》</w:t>
      </w:r>
    </w:p>
    <w:p w14:paraId="68055C4D">
      <w:pPr>
        <w:spacing w:line="240" w:lineRule="auto"/>
        <w:ind w:firstLine="640"/>
        <w:jc w:val="both"/>
      </w:pPr>
      <w:r>
        <w:rPr>
          <w:rFonts w:ascii="仿宋_GB2312" w:hAnsi="仿宋_GB2312" w:eastAsia="仿宋_GB2312"/>
          <w:b w:val="0"/>
          <w:sz w:val="32"/>
        </w:rPr>
        <w:t>四、《财政拨款收入支出决算总表》</w:t>
      </w:r>
    </w:p>
    <w:p w14:paraId="7BDE13B7">
      <w:pPr>
        <w:spacing w:line="240" w:lineRule="auto"/>
        <w:ind w:firstLine="640"/>
        <w:jc w:val="both"/>
      </w:pPr>
      <w:r>
        <w:rPr>
          <w:rFonts w:ascii="仿宋_GB2312" w:hAnsi="仿宋_GB2312" w:eastAsia="仿宋_GB2312"/>
          <w:b w:val="0"/>
          <w:sz w:val="32"/>
        </w:rPr>
        <w:t>五、《一般公共预算财政拨款支出决算表》</w:t>
      </w:r>
    </w:p>
    <w:p w14:paraId="25AAAD9F">
      <w:pPr>
        <w:spacing w:line="240" w:lineRule="auto"/>
        <w:ind w:firstLine="640"/>
        <w:jc w:val="both"/>
      </w:pPr>
      <w:r>
        <w:rPr>
          <w:rFonts w:ascii="仿宋_GB2312" w:hAnsi="仿宋_GB2312" w:eastAsia="仿宋_GB2312"/>
          <w:b w:val="0"/>
          <w:sz w:val="32"/>
        </w:rPr>
        <w:t>六、《一般公共预算财政拨款基本支出决算表》</w:t>
      </w:r>
    </w:p>
    <w:p w14:paraId="52E23453">
      <w:pPr>
        <w:spacing w:line="240" w:lineRule="auto"/>
        <w:ind w:firstLine="640"/>
        <w:jc w:val="both"/>
      </w:pPr>
      <w:r>
        <w:rPr>
          <w:rFonts w:ascii="仿宋_GB2312" w:hAnsi="仿宋_GB2312" w:eastAsia="仿宋_GB2312"/>
          <w:b w:val="0"/>
          <w:sz w:val="32"/>
        </w:rPr>
        <w:t>七、《政府性基金预算财政拨款收入支出决算表》</w:t>
      </w:r>
    </w:p>
    <w:p w14:paraId="61590EA7">
      <w:pPr>
        <w:spacing w:line="240" w:lineRule="auto"/>
        <w:ind w:firstLine="640"/>
        <w:jc w:val="both"/>
      </w:pPr>
      <w:r>
        <w:rPr>
          <w:rFonts w:ascii="仿宋_GB2312" w:hAnsi="仿宋_GB2312" w:eastAsia="仿宋_GB2312"/>
          <w:b w:val="0"/>
          <w:sz w:val="32"/>
        </w:rPr>
        <w:t>八、《国有资本经营预算财政拨款收入支出决算表》</w:t>
      </w:r>
    </w:p>
    <w:p w14:paraId="1EA559A2">
      <w:pPr>
        <w:spacing w:line="240" w:lineRule="auto"/>
        <w:ind w:firstLine="640"/>
        <w:jc w:val="both"/>
      </w:pPr>
      <w:r>
        <w:rPr>
          <w:rFonts w:ascii="仿宋_GB2312" w:hAnsi="仿宋_GB2312" w:eastAsia="仿宋_GB2312"/>
          <w:b w:val="0"/>
          <w:sz w:val="32"/>
        </w:rPr>
        <w:t>九、《财政拨款“三公”经费支出决算表》</w:t>
      </w:r>
    </w:p>
    <w:p w14:paraId="73628058">
      <w:pPr>
        <w:spacing w:line="240" w:lineRule="auto"/>
        <w:ind w:firstLine="640"/>
        <w:jc w:val="both"/>
      </w:pPr>
    </w:p>
    <w:p w14:paraId="6A85369E">
      <w:pPr>
        <w:spacing w:line="240" w:lineRule="auto"/>
        <w:ind w:firstLine="640"/>
        <w:jc w:val="both"/>
      </w:pPr>
    </w:p>
    <w:p w14:paraId="06E9E94F">
      <w:pPr>
        <w:spacing w:line="240" w:lineRule="auto"/>
        <w:ind w:firstLine="640"/>
        <w:jc w:val="both"/>
      </w:pPr>
    </w:p>
    <w:p w14:paraId="5339ACA5">
      <w:pPr>
        <w:spacing w:line="240" w:lineRule="auto"/>
        <w:ind w:firstLine="640"/>
        <w:jc w:val="both"/>
      </w:pPr>
    </w:p>
    <w:p w14:paraId="49E393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359E3AB-EA50-4C0A-B252-E4B8BB7742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1F9D588-91F3-41B2-A94A-37A4226DA1B6}"/>
  </w:font>
  <w:font w:name="仿宋_GB2312">
    <w:panose1 w:val="02010609030101010101"/>
    <w:charset w:val="86"/>
    <w:family w:val="modern"/>
    <w:pitch w:val="default"/>
    <w:sig w:usb0="00000001" w:usb1="080E0000" w:usb2="00000000" w:usb3="00000000" w:csb0="00040000" w:csb1="00000000"/>
    <w:embedRegular r:id="rId3" w:fontKey="{1D46E711-2147-46BD-8EB3-30759DC4ED8F}"/>
  </w:font>
  <w:font w:name="楷体_GB2312">
    <w:panose1 w:val="02010609030101010101"/>
    <w:charset w:val="86"/>
    <w:family w:val="auto"/>
    <w:pitch w:val="default"/>
    <w:sig w:usb0="00000001" w:usb1="080E0000" w:usb2="00000000" w:usb3="00000000" w:csb0="00040000" w:csb1="00000000"/>
    <w:embedRegular r:id="rId4" w:fontKey="{7AEE4EBC-E84D-4804-ACD5-724FEDBAAB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FF3716"/>
    <w:rsid w:val="47445515"/>
    <w:rsid w:val="4B4C0111"/>
    <w:rsid w:val="4BB23021"/>
    <w:rsid w:val="4F3F074E"/>
    <w:rsid w:val="50DB5F45"/>
    <w:rsid w:val="52F92565"/>
    <w:rsid w:val="53FA3A71"/>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5526</Words>
  <Characters>6221</Characters>
  <Lines>0</Lines>
  <Paragraphs>0</Paragraphs>
  <TotalTime>6</TotalTime>
  <ScaleCrop>false</ScaleCrop>
  <LinksUpToDate>false</LinksUpToDate>
  <CharactersWithSpaces>6229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2025-09-03T10:40:14Z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