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2771A1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喀什地区生态环境局泽普县分局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BED06F">
      <w:r>
        <w:br w:type="page"/>
      </w:r>
    </w:p>
    <w:p w14:paraId="0A22D244">
      <w:pPr>
        <w:spacing w:line="640" w:lineRule="exact"/>
        <w:jc w:val="center"/>
        <w:outlineLvl w:val="1"/>
      </w:pPr>
      <w:r>
        <w:rPr>
          <w:rFonts w:ascii="黑体" w:hAnsi="黑体" w:eastAsia="黑体"/>
          <w:sz w:val="32"/>
        </w:rPr>
        <w:t>第一部分 单位概况</w:t>
      </w:r>
    </w:p>
    <w:p w14:paraId="17378523">
      <w:pPr>
        <w:spacing w:line="640" w:lineRule="exact"/>
        <w:ind w:firstLine="640"/>
        <w:jc w:val="both"/>
        <w:outlineLvl w:val="2"/>
      </w:pPr>
      <w:r>
        <w:rPr>
          <w:rFonts w:ascii="黑体" w:hAnsi="黑体" w:eastAsia="黑体"/>
          <w:sz w:val="32"/>
        </w:rPr>
        <w:t>一、主要职能</w:t>
      </w:r>
    </w:p>
    <w:p w14:paraId="2820556C">
      <w:pPr>
        <w:spacing w:line="580" w:lineRule="exact"/>
        <w:ind w:firstLine="640"/>
        <w:jc w:val="both"/>
      </w:pPr>
      <w:r>
        <w:rPr>
          <w:rFonts w:ascii="仿宋_GB2312" w:hAnsi="仿宋_GB2312" w:eastAsia="仿宋_GB2312"/>
          <w:sz w:val="32"/>
        </w:rPr>
        <w:t>1.贯彻国家和地方环境保护的有关法律、法规、政策和规章。</w:t>
      </w:r>
    </w:p>
    <w:p w14:paraId="7C17CF72">
      <w:pPr>
        <w:spacing w:line="580" w:lineRule="exact"/>
        <w:ind w:firstLine="640"/>
        <w:jc w:val="both"/>
      </w:pPr>
      <w:r>
        <w:rPr>
          <w:rFonts w:ascii="仿宋_GB2312" w:hAnsi="仿宋_GB2312" w:eastAsia="仿宋_GB2312"/>
          <w:sz w:val="32"/>
        </w:rPr>
        <w:t>2.依照环保部门的委托依法对辖区内各单位和个人执行环境保护法规的情况进行现场</w:t>
      </w:r>
      <w:r>
        <w:rPr>
          <w:rFonts w:hint="eastAsia" w:ascii="仿宋_GB2312" w:hAnsi="仿宋_GB2312" w:eastAsia="仿宋_GB2312"/>
          <w:sz w:val="32"/>
          <w:lang w:eastAsia="zh-CN"/>
        </w:rPr>
        <w:t>检查</w:t>
      </w:r>
      <w:r>
        <w:rPr>
          <w:rFonts w:ascii="仿宋_GB2312" w:hAnsi="仿宋_GB2312" w:eastAsia="仿宋_GB2312"/>
          <w:sz w:val="32"/>
        </w:rPr>
        <w:t>。</w:t>
      </w:r>
    </w:p>
    <w:p w14:paraId="7D7D0719">
      <w:pPr>
        <w:spacing w:line="580" w:lineRule="exact"/>
        <w:ind w:firstLine="640"/>
        <w:jc w:val="both"/>
      </w:pPr>
      <w:r>
        <w:rPr>
          <w:rFonts w:ascii="仿宋_GB2312" w:hAnsi="仿宋_GB2312" w:eastAsia="仿宋_GB2312"/>
          <w:sz w:val="32"/>
        </w:rPr>
        <w:t>3.对辖区内环境污染事故、污染纠纷进行现场监察，按规定进行处理。</w:t>
      </w:r>
    </w:p>
    <w:p w14:paraId="4D2F06FA">
      <w:pPr>
        <w:spacing w:line="580" w:lineRule="exact"/>
        <w:ind w:firstLine="640"/>
        <w:jc w:val="both"/>
      </w:pPr>
      <w:r>
        <w:rPr>
          <w:rFonts w:ascii="仿宋_GB2312" w:hAnsi="仿宋_GB2312" w:eastAsia="仿宋_GB2312"/>
          <w:sz w:val="32"/>
        </w:rPr>
        <w:t>4.负责提出排污收费、计划、污染源监测计划和排污申报登记审核工作在权限内查处环境违法案件，并建立环境</w:t>
      </w:r>
      <w:r>
        <w:rPr>
          <w:rFonts w:hint="eastAsia" w:ascii="仿宋_GB2312" w:hAnsi="仿宋_GB2312" w:eastAsia="仿宋_GB2312"/>
          <w:sz w:val="32"/>
          <w:lang w:eastAsia="zh-CN"/>
        </w:rPr>
        <w:t>监察</w:t>
      </w:r>
      <w:r>
        <w:rPr>
          <w:rFonts w:ascii="仿宋_GB2312" w:hAnsi="仿宋_GB2312" w:eastAsia="仿宋_GB2312"/>
          <w:sz w:val="32"/>
        </w:rPr>
        <w:t>档案。</w:t>
      </w:r>
    </w:p>
    <w:p w14:paraId="3840E7CF">
      <w:pPr>
        <w:spacing w:line="580" w:lineRule="exact"/>
        <w:ind w:firstLine="640"/>
        <w:jc w:val="both"/>
      </w:pPr>
      <w:r>
        <w:rPr>
          <w:rFonts w:ascii="仿宋_GB2312" w:hAnsi="仿宋_GB2312" w:eastAsia="仿宋_GB2312"/>
          <w:sz w:val="32"/>
        </w:rPr>
        <w:t>5.负责本辖区内污水、废气、固体废弃物、噪声排污费、解缴工作等。</w:t>
      </w:r>
    </w:p>
    <w:p w14:paraId="09D6791D">
      <w:pPr>
        <w:spacing w:line="580" w:lineRule="exact"/>
        <w:ind w:firstLine="640"/>
        <w:jc w:val="both"/>
      </w:pPr>
      <w:r>
        <w:rPr>
          <w:rFonts w:ascii="仿宋_GB2312" w:hAnsi="仿宋_GB2312" w:eastAsia="仿宋_GB2312"/>
          <w:sz w:val="32"/>
        </w:rPr>
        <w:t>6.负责排污费财务管理和排污费年度收支预算,决算的编制以及</w:t>
      </w:r>
      <w:r>
        <w:rPr>
          <w:rFonts w:hint="eastAsia" w:ascii="仿宋_GB2312" w:hAnsi="仿宋_GB2312" w:eastAsia="仿宋_GB2312"/>
          <w:sz w:val="32"/>
          <w:lang w:eastAsia="zh-CN"/>
        </w:rPr>
        <w:t>排污费</w:t>
      </w:r>
      <w:r>
        <w:rPr>
          <w:rFonts w:ascii="仿宋_GB2312" w:hAnsi="仿宋_GB2312" w:eastAsia="仿宋_GB2312"/>
          <w:sz w:val="32"/>
        </w:rPr>
        <w:t>统计的编报汇审工作。</w:t>
      </w:r>
    </w:p>
    <w:p w14:paraId="3BF2774F">
      <w:pPr>
        <w:spacing w:line="580" w:lineRule="exact"/>
        <w:ind w:firstLine="640"/>
        <w:jc w:val="both"/>
      </w:pPr>
      <w:r>
        <w:rPr>
          <w:rFonts w:ascii="仿宋_GB2312" w:hAnsi="仿宋_GB2312" w:eastAsia="仿宋_GB2312"/>
          <w:sz w:val="32"/>
        </w:rPr>
        <w:t>7.负责对生态破坏事件的调查</w:t>
      </w:r>
      <w:bookmarkStart w:id="0" w:name="_GoBack"/>
      <w:r>
        <w:rPr>
          <w:rFonts w:ascii="仿宋_GB2312" w:hAnsi="仿宋_GB2312" w:eastAsia="仿宋_GB2312"/>
          <w:sz w:val="32"/>
        </w:rPr>
        <w:t>,</w:t>
      </w:r>
      <w:bookmarkEnd w:id="0"/>
      <w:r>
        <w:rPr>
          <w:rFonts w:ascii="仿宋_GB2312" w:hAnsi="仿宋_GB2312" w:eastAsia="仿宋_GB2312"/>
          <w:sz w:val="32"/>
        </w:rPr>
        <w:t>并参与处理。</w:t>
      </w:r>
    </w:p>
    <w:p w14:paraId="7FA29374">
      <w:pPr>
        <w:spacing w:line="580" w:lineRule="exact"/>
        <w:ind w:firstLine="640"/>
        <w:jc w:val="both"/>
      </w:pPr>
      <w:r>
        <w:rPr>
          <w:rFonts w:ascii="仿宋_GB2312" w:hAnsi="仿宋_GB2312" w:eastAsia="仿宋_GB2312"/>
          <w:sz w:val="32"/>
        </w:rPr>
        <w:t>8.负责对</w:t>
      </w:r>
      <w:r>
        <w:rPr>
          <w:rFonts w:hint="eastAsia" w:ascii="仿宋_GB2312" w:hAnsi="仿宋_GB2312" w:eastAsia="仿宋_GB2312"/>
          <w:sz w:val="32"/>
          <w:lang w:eastAsia="zh-CN"/>
        </w:rPr>
        <w:t>污水处理</w:t>
      </w:r>
      <w:r>
        <w:rPr>
          <w:rFonts w:ascii="仿宋_GB2312" w:hAnsi="仿宋_GB2312" w:eastAsia="仿宋_GB2312"/>
          <w:sz w:val="32"/>
        </w:rPr>
        <w:t>设施运转情况的监督检查；参与环境污染事故、纠纷的调查处理。</w:t>
      </w:r>
    </w:p>
    <w:p w14:paraId="546FBB33">
      <w:pPr>
        <w:spacing w:line="580" w:lineRule="exact"/>
        <w:ind w:firstLine="640"/>
        <w:jc w:val="both"/>
      </w:pPr>
      <w:r>
        <w:rPr>
          <w:rFonts w:ascii="仿宋_GB2312" w:hAnsi="仿宋_GB2312" w:eastAsia="仿宋_GB2312"/>
          <w:sz w:val="32"/>
        </w:rPr>
        <w:t>9.参与污染治理项目年度计划的编制,负责计划执行情况的监督检查。</w:t>
      </w:r>
    </w:p>
    <w:p w14:paraId="7F818034">
      <w:pPr>
        <w:spacing w:line="580" w:lineRule="exact"/>
        <w:ind w:firstLine="640"/>
        <w:jc w:val="both"/>
      </w:pPr>
      <w:r>
        <w:rPr>
          <w:rFonts w:ascii="仿宋_GB2312" w:hAnsi="仿宋_GB2312" w:eastAsia="仿宋_GB2312"/>
          <w:sz w:val="32"/>
        </w:rPr>
        <w:t>10.负责环境监察员的培训,总结交流环境监察工作。</w:t>
      </w:r>
    </w:p>
    <w:p w14:paraId="223DFA17">
      <w:pPr>
        <w:spacing w:line="580" w:lineRule="exact"/>
        <w:ind w:firstLine="640"/>
        <w:jc w:val="both"/>
      </w:pPr>
      <w:r>
        <w:rPr>
          <w:rFonts w:ascii="仿宋_GB2312" w:hAnsi="仿宋_GB2312" w:eastAsia="仿宋_GB2312"/>
          <w:sz w:val="32"/>
        </w:rPr>
        <w:t>11.承担上级环境部门委托的其他工作任务。</w:t>
      </w:r>
    </w:p>
    <w:p w14:paraId="195D1569">
      <w:pPr>
        <w:spacing w:line="640" w:lineRule="exact"/>
        <w:ind w:firstLine="640"/>
        <w:jc w:val="both"/>
        <w:outlineLvl w:val="2"/>
      </w:pPr>
      <w:r>
        <w:rPr>
          <w:rFonts w:ascii="黑体" w:hAnsi="黑体" w:eastAsia="黑体"/>
          <w:sz w:val="32"/>
        </w:rPr>
        <w:t>二、机构设置及人员情况</w:t>
      </w:r>
    </w:p>
    <w:p w14:paraId="1472E8B7">
      <w:pPr>
        <w:spacing w:line="580" w:lineRule="exact"/>
        <w:ind w:firstLine="640"/>
        <w:jc w:val="both"/>
      </w:pPr>
      <w:r>
        <w:rPr>
          <w:rFonts w:ascii="仿宋_GB2312" w:hAnsi="仿宋_GB2312" w:eastAsia="仿宋_GB2312"/>
          <w:sz w:val="32"/>
        </w:rPr>
        <w:t>喀什地区生态环境局泽普县分局2024年度，实有人数10人，其中：在职人员9人，减少2人；离休人员0人，增加0人；退休人员1人,减少4人。</w:t>
      </w:r>
    </w:p>
    <w:p w14:paraId="57D07CD7">
      <w:pPr>
        <w:spacing w:line="580" w:lineRule="exact"/>
        <w:ind w:firstLine="640"/>
        <w:jc w:val="both"/>
      </w:pPr>
      <w:r>
        <w:rPr>
          <w:rFonts w:ascii="仿宋_GB2312" w:hAnsi="仿宋_GB2312" w:eastAsia="仿宋_GB2312"/>
          <w:sz w:val="32"/>
        </w:rPr>
        <w:t>喀什地区生态环境局泽普县分局无下属预算单位，下设3个科室，分别是：办公室、执法大队、监测站。</w:t>
      </w:r>
    </w:p>
    <w:p w14:paraId="17747A6C">
      <w:r>
        <w:br w:type="page"/>
      </w:r>
    </w:p>
    <w:p w14:paraId="1D9F25B8">
      <w:pPr>
        <w:spacing w:line="240" w:lineRule="auto"/>
        <w:jc w:val="center"/>
        <w:outlineLvl w:val="1"/>
      </w:pPr>
      <w:r>
        <w:rPr>
          <w:rFonts w:ascii="黑体" w:hAnsi="黑体" w:eastAsia="黑体"/>
          <w:sz w:val="32"/>
        </w:rPr>
        <w:t>第二部分 部门决算情况说明</w:t>
      </w:r>
    </w:p>
    <w:p w14:paraId="6A2D11F4">
      <w:pPr>
        <w:spacing w:line="640" w:lineRule="exact"/>
        <w:ind w:firstLine="640"/>
        <w:jc w:val="both"/>
        <w:outlineLvl w:val="2"/>
      </w:pPr>
      <w:r>
        <w:rPr>
          <w:rFonts w:ascii="黑体" w:hAnsi="黑体" w:eastAsia="黑体"/>
          <w:sz w:val="32"/>
        </w:rPr>
        <w:t>一、收入支出决算总体情况说明</w:t>
      </w:r>
    </w:p>
    <w:p w14:paraId="09FD50E6">
      <w:pPr>
        <w:spacing w:line="580" w:lineRule="exact"/>
        <w:ind w:firstLine="640"/>
        <w:jc w:val="both"/>
      </w:pPr>
      <w:r>
        <w:rPr>
          <w:rFonts w:ascii="仿宋_GB2312" w:hAnsi="仿宋_GB2312" w:eastAsia="仿宋_GB2312"/>
          <w:b/>
          <w:sz w:val="32"/>
        </w:rPr>
        <w:t>2024年度收入总计194.81万元，</w:t>
      </w:r>
      <w:r>
        <w:rPr>
          <w:rFonts w:ascii="仿宋_GB2312" w:hAnsi="仿宋_GB2312" w:eastAsia="仿宋_GB2312"/>
          <w:b w:val="0"/>
          <w:sz w:val="32"/>
        </w:rPr>
        <w:t>其中：本年收入合计194.81万元，使用非财政拨款结余（含专用结余）0.00万元，年初结转和结余0.00万元。</w:t>
      </w:r>
    </w:p>
    <w:p w14:paraId="3B5B5DF1">
      <w:pPr>
        <w:spacing w:line="580" w:lineRule="exact"/>
        <w:ind w:firstLine="640"/>
        <w:jc w:val="both"/>
      </w:pPr>
      <w:r>
        <w:rPr>
          <w:rFonts w:ascii="仿宋_GB2312" w:hAnsi="仿宋_GB2312" w:eastAsia="仿宋_GB2312"/>
          <w:b/>
          <w:sz w:val="32"/>
        </w:rPr>
        <w:t>2024年度支出总计194.81万元，</w:t>
      </w:r>
      <w:r>
        <w:rPr>
          <w:rFonts w:ascii="仿宋_GB2312" w:hAnsi="仿宋_GB2312" w:eastAsia="仿宋_GB2312"/>
          <w:b w:val="0"/>
          <w:sz w:val="32"/>
        </w:rPr>
        <w:t>其中：本年支出合计194.81万元，结余分配0.00万元，年末结转和结余0.00万元。</w:t>
      </w:r>
    </w:p>
    <w:p w14:paraId="29D6565C">
      <w:pPr>
        <w:spacing w:line="580" w:lineRule="exact"/>
        <w:ind w:firstLine="640"/>
        <w:jc w:val="both"/>
      </w:pPr>
      <w:r>
        <w:rPr>
          <w:rFonts w:ascii="仿宋_GB2312" w:hAnsi="仿宋_GB2312" w:eastAsia="仿宋_GB2312"/>
          <w:b w:val="0"/>
          <w:sz w:val="32"/>
        </w:rPr>
        <w:t>收入支出总体与上年相比，减少100.85万元，下降34.11%，主要原因是：一是本年在职人员减少，相关人员经费减少；二是较上年减少生态环境监测项目资金。</w:t>
      </w:r>
    </w:p>
    <w:p w14:paraId="032EF864">
      <w:pPr>
        <w:spacing w:line="640" w:lineRule="exact"/>
        <w:ind w:firstLine="640"/>
        <w:jc w:val="both"/>
        <w:outlineLvl w:val="2"/>
      </w:pPr>
      <w:r>
        <w:rPr>
          <w:rFonts w:ascii="黑体" w:hAnsi="黑体" w:eastAsia="黑体"/>
          <w:sz w:val="32"/>
        </w:rPr>
        <w:t>二、收入决算情况说明</w:t>
      </w:r>
    </w:p>
    <w:p w14:paraId="039A7836">
      <w:pPr>
        <w:spacing w:line="580" w:lineRule="exact"/>
        <w:ind w:firstLine="640"/>
        <w:jc w:val="both"/>
      </w:pPr>
      <w:r>
        <w:rPr>
          <w:rFonts w:ascii="仿宋_GB2312" w:hAnsi="仿宋_GB2312" w:eastAsia="仿宋_GB2312"/>
          <w:b/>
          <w:sz w:val="32"/>
        </w:rPr>
        <w:t>本年收入194.81万元，</w:t>
      </w:r>
      <w:r>
        <w:rPr>
          <w:rFonts w:ascii="仿宋_GB2312" w:hAnsi="仿宋_GB2312" w:eastAsia="仿宋_GB2312"/>
          <w:b w:val="0"/>
          <w:sz w:val="32"/>
        </w:rPr>
        <w:t>其中：财政拨款收入194.81万元，占100.00%；上级补助收入0.00万元，占0.00%；事业收入0.00万元，占0.00%；经营收入0.00万元，占0.00%；附属单位上缴收入0.00万元，占0.00%；其他收入0.00万元，占0.00%。</w:t>
      </w:r>
    </w:p>
    <w:p w14:paraId="43EA1E3F">
      <w:pPr>
        <w:spacing w:line="640" w:lineRule="exact"/>
        <w:ind w:firstLine="640"/>
        <w:jc w:val="both"/>
        <w:outlineLvl w:val="2"/>
      </w:pPr>
      <w:r>
        <w:rPr>
          <w:rFonts w:ascii="黑体" w:hAnsi="黑体" w:eastAsia="黑体"/>
          <w:sz w:val="32"/>
        </w:rPr>
        <w:t>三、支出决算情况说明</w:t>
      </w:r>
    </w:p>
    <w:p w14:paraId="7BBCAEAB">
      <w:pPr>
        <w:spacing w:line="580" w:lineRule="exact"/>
        <w:ind w:firstLine="640"/>
        <w:jc w:val="both"/>
      </w:pPr>
      <w:r>
        <w:rPr>
          <w:rFonts w:ascii="仿宋_GB2312" w:hAnsi="仿宋_GB2312" w:eastAsia="仿宋_GB2312"/>
          <w:b/>
          <w:sz w:val="32"/>
        </w:rPr>
        <w:t>本年支出194.81万元，</w:t>
      </w:r>
      <w:r>
        <w:rPr>
          <w:rFonts w:ascii="仿宋_GB2312" w:hAnsi="仿宋_GB2312" w:eastAsia="仿宋_GB2312"/>
          <w:b w:val="0"/>
          <w:sz w:val="32"/>
        </w:rPr>
        <w:t>其中：基本支出194.81万元，占100.00%；项目支出0.00万元，占0.00%；上缴上级支出0.00万元，占0.00%；经营支出0.00万元，占0.00%；对附属单位补助支出0.00万元，占0.00%。</w:t>
      </w:r>
    </w:p>
    <w:p w14:paraId="151AA71A">
      <w:pPr>
        <w:spacing w:line="640" w:lineRule="exact"/>
        <w:ind w:firstLine="640"/>
        <w:jc w:val="both"/>
        <w:outlineLvl w:val="2"/>
      </w:pPr>
      <w:r>
        <w:rPr>
          <w:rFonts w:ascii="黑体" w:hAnsi="黑体" w:eastAsia="黑体"/>
          <w:sz w:val="32"/>
        </w:rPr>
        <w:t>四、财政拨款收入支出决算总体情况说明</w:t>
      </w:r>
    </w:p>
    <w:p w14:paraId="0CC77635">
      <w:pPr>
        <w:spacing w:line="580" w:lineRule="exact"/>
        <w:ind w:firstLine="640"/>
        <w:jc w:val="both"/>
      </w:pPr>
      <w:r>
        <w:rPr>
          <w:rFonts w:ascii="仿宋_GB2312" w:hAnsi="仿宋_GB2312" w:eastAsia="仿宋_GB2312"/>
          <w:b/>
          <w:sz w:val="32"/>
        </w:rPr>
        <w:t>2024年度财政拨款收入总计194.81万元，</w:t>
      </w:r>
      <w:r>
        <w:rPr>
          <w:rFonts w:ascii="仿宋_GB2312" w:hAnsi="仿宋_GB2312" w:eastAsia="仿宋_GB2312"/>
          <w:b w:val="0"/>
          <w:sz w:val="32"/>
        </w:rPr>
        <w:t>其中：年初财政拨款结转和结余0.00万元，本年财政拨款收入194.81万元。</w:t>
      </w:r>
      <w:r>
        <w:rPr>
          <w:rFonts w:ascii="仿宋_GB2312" w:hAnsi="仿宋_GB2312" w:eastAsia="仿宋_GB2312"/>
          <w:b/>
          <w:sz w:val="32"/>
        </w:rPr>
        <w:t>财政拨款支出总计194.81万元，</w:t>
      </w:r>
      <w:r>
        <w:rPr>
          <w:rFonts w:ascii="仿宋_GB2312" w:hAnsi="仿宋_GB2312" w:eastAsia="仿宋_GB2312"/>
          <w:b w:val="0"/>
          <w:sz w:val="32"/>
        </w:rPr>
        <w:t>其中：年末财政拨款结转和结余0.00万元，本年财政拨款支出194.81万元。</w:t>
      </w:r>
    </w:p>
    <w:p w14:paraId="7D1AE7B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减少100.85万元，下降34.11%，主要原因是：一是本年在职人员减少，相关人员经费减少；二是较上年减少生态环境监测项目资金。</w:t>
      </w:r>
      <w:r>
        <w:rPr>
          <w:rFonts w:ascii="仿宋_GB2312" w:hAnsi="仿宋_GB2312" w:eastAsia="仿宋_GB2312"/>
          <w:b/>
          <w:sz w:val="32"/>
        </w:rPr>
        <w:t>与年初预算相比，</w:t>
      </w:r>
      <w:r>
        <w:rPr>
          <w:rFonts w:ascii="仿宋_GB2312" w:hAnsi="仿宋_GB2312" w:eastAsia="仿宋_GB2312"/>
          <w:b w:val="0"/>
          <w:sz w:val="32"/>
        </w:rPr>
        <w:t>年初预算数213.78万元，决算数194.81万元，预决算差异率-8.87%，主要原因是：一是年中调减为民办实事人员补助；二是本年在职人员减少，年中调减人员经费，导致预决算存在差异。</w:t>
      </w:r>
    </w:p>
    <w:p w14:paraId="4786B905">
      <w:pPr>
        <w:spacing w:line="640" w:lineRule="exact"/>
        <w:ind w:firstLine="640"/>
        <w:jc w:val="both"/>
        <w:outlineLvl w:val="2"/>
      </w:pPr>
      <w:r>
        <w:rPr>
          <w:rFonts w:ascii="黑体" w:hAnsi="黑体" w:eastAsia="黑体"/>
          <w:sz w:val="32"/>
        </w:rPr>
        <w:t>五、一般公共预算财政拨款支出决算情况说明</w:t>
      </w:r>
    </w:p>
    <w:p w14:paraId="6B8063C8">
      <w:pPr>
        <w:spacing w:line="640" w:lineRule="exact"/>
        <w:ind w:firstLine="640"/>
        <w:jc w:val="both"/>
        <w:outlineLvl w:val="3"/>
      </w:pPr>
      <w:r>
        <w:rPr>
          <w:rFonts w:ascii="楷体_GB2312" w:hAnsi="楷体_GB2312" w:eastAsia="楷体_GB2312"/>
          <w:b/>
          <w:sz w:val="32"/>
        </w:rPr>
        <w:t>（一）一般公共预算财政拨款支出决算总体情况</w:t>
      </w:r>
    </w:p>
    <w:p w14:paraId="5F55DAFD">
      <w:pPr>
        <w:spacing w:line="580" w:lineRule="exact"/>
        <w:ind w:firstLine="640"/>
        <w:jc w:val="both"/>
      </w:pPr>
      <w:r>
        <w:rPr>
          <w:rFonts w:ascii="仿宋_GB2312" w:hAnsi="仿宋_GB2312" w:eastAsia="仿宋_GB2312"/>
          <w:b/>
          <w:sz w:val="32"/>
        </w:rPr>
        <w:t>2024年度一般公共预算财政拨款支出194.81万元，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减少100.85万元，下降34.11%，主要原因是：一是本年在职人员减少，相关人员经费减少；二是较上年减少生态环境监测项目资金。</w:t>
      </w:r>
      <w:r>
        <w:rPr>
          <w:rFonts w:ascii="仿宋_GB2312" w:hAnsi="仿宋_GB2312" w:eastAsia="仿宋_GB2312"/>
          <w:b/>
          <w:sz w:val="32"/>
        </w:rPr>
        <w:t>与年初预算相比,</w:t>
      </w:r>
      <w:r>
        <w:rPr>
          <w:rFonts w:ascii="仿宋_GB2312" w:hAnsi="仿宋_GB2312" w:eastAsia="仿宋_GB2312"/>
          <w:b w:val="0"/>
          <w:sz w:val="32"/>
        </w:rPr>
        <w:t>年初预算数213.78万元，决算数194.81万元，预决算差异率-8.87%，主要原因是：一是年中调减为民办实事人员补助；二是本年在职人员减少，年中调减人员经费，导致预决算存在差异。</w:t>
      </w:r>
    </w:p>
    <w:p w14:paraId="41C07181">
      <w:pPr>
        <w:spacing w:line="640" w:lineRule="exact"/>
        <w:ind w:firstLine="640"/>
        <w:jc w:val="both"/>
        <w:outlineLvl w:val="3"/>
      </w:pPr>
      <w:r>
        <w:rPr>
          <w:rFonts w:ascii="楷体_GB2312" w:hAnsi="楷体_GB2312" w:eastAsia="楷体_GB2312"/>
          <w:b/>
          <w:sz w:val="32"/>
        </w:rPr>
        <w:t>（二）一般公共预算财政拨款支出决算结构情况</w:t>
      </w:r>
    </w:p>
    <w:p w14:paraId="233FDF8B">
      <w:pPr>
        <w:spacing w:line="580" w:lineRule="exact"/>
        <w:ind w:firstLine="640"/>
        <w:jc w:val="both"/>
      </w:pPr>
      <w:r>
        <w:rPr>
          <w:rFonts w:ascii="仿宋_GB2312" w:hAnsi="仿宋_GB2312" w:eastAsia="仿宋_GB2312"/>
          <w:b w:val="0"/>
          <w:sz w:val="32"/>
        </w:rPr>
        <w:t>1.社会保障和就业支出(类)20.20万元,占10.37%。</w:t>
      </w:r>
    </w:p>
    <w:p w14:paraId="02FCC4B0">
      <w:pPr>
        <w:spacing w:line="580" w:lineRule="exact"/>
        <w:ind w:firstLine="640"/>
        <w:jc w:val="both"/>
      </w:pPr>
      <w:r>
        <w:rPr>
          <w:rFonts w:ascii="仿宋_GB2312" w:hAnsi="仿宋_GB2312" w:eastAsia="仿宋_GB2312"/>
          <w:b w:val="0"/>
          <w:sz w:val="32"/>
        </w:rPr>
        <w:t>2.卫生健康支出(类)9.84万元,占5.05%。</w:t>
      </w:r>
    </w:p>
    <w:p w14:paraId="6173A631">
      <w:pPr>
        <w:spacing w:line="580" w:lineRule="exact"/>
        <w:ind w:firstLine="640"/>
        <w:jc w:val="both"/>
      </w:pPr>
      <w:r>
        <w:rPr>
          <w:rFonts w:ascii="仿宋_GB2312" w:hAnsi="仿宋_GB2312" w:eastAsia="仿宋_GB2312"/>
          <w:b w:val="0"/>
          <w:sz w:val="32"/>
        </w:rPr>
        <w:t>3.节能环保支出(类)149.79万元,占76.89%。</w:t>
      </w:r>
    </w:p>
    <w:p w14:paraId="20741E84">
      <w:pPr>
        <w:spacing w:line="580" w:lineRule="exact"/>
        <w:ind w:firstLine="640"/>
        <w:jc w:val="both"/>
      </w:pPr>
      <w:r>
        <w:rPr>
          <w:rFonts w:ascii="仿宋_GB2312" w:hAnsi="仿宋_GB2312" w:eastAsia="仿宋_GB2312"/>
          <w:b w:val="0"/>
          <w:sz w:val="32"/>
        </w:rPr>
        <w:t>4.住房保障支出(类)14.98万元,占7.69%。</w:t>
      </w:r>
    </w:p>
    <w:p w14:paraId="41371F08">
      <w:pPr>
        <w:spacing w:line="640" w:lineRule="exact"/>
        <w:ind w:firstLine="640"/>
        <w:jc w:val="both"/>
        <w:outlineLvl w:val="3"/>
      </w:pPr>
      <w:r>
        <w:rPr>
          <w:rFonts w:ascii="楷体_GB2312" w:hAnsi="楷体_GB2312" w:eastAsia="楷体_GB2312"/>
          <w:b/>
          <w:sz w:val="32"/>
        </w:rPr>
        <w:t>（三）一般公共预算财政拨款支出决算具体情况</w:t>
      </w:r>
    </w:p>
    <w:p w14:paraId="26491D55">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0.17万元，比上年决算减少4.53万元，下降96.38%,主要原因是：机构改革，退休人员调整至县上管理，本单位退休人员减少，导致经费较上年减少。</w:t>
      </w:r>
    </w:p>
    <w:p w14:paraId="2A7DA27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19.12万元，比上年决算增加0.27万元，增长1.43%,主要原因是：本年在职人员工资基数调增，养老缴费基数上涨，相应支出增加。</w:t>
      </w:r>
    </w:p>
    <w:p w14:paraId="6A5AF02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3.社会保障和就业支出(类)行政事业单位养老支出(款)机关事业单位职业年金缴费支出(项):支出决算数为0.91万元，比上年决算增加0.91万元，增长100.00%,主要原因是：本年新增</w:t>
      </w:r>
      <w:r>
        <w:rPr>
          <w:rFonts w:hint="eastAsia" w:ascii="仿宋_GB2312" w:hAnsi="仿宋_GB2312" w:eastAsia="仿宋_GB2312"/>
          <w:b w:val="0"/>
          <w:sz w:val="32"/>
          <w:lang w:val="en-US" w:eastAsia="zh-CN"/>
        </w:rPr>
        <w:t>调出</w:t>
      </w:r>
      <w:r>
        <w:rPr>
          <w:rFonts w:ascii="仿宋_GB2312" w:hAnsi="仿宋_GB2312" w:eastAsia="仿宋_GB2312"/>
          <w:b w:val="0"/>
          <w:sz w:val="32"/>
        </w:rPr>
        <w:t>人员，职业年金缴费支出增加。</w:t>
      </w:r>
    </w:p>
    <w:p w14:paraId="59982560">
      <w:pPr>
        <w:spacing w:line="580" w:lineRule="exact"/>
        <w:ind w:firstLine="640"/>
        <w:jc w:val="both"/>
      </w:pPr>
      <w:r>
        <w:rPr>
          <w:rFonts w:ascii="仿宋_GB2312" w:hAnsi="仿宋_GB2312" w:eastAsia="仿宋_GB2312"/>
          <w:b w:val="0"/>
          <w:sz w:val="32"/>
        </w:rPr>
        <w:t>4.卫生健康支出(类)行政事业单位医疗(款)行政单位医疗(项):支出决算数为8.13万元，比上年决算减少0.18万元，下降2.17%,主要原因是：本年在职人员减少，行政单位医疗支出较上年减少。</w:t>
      </w:r>
    </w:p>
    <w:p w14:paraId="64165F44">
      <w:pPr>
        <w:spacing w:line="580" w:lineRule="exact"/>
        <w:ind w:firstLine="640"/>
        <w:jc w:val="both"/>
      </w:pPr>
      <w:r>
        <w:rPr>
          <w:rFonts w:ascii="仿宋_GB2312" w:hAnsi="仿宋_GB2312" w:eastAsia="仿宋_GB2312"/>
          <w:b w:val="0"/>
          <w:sz w:val="32"/>
        </w:rPr>
        <w:t>5.卫生健康支出(类)行政事业单位医疗(款)公务员医疗补助(项):支出决算数为1.72万元，比上年决算减少0.52万元，下降23.21%,主要原因是：本年在职人员减少，公务员医疗补助较上年减少。</w:t>
      </w:r>
    </w:p>
    <w:p w14:paraId="03BE119F">
      <w:pPr>
        <w:spacing w:line="580" w:lineRule="exact"/>
        <w:ind w:firstLine="640"/>
        <w:jc w:val="both"/>
      </w:pPr>
      <w:r>
        <w:rPr>
          <w:rFonts w:ascii="仿宋_GB2312" w:hAnsi="仿宋_GB2312" w:eastAsia="仿宋_GB2312"/>
          <w:b w:val="0"/>
          <w:sz w:val="32"/>
        </w:rPr>
        <w:t>6.节能环保支出(类)环境保护管理事务(款)行政运行(项):支出决算数为149.79万元，比上年决算减少96.94万元，下降39.29%,主要原因是：2024年减少环境监测项目支出。</w:t>
      </w:r>
    </w:p>
    <w:p w14:paraId="4A77D1BD">
      <w:pPr>
        <w:spacing w:line="580" w:lineRule="exact"/>
        <w:ind w:firstLine="640"/>
        <w:jc w:val="both"/>
      </w:pPr>
      <w:r>
        <w:rPr>
          <w:rFonts w:ascii="仿宋_GB2312" w:hAnsi="仿宋_GB2312" w:eastAsia="仿宋_GB2312"/>
          <w:b w:val="0"/>
          <w:sz w:val="32"/>
        </w:rPr>
        <w:t>7.住房保障支出(类)住房改革支出(款)住房公积金(项):支出决算数为14.98万元，比上年决算增加0.14万元，增长0.94%,主要原因是：本年在职人员工资调增，住房公积金缴费支出增加。</w:t>
      </w:r>
    </w:p>
    <w:p w14:paraId="5772B998">
      <w:pPr>
        <w:spacing w:line="640" w:lineRule="exact"/>
        <w:ind w:firstLine="640"/>
        <w:jc w:val="both"/>
        <w:outlineLvl w:val="2"/>
      </w:pPr>
      <w:r>
        <w:rPr>
          <w:rFonts w:ascii="黑体" w:hAnsi="黑体" w:eastAsia="黑体"/>
          <w:sz w:val="32"/>
        </w:rPr>
        <w:t>六、一般公共预算财政拨款基本支出决算情况说明</w:t>
      </w:r>
    </w:p>
    <w:p w14:paraId="27252C38">
      <w:pPr>
        <w:spacing w:line="580" w:lineRule="exact"/>
        <w:ind w:firstLine="640"/>
        <w:jc w:val="both"/>
      </w:pPr>
      <w:r>
        <w:rPr>
          <w:rFonts w:ascii="仿宋_GB2312" w:hAnsi="仿宋_GB2312" w:eastAsia="仿宋_GB2312"/>
          <w:b w:val="0"/>
          <w:sz w:val="32"/>
        </w:rPr>
        <w:t>2024年度一般公共预算财政拨款基本支出194.81万元，其中：</w:t>
      </w:r>
      <w:r>
        <w:rPr>
          <w:rFonts w:ascii="仿宋_GB2312" w:hAnsi="仿宋_GB2312" w:eastAsia="仿宋_GB2312"/>
          <w:b/>
          <w:sz w:val="32"/>
        </w:rPr>
        <w:t>人员经费176.10万元，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3CD6FC80">
      <w:pPr>
        <w:spacing w:line="580" w:lineRule="exact"/>
        <w:ind w:firstLine="640"/>
        <w:jc w:val="both"/>
      </w:pPr>
      <w:r>
        <w:rPr>
          <w:rFonts w:ascii="仿宋_GB2312" w:hAnsi="仿宋_GB2312" w:eastAsia="仿宋_GB2312"/>
          <w:b/>
          <w:sz w:val="32"/>
        </w:rPr>
        <w:t>公用经费18.72万元，</w:t>
      </w:r>
      <w:r>
        <w:rPr>
          <w:rFonts w:ascii="仿宋_GB2312" w:hAnsi="仿宋_GB2312" w:eastAsia="仿宋_GB2312"/>
          <w:b w:val="0"/>
          <w:sz w:val="32"/>
        </w:rPr>
        <w:t>包括：办公费、邮电费、取暖费、差旅费、专用材料费、委托业务费、工会经费、公务用车运行维护费。</w:t>
      </w:r>
    </w:p>
    <w:p w14:paraId="287DA125">
      <w:pPr>
        <w:spacing w:line="640" w:lineRule="exact"/>
        <w:ind w:firstLine="640"/>
        <w:jc w:val="both"/>
        <w:outlineLvl w:val="2"/>
      </w:pPr>
      <w:r>
        <w:rPr>
          <w:rFonts w:ascii="黑体" w:hAnsi="黑体" w:eastAsia="黑体"/>
          <w:sz w:val="32"/>
        </w:rPr>
        <w:t>七、政府性基金预算财政拨款收入支出决算情况说明</w:t>
      </w:r>
    </w:p>
    <w:p w14:paraId="2632D25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75CC6F">
      <w:pPr>
        <w:spacing w:line="640" w:lineRule="exact"/>
        <w:ind w:firstLine="640"/>
        <w:jc w:val="both"/>
        <w:outlineLvl w:val="2"/>
      </w:pPr>
      <w:r>
        <w:rPr>
          <w:rFonts w:ascii="黑体" w:hAnsi="黑体" w:eastAsia="黑体"/>
          <w:sz w:val="32"/>
        </w:rPr>
        <w:t>八、国有资本经营预算财政拨款收入支出决算情况说明</w:t>
      </w:r>
    </w:p>
    <w:p w14:paraId="47A86F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B748C7">
      <w:pPr>
        <w:spacing w:line="640" w:lineRule="exact"/>
        <w:ind w:firstLine="640"/>
        <w:jc w:val="both"/>
        <w:outlineLvl w:val="2"/>
      </w:pPr>
      <w:r>
        <w:rPr>
          <w:rFonts w:ascii="黑体" w:hAnsi="黑体" w:eastAsia="黑体"/>
          <w:sz w:val="32"/>
        </w:rPr>
        <w:t>九、财政拨款“三公”经费支出决算情况说明</w:t>
      </w:r>
    </w:p>
    <w:p w14:paraId="004F2015">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增加2.41万元，增长408.47%，主要原因是：一是本单位公务用车日渐老化，维修维护成本增加；二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3.00万元，占100.00%，比上年增加2.41万元，增长408.47%，主要原因是：一是本单位公务用车日渐老化，维修维护成本增加；二是本年因业务需求，用车次数增加，燃油费增加，导致公务用车运行维护费较上年增加。公务接待费支出0.00万元，占0.00%，比上年增加0.00万元，增长0.00%，主要原因是：2023年与2024年均未安排公务接待费支出。</w:t>
      </w:r>
    </w:p>
    <w:p w14:paraId="4FE33A3E">
      <w:pPr>
        <w:spacing w:line="580" w:lineRule="exact"/>
        <w:ind w:firstLine="640"/>
        <w:jc w:val="both"/>
      </w:pPr>
      <w:r>
        <w:rPr>
          <w:rFonts w:ascii="仿宋_GB2312" w:hAnsi="仿宋_GB2312" w:eastAsia="仿宋_GB2312"/>
          <w:b/>
          <w:sz w:val="32"/>
        </w:rPr>
        <w:t>具体情况如下：</w:t>
      </w:r>
    </w:p>
    <w:p w14:paraId="082CC9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9AF6F0">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36E871B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87440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342CD5D1">
      <w:pPr>
        <w:spacing w:line="640" w:lineRule="exact"/>
        <w:ind w:firstLine="640"/>
        <w:jc w:val="both"/>
        <w:outlineLvl w:val="2"/>
      </w:pPr>
      <w:r>
        <w:rPr>
          <w:rFonts w:ascii="黑体" w:hAnsi="黑体" w:eastAsia="黑体"/>
          <w:sz w:val="32"/>
        </w:rPr>
        <w:t>十、其他重要事项的情况说明</w:t>
      </w:r>
    </w:p>
    <w:p w14:paraId="3210516B">
      <w:pPr>
        <w:spacing w:line="640" w:lineRule="exact"/>
        <w:ind w:firstLine="640"/>
        <w:jc w:val="both"/>
        <w:outlineLvl w:val="3"/>
      </w:pPr>
      <w:r>
        <w:rPr>
          <w:rFonts w:ascii="楷体_GB2312" w:hAnsi="楷体_GB2312" w:eastAsia="楷体_GB2312"/>
          <w:b/>
          <w:sz w:val="32"/>
        </w:rPr>
        <w:t>（一）机关运行经费及公用经费支出情况</w:t>
      </w:r>
    </w:p>
    <w:p w14:paraId="60B6AE62">
      <w:pPr>
        <w:spacing w:line="580" w:lineRule="exact"/>
        <w:ind w:firstLine="640"/>
        <w:jc w:val="both"/>
      </w:pPr>
      <w:r>
        <w:rPr>
          <w:rFonts w:ascii="仿宋_GB2312" w:hAnsi="仿宋_GB2312" w:eastAsia="仿宋_GB2312"/>
          <w:b w:val="0"/>
          <w:sz w:val="32"/>
        </w:rPr>
        <w:t>2024年度喀什地区生态环境局泽普县分局（行政单位和参照公务员法管理事业单位）机关运行经费支出18.72万元，比上年减少61.29万元，下降76.60%，主要原因是：本年</w:t>
      </w:r>
      <w:r>
        <w:rPr>
          <w:rFonts w:hint="eastAsia" w:ascii="仿宋_GB2312" w:hAnsi="仿宋_GB2312" w:eastAsia="仿宋_GB2312"/>
          <w:b w:val="0"/>
          <w:sz w:val="32"/>
          <w:lang w:val="en-US" w:eastAsia="zh-CN"/>
        </w:rPr>
        <w:t>委托业务费</w:t>
      </w:r>
      <w:r>
        <w:rPr>
          <w:rFonts w:ascii="仿宋_GB2312" w:hAnsi="仿宋_GB2312" w:eastAsia="仿宋_GB2312"/>
          <w:b w:val="0"/>
          <w:sz w:val="32"/>
        </w:rPr>
        <w:t>减少，</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机关运行经费支出减少。</w:t>
      </w:r>
    </w:p>
    <w:p w14:paraId="05874082">
      <w:pPr>
        <w:spacing w:line="640" w:lineRule="exact"/>
        <w:ind w:firstLine="640"/>
        <w:jc w:val="both"/>
        <w:outlineLvl w:val="3"/>
      </w:pPr>
      <w:r>
        <w:rPr>
          <w:rFonts w:ascii="楷体_GB2312" w:hAnsi="楷体_GB2312" w:eastAsia="楷体_GB2312"/>
          <w:b/>
          <w:sz w:val="32"/>
        </w:rPr>
        <w:t>（二）政府采购情况</w:t>
      </w:r>
    </w:p>
    <w:p w14:paraId="6CDD1747">
      <w:pPr>
        <w:spacing w:line="580" w:lineRule="exact"/>
        <w:ind w:firstLine="640"/>
        <w:jc w:val="both"/>
      </w:pPr>
      <w:r>
        <w:rPr>
          <w:rFonts w:ascii="仿宋_GB2312" w:hAnsi="仿宋_GB2312" w:eastAsia="仿宋_GB2312"/>
          <w:b w:val="0"/>
          <w:sz w:val="32"/>
        </w:rPr>
        <w:t>2024年度政府采购支出总额6.12万元，其中：政府采购货物支出4.58万元、政府采购工程支出0.00万元、政府采购服务支出1.54万元。</w:t>
      </w:r>
    </w:p>
    <w:p w14:paraId="79DE7EC5">
      <w:pPr>
        <w:spacing w:line="580" w:lineRule="exact"/>
        <w:ind w:firstLine="640"/>
        <w:jc w:val="both"/>
      </w:pPr>
      <w:r>
        <w:rPr>
          <w:rFonts w:ascii="仿宋_GB2312" w:hAnsi="仿宋_GB2312" w:eastAsia="仿宋_GB2312"/>
          <w:b w:val="0"/>
          <w:sz w:val="32"/>
        </w:rPr>
        <w:t>授予中小企业合同金额6.12万元，占政府采购支出总额的100.00%，其中：授予小微企业合同金额6.12万元，占政府采购支出总额的100.00%。</w:t>
      </w:r>
    </w:p>
    <w:p w14:paraId="638B9881">
      <w:pPr>
        <w:spacing w:line="640" w:lineRule="exact"/>
        <w:ind w:firstLine="640"/>
        <w:jc w:val="both"/>
        <w:outlineLvl w:val="3"/>
      </w:pPr>
      <w:r>
        <w:rPr>
          <w:rFonts w:ascii="楷体_GB2312" w:hAnsi="楷体_GB2312" w:eastAsia="楷体_GB2312"/>
          <w:b/>
          <w:sz w:val="32"/>
        </w:rPr>
        <w:t>（三）国有资产占用情况说明</w:t>
      </w:r>
    </w:p>
    <w:p w14:paraId="0494344C">
      <w:pPr>
        <w:spacing w:line="580" w:lineRule="exact"/>
        <w:ind w:firstLine="640"/>
        <w:jc w:val="both"/>
      </w:pPr>
      <w:r>
        <w:rPr>
          <w:rFonts w:ascii="仿宋_GB2312" w:hAnsi="仿宋_GB2312" w:eastAsia="仿宋_GB2312"/>
          <w:b w:val="0"/>
          <w:sz w:val="32"/>
        </w:rPr>
        <w:t>截至2024年12月31日，房屋3,200.00平方米，价值681.91万元。车辆2辆，价值30.61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32997FDB">
      <w:pPr>
        <w:spacing w:line="640" w:lineRule="exact"/>
        <w:ind w:firstLine="640"/>
        <w:jc w:val="both"/>
        <w:outlineLvl w:val="2"/>
      </w:pPr>
      <w:r>
        <w:rPr>
          <w:rFonts w:ascii="黑体" w:hAnsi="黑体" w:eastAsia="黑体"/>
          <w:sz w:val="32"/>
        </w:rPr>
        <w:t>十一、预算绩效的情况说明</w:t>
      </w:r>
    </w:p>
    <w:p w14:paraId="2358F61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194.81万元，实际执行总额194.81万元；预算绩效评价项目0个，全年预算数0.00万元，全年执行数0.00万元。预算绩效管理取得的成效：一是通过开展绩效管理工作，规范了项目档案及资金拨付资料的整理，有效提升了单位档案管理水平；二是确保了生态环境等项目的有序推进，提升了泽普县生态环境的综合治理能力，保障了我单位各类业务的有序开展，增强了群众的幸福感，有效促进了全县生态环境质量的提高。发现的问题及原因：一是因人员业务能力欠缺，经费支付办理进度缓慢；二是经费拨付和项目实施进度同步性偏差大，绩效跟进不精准；三是单位绩效项目办人员有限，跟进项目力度薄弱；四是专业人员少，项目推进存在难度；五是绩效指标的明确性、可衡量性、相关性还需进一步提升。下一步改进措施：一是细化可量化指标，如服务响应时长、群众满意度等，增强考核针对性；二是强化结果应用，将绩效与经费、评优挂钩，压实责任；三是加强培训宣传，提升全员绩效意识，规范日常管理。具体附整体支出绩效自评表。</w:t>
      </w:r>
    </w:p>
    <w:p w14:paraId="2E53C7B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1F937C">
        <w:tblPrEx>
          <w:tblCellMar>
            <w:top w:w="0" w:type="dxa"/>
            <w:left w:w="108" w:type="dxa"/>
            <w:bottom w:w="0" w:type="dxa"/>
            <w:right w:w="108" w:type="dxa"/>
          </w:tblCellMar>
        </w:tblPrEx>
        <w:tc>
          <w:tcPr>
            <w:tcW w:w="8847" w:type="dxa"/>
            <w:gridSpan w:val="9"/>
            <w:vAlign w:val="center"/>
          </w:tcPr>
          <w:p w14:paraId="65EE7F35">
            <w:pPr>
              <w:jc w:val="center"/>
            </w:pPr>
            <w:r>
              <w:rPr>
                <w:rFonts w:ascii="宋体" w:hAnsi="宋体" w:eastAsia="宋体"/>
                <w:sz w:val="24"/>
              </w:rPr>
              <w:t>单位整体支出绩效自评表</w:t>
            </w:r>
          </w:p>
        </w:tc>
      </w:tr>
      <w:tr w14:paraId="34B24653">
        <w:tblPrEx>
          <w:tblCellMar>
            <w:top w:w="0" w:type="dxa"/>
            <w:left w:w="108" w:type="dxa"/>
            <w:bottom w:w="0" w:type="dxa"/>
            <w:right w:w="108" w:type="dxa"/>
          </w:tblCellMar>
        </w:tblPrEx>
        <w:tc>
          <w:tcPr>
            <w:tcW w:w="8847" w:type="dxa"/>
            <w:gridSpan w:val="9"/>
            <w:vAlign w:val="center"/>
          </w:tcPr>
          <w:p w14:paraId="3ABF752A">
            <w:pPr>
              <w:jc w:val="center"/>
            </w:pPr>
            <w:r>
              <w:rPr>
                <w:rFonts w:ascii="宋体" w:hAnsi="宋体" w:eastAsia="宋体"/>
                <w:sz w:val="24"/>
              </w:rPr>
              <w:t>（2024年度）</w:t>
            </w:r>
          </w:p>
        </w:tc>
      </w:tr>
      <w:tr w14:paraId="200495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3766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451B8E">
            <w:pPr>
              <w:jc w:val="center"/>
            </w:pPr>
            <w:r>
              <w:rPr>
                <w:rFonts w:ascii="宋体" w:hAnsi="宋体" w:eastAsia="宋体"/>
                <w:sz w:val="16"/>
              </w:rPr>
              <w:t>喀什地区生态环境局泽普县分局</w:t>
            </w:r>
          </w:p>
        </w:tc>
      </w:tr>
      <w:tr w14:paraId="226FCE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637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BE1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6821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2868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9DBE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E1EA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361B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2719E">
            <w:pPr>
              <w:jc w:val="center"/>
            </w:pPr>
            <w:r>
              <w:rPr>
                <w:rFonts w:ascii="宋体" w:hAnsi="宋体" w:eastAsia="宋体"/>
                <w:sz w:val="16"/>
              </w:rPr>
              <w:t>得分</w:t>
            </w:r>
          </w:p>
        </w:tc>
      </w:tr>
      <w:tr w14:paraId="40A222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566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5F93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11046">
            <w:pPr>
              <w:jc w:val="center"/>
            </w:pPr>
            <w:r>
              <w:rPr>
                <w:rFonts w:ascii="宋体" w:hAnsi="宋体" w:eastAsia="宋体"/>
                <w:sz w:val="16"/>
              </w:rPr>
              <w:t>213.78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E2EA4">
            <w:pPr>
              <w:jc w:val="center"/>
            </w:pPr>
            <w:r>
              <w:rPr>
                <w:rFonts w:ascii="宋体" w:hAnsi="宋体" w:eastAsia="宋体"/>
                <w:sz w:val="16"/>
              </w:rPr>
              <w:t>194.81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66F1C">
            <w:pPr>
              <w:jc w:val="center"/>
            </w:pPr>
            <w:r>
              <w:rPr>
                <w:rFonts w:ascii="宋体" w:hAnsi="宋体" w:eastAsia="宋体"/>
                <w:sz w:val="16"/>
              </w:rPr>
              <w:t>194.81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3C0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D40A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755A0">
            <w:pPr>
              <w:jc w:val="center"/>
            </w:pPr>
            <w:r>
              <w:rPr>
                <w:rFonts w:ascii="宋体" w:hAnsi="宋体" w:eastAsia="宋体"/>
                <w:sz w:val="16"/>
              </w:rPr>
              <w:t>10</w:t>
            </w:r>
          </w:p>
        </w:tc>
      </w:tr>
      <w:tr w14:paraId="38F329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A94C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C536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249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D0F21">
            <w:pPr>
              <w:jc w:val="center"/>
            </w:pPr>
            <w:r>
              <w:rPr>
                <w:rFonts w:ascii="宋体" w:hAnsi="宋体" w:eastAsia="宋体"/>
                <w:sz w:val="16"/>
              </w:rPr>
              <w:t>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F86CE">
            <w:pPr>
              <w:jc w:val="center"/>
            </w:pPr>
            <w:r>
              <w:rPr>
                <w:rFonts w:ascii="宋体" w:hAnsi="宋体" w:eastAsia="宋体"/>
                <w:sz w:val="16"/>
              </w:rPr>
              <w:t>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892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901E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7D3C4">
            <w:pPr>
              <w:jc w:val="center"/>
            </w:pPr>
            <w:r>
              <w:rPr>
                <w:rFonts w:ascii="宋体" w:hAnsi="宋体" w:eastAsia="宋体"/>
                <w:sz w:val="16"/>
              </w:rPr>
              <w:t>—</w:t>
            </w:r>
          </w:p>
        </w:tc>
      </w:tr>
      <w:tr w14:paraId="66DD39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24A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B655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4AA25">
            <w:pPr>
              <w:jc w:val="center"/>
            </w:pPr>
            <w:r>
              <w:rPr>
                <w:rFonts w:ascii="宋体" w:hAnsi="宋体" w:eastAsia="宋体"/>
                <w:sz w:val="16"/>
              </w:rPr>
              <w:t>213.78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0CFEB">
            <w:pPr>
              <w:jc w:val="center"/>
            </w:pPr>
            <w:r>
              <w:rPr>
                <w:rFonts w:ascii="宋体" w:hAnsi="宋体" w:eastAsia="宋体"/>
                <w:sz w:val="16"/>
              </w:rPr>
              <w:t>191.50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E07A2">
            <w:pPr>
              <w:jc w:val="center"/>
            </w:pPr>
            <w:r>
              <w:rPr>
                <w:rFonts w:ascii="宋体" w:hAnsi="宋体" w:eastAsia="宋体"/>
                <w:sz w:val="16"/>
              </w:rPr>
              <w:t>191.50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886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F60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7243">
            <w:pPr>
              <w:jc w:val="center"/>
            </w:pPr>
            <w:r>
              <w:rPr>
                <w:rFonts w:ascii="宋体" w:hAnsi="宋体" w:eastAsia="宋体"/>
                <w:sz w:val="16"/>
              </w:rPr>
              <w:t>—</w:t>
            </w:r>
          </w:p>
        </w:tc>
      </w:tr>
      <w:tr w14:paraId="6AE983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199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3627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E08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798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953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AAE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4AD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E623">
            <w:pPr>
              <w:jc w:val="center"/>
            </w:pPr>
            <w:r>
              <w:rPr>
                <w:rFonts w:ascii="宋体" w:hAnsi="宋体" w:eastAsia="宋体"/>
                <w:sz w:val="16"/>
              </w:rPr>
              <w:t>—</w:t>
            </w:r>
          </w:p>
        </w:tc>
      </w:tr>
      <w:tr w14:paraId="66DB0F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0988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384D4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05ACDC">
            <w:pPr>
              <w:jc w:val="center"/>
            </w:pPr>
            <w:r>
              <w:rPr>
                <w:rFonts w:ascii="宋体" w:hAnsi="宋体" w:eastAsia="宋体"/>
                <w:sz w:val="16"/>
              </w:rPr>
              <w:t>实际完成情况</w:t>
            </w:r>
          </w:p>
        </w:tc>
      </w:tr>
      <w:tr w14:paraId="2C7EBB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6DD9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196D26">
            <w:pPr>
              <w:jc w:val="both"/>
            </w:pPr>
            <w:r>
              <w:rPr>
                <w:rFonts w:ascii="宋体" w:hAnsi="宋体" w:eastAsia="宋体"/>
                <w:sz w:val="16"/>
              </w:rPr>
              <w:t>以改善环境质量为核心，以解决突出环境问题为重点，扎实推进生态文明和生态环境保护，持续深入打好污染防治攻坚战。做好大气环境质量工作，确保全年空气质量优良天数比率达到33.47%，全县全年PM2.5（空气中细颗粒物）浓度低于56毫克/立方米。做好水环境质量工作，全年完成地表水水质监测次数2次，水源地水质达标率达到100%。做好生态环境质量考核工作，按时完成生态环境监测，确保监测完成率达到100%。通过做好大气治理工作、水质监测工作、组织开展环保执法检查工作、开展环保宣传活动等，使得公民环保意识有效提升，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2B8774">
            <w:pPr>
              <w:jc w:val="both"/>
            </w:pPr>
            <w:r>
              <w:rPr>
                <w:rFonts w:ascii="宋体" w:hAnsi="宋体" w:eastAsia="宋体"/>
                <w:sz w:val="16"/>
              </w:rPr>
              <w:t>重点工作开展情况：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一、空气质量状况。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全县有2个空气自动监测站（分别是：泽普县生态环境局站点、工业园区站点），泽普县生态环境局站点的空气质量代表全县参与自治区空气质量考核。</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截至12月31日，全县空气质量优良天数为187天，优良天数比率为53.43%，与2023年同期相比增加20天，同比提升6.8%，已完成地区下达的38.2%目标任务。细颗粒物（PM2.5）平均浓度为36.96微克每立方米（低于53微克每立方米的指标任务），同比2023年下降2.16微克每立方米，下降比例5.52%。沙尘天数为169天，同比2023年减少9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从2019年—2023年的监测数据来看，泽普县空气质量优良天数从105天增长到了155天，优良天数比率由28.7%增长到了41.5%，呈现逐年上升趋势。但受地理因素影响，短期内空气质量优良天数上升难度较大。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二、水环境质量状况。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从监测数据看，近3年来，全县2条河流2个监测断面水质优良比例全部达到100%，河流水质优良率持续稳定。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w:t>
            </w:r>
            <w:r>
              <w:rPr>
                <w:rFonts w:hint="eastAsia" w:ascii="宋体" w:hAnsi="宋体"/>
                <w:sz w:val="16"/>
                <w:lang w:eastAsia="zh-CN"/>
              </w:rPr>
              <w:t>、</w:t>
            </w:r>
            <w:r>
              <w:rPr>
                <w:rFonts w:ascii="宋体" w:hAnsi="宋体" w:eastAsia="宋体"/>
                <w:sz w:val="16"/>
              </w:rPr>
              <w:t>强化宣传引导，及时解决信访投诉举报案件。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2024年以来，对40家企业进行普法宣传，利用“6？5世界环境日”“6？16 安全宣传日”“8.15全国生态日”，发放各类宣传资料1200余份，受理生态环境信访投诉18件，已办结18件，时限内办结率100%。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四、国家重点生态功能区县域生态环境质量考核工作。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为深化生态保护补偿制度改革，国家划定重点生态功能区，要求加强生态环境保护和修复，加大生态环境监管力度，并实施绩效考评机制，自2011年开始中央每年向泽普县下达转移支付资金，2019年至2023年，共下达泽普县转移支付资金36826万元。每年县生态环境局按照“评价细则”，对县域河流断面、农村环境空气、土壤、饮用水、重点企业污染物开展检测，并按时收集审核各部门数据、材料，录入国家系统平台，同时将考核资料汇编装订成册，按时报送地区生态环境局，保障了每年转移支付资金的正常拨付。</w:t>
            </w:r>
          </w:p>
        </w:tc>
      </w:tr>
      <w:tr w14:paraId="621A4F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E311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538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0F6C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FB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6F27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8BC4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6E8C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98A7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93876">
            <w:pPr>
              <w:jc w:val="center"/>
            </w:pPr>
            <w:r>
              <w:rPr>
                <w:rFonts w:ascii="宋体" w:hAnsi="宋体" w:eastAsia="宋体"/>
                <w:sz w:val="16"/>
              </w:rPr>
              <w:t>得分</w:t>
            </w:r>
          </w:p>
        </w:tc>
      </w:tr>
      <w:tr w14:paraId="42A18D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6BEF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B626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176F2">
            <w:pPr>
              <w:jc w:val="center"/>
            </w:pPr>
            <w:r>
              <w:rPr>
                <w:rFonts w:ascii="宋体" w:hAnsi="宋体" w:eastAsia="宋体"/>
                <w:sz w:val="16"/>
              </w:rPr>
              <w:t>泽普县空气质量优良天数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F3F6F">
            <w:pPr>
              <w:jc w:val="center"/>
            </w:pPr>
            <w:r>
              <w:rPr>
                <w:rFonts w:ascii="宋体" w:hAnsi="宋体" w:eastAsia="宋体"/>
                <w:sz w:val="16"/>
              </w:rPr>
              <w:t>&gt;=225天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05262">
            <w:pPr>
              <w:jc w:val="center"/>
            </w:pPr>
            <w:r>
              <w:rPr>
                <w:rFonts w:ascii="宋体" w:hAnsi="宋体" w:eastAsia="宋体"/>
                <w:sz w:val="16"/>
              </w:rPr>
              <w:t>《喀什地区生态环境局泽普县分局2023年工作总结2024年工作计划》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451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7598F">
            <w:pPr>
              <w:jc w:val="center"/>
            </w:pPr>
            <w:r>
              <w:rPr>
                <w:rFonts w:ascii="宋体" w:hAnsi="宋体" w:eastAsia="宋体"/>
                <w:sz w:val="16"/>
              </w:rPr>
              <w:t>187天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7649C">
            <w:pPr>
              <w:jc w:val="center"/>
            </w:pPr>
            <w:r>
              <w:rPr>
                <w:rFonts w:ascii="宋体" w:hAnsi="宋体" w:eastAsia="宋体"/>
                <w:sz w:val="16"/>
              </w:rPr>
              <w:t>83.11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F16B8">
            <w:pPr>
              <w:jc w:val="center"/>
            </w:pPr>
            <w:r>
              <w:rPr>
                <w:rFonts w:ascii="宋体" w:hAnsi="宋体" w:eastAsia="宋体"/>
                <w:sz w:val="16"/>
              </w:rPr>
              <w:t>16.62</w:t>
            </w:r>
          </w:p>
        </w:tc>
      </w:tr>
      <w:tr w14:paraId="183EDD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B7D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E23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3BEBE">
            <w:pPr>
              <w:jc w:val="center"/>
            </w:pPr>
            <w:r>
              <w:rPr>
                <w:rFonts w:ascii="宋体" w:hAnsi="宋体" w:eastAsia="宋体"/>
                <w:sz w:val="16"/>
              </w:rPr>
              <w:t>全县地表水监测点位数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D3FA3">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7401C">
            <w:pPr>
              <w:jc w:val="center"/>
            </w:pPr>
            <w:r>
              <w:rPr>
                <w:rFonts w:ascii="宋体" w:hAnsi="宋体" w:eastAsia="宋体"/>
                <w:sz w:val="16"/>
              </w:rPr>
              <w:t>《喀什地区生态环境局泽普县分局2023年工作总结2024年工作计划》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DA3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C2AFD">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B6A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A38D">
            <w:pPr>
              <w:jc w:val="center"/>
            </w:pPr>
            <w:r>
              <w:rPr>
                <w:rFonts w:ascii="宋体" w:hAnsi="宋体" w:eastAsia="宋体"/>
                <w:sz w:val="16"/>
              </w:rPr>
              <w:t>20</w:t>
            </w:r>
          </w:p>
        </w:tc>
      </w:tr>
      <w:tr w14:paraId="4F6559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958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676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AEA38">
            <w:pPr>
              <w:jc w:val="center"/>
            </w:pPr>
            <w:r>
              <w:rPr>
                <w:rFonts w:ascii="宋体" w:hAnsi="宋体" w:eastAsia="宋体"/>
                <w:sz w:val="16"/>
              </w:rPr>
              <w:t>泽普县全年重度污染平均天数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894AC">
            <w:pPr>
              <w:jc w:val="center"/>
            </w:pPr>
            <w:r>
              <w:rPr>
                <w:rFonts w:ascii="宋体" w:hAnsi="宋体" w:eastAsia="宋体"/>
                <w:sz w:val="16"/>
              </w:rPr>
              <w:t>&lt;=15天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7C585">
            <w:pPr>
              <w:jc w:val="center"/>
            </w:pPr>
            <w:r>
              <w:rPr>
                <w:rFonts w:ascii="宋体" w:hAnsi="宋体" w:eastAsia="宋体"/>
                <w:sz w:val="16"/>
              </w:rPr>
              <w:t>《喀什地区生态环境局泽普县分局2023年工作总结2024年工作计划》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4C9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A2775">
            <w:pPr>
              <w:jc w:val="center"/>
            </w:pPr>
            <w:r>
              <w:rPr>
                <w:rFonts w:ascii="宋体" w:hAnsi="宋体" w:eastAsia="宋体"/>
                <w:sz w:val="16"/>
              </w:rPr>
              <w:t>14天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3A6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3DD2">
            <w:pPr>
              <w:jc w:val="center"/>
            </w:pPr>
            <w:r>
              <w:rPr>
                <w:rFonts w:ascii="宋体" w:hAnsi="宋体" w:eastAsia="宋体"/>
                <w:sz w:val="16"/>
              </w:rPr>
              <w:t>20</w:t>
            </w:r>
          </w:p>
        </w:tc>
      </w:tr>
      <w:tr w14:paraId="7C2E0E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73EE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2FF9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892AA">
            <w:pPr>
              <w:jc w:val="center"/>
            </w:pPr>
            <w:r>
              <w:rPr>
                <w:rFonts w:ascii="宋体" w:hAnsi="宋体" w:eastAsia="宋体"/>
                <w:sz w:val="16"/>
              </w:rPr>
              <w:t>农村居民饮水安全保障率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227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05111">
            <w:pPr>
              <w:jc w:val="center"/>
            </w:pPr>
            <w:r>
              <w:rPr>
                <w:rFonts w:ascii="宋体" w:hAnsi="宋体" w:eastAsia="宋体"/>
                <w:sz w:val="16"/>
              </w:rPr>
              <w:t>《喀什地区生态环境局泽普县分局2023年工作总结2024年工作计划》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5ED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C87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095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FC962">
            <w:pPr>
              <w:jc w:val="center"/>
            </w:pPr>
            <w:r>
              <w:rPr>
                <w:rFonts w:ascii="宋体" w:hAnsi="宋体" w:eastAsia="宋体"/>
                <w:sz w:val="16"/>
              </w:rPr>
              <w:t>10</w:t>
            </w:r>
          </w:p>
        </w:tc>
      </w:tr>
      <w:tr w14:paraId="03BAA0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5F0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5E6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04C29">
            <w:pPr>
              <w:jc w:val="center"/>
            </w:pPr>
            <w:r>
              <w:rPr>
                <w:rFonts w:ascii="宋体" w:hAnsi="宋体" w:eastAsia="宋体"/>
                <w:sz w:val="16"/>
              </w:rPr>
              <w:t>县内企业治污设施正常运转率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C44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60122">
            <w:pPr>
              <w:jc w:val="center"/>
            </w:pPr>
            <w:r>
              <w:rPr>
                <w:rFonts w:ascii="宋体" w:hAnsi="宋体" w:eastAsia="宋体"/>
                <w:sz w:val="16"/>
              </w:rPr>
              <w:t>《喀什地区生态环境局泽普县分局2023年工作总结2024年工作计划》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798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8EB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C7A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C5E90">
            <w:pPr>
              <w:jc w:val="center"/>
            </w:pPr>
            <w:r>
              <w:rPr>
                <w:rFonts w:ascii="宋体" w:hAnsi="宋体" w:eastAsia="宋体"/>
                <w:sz w:val="16"/>
              </w:rPr>
              <w:t>10</w:t>
            </w:r>
          </w:p>
        </w:tc>
      </w:tr>
      <w:tr w14:paraId="775880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8A5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BAF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6C5A5">
            <w:pPr>
              <w:jc w:val="center"/>
            </w:pPr>
            <w:r>
              <w:rPr>
                <w:rFonts w:ascii="宋体" w:hAnsi="宋体" w:eastAsia="宋体"/>
                <w:sz w:val="16"/>
              </w:rPr>
              <w:t>生态环境监测完成率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14B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AEB0">
            <w:pPr>
              <w:jc w:val="center"/>
            </w:pPr>
            <w:r>
              <w:rPr>
                <w:rFonts w:ascii="宋体" w:hAnsi="宋体" w:eastAsia="宋体"/>
                <w:sz w:val="16"/>
              </w:rPr>
              <w:t>《喀什地区生态环境局泽普县分局2023年工作总结2024年工作计划》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392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B80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128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0014D">
            <w:pPr>
              <w:jc w:val="center"/>
            </w:pPr>
            <w:r>
              <w:rPr>
                <w:rFonts w:ascii="宋体" w:hAnsi="宋体" w:eastAsia="宋体"/>
                <w:sz w:val="16"/>
              </w:rPr>
              <w:t>10</w:t>
            </w:r>
          </w:p>
        </w:tc>
      </w:tr>
    </w:tbl>
    <w:p w14:paraId="25B93345">
      <w:r>
        <w:br w:type="page"/>
      </w:r>
    </w:p>
    <w:p w14:paraId="5540D9EE">
      <w:pPr>
        <w:spacing w:line="640" w:lineRule="exact"/>
        <w:ind w:firstLine="640"/>
        <w:jc w:val="both"/>
        <w:outlineLvl w:val="2"/>
      </w:pPr>
      <w:r>
        <w:rPr>
          <w:rFonts w:ascii="黑体" w:hAnsi="黑体" w:eastAsia="黑体"/>
          <w:sz w:val="32"/>
        </w:rPr>
        <w:t>十二、其他需说明的事项</w:t>
      </w:r>
    </w:p>
    <w:p w14:paraId="430495CA">
      <w:pPr>
        <w:spacing w:line="580" w:lineRule="exact"/>
        <w:ind w:firstLine="640"/>
        <w:jc w:val="both"/>
      </w:pPr>
      <w:r>
        <w:rPr>
          <w:rFonts w:ascii="仿宋_GB2312" w:hAnsi="仿宋_GB2312" w:eastAsia="仿宋_GB2312"/>
          <w:b w:val="0"/>
          <w:sz w:val="32"/>
        </w:rPr>
        <w:t>本单位无其他需说明的事项。</w:t>
      </w:r>
    </w:p>
    <w:p w14:paraId="3D8F4B6F">
      <w:r>
        <w:br w:type="page"/>
      </w:r>
    </w:p>
    <w:p w14:paraId="49AC44C7">
      <w:pPr>
        <w:spacing w:line="240" w:lineRule="auto"/>
        <w:jc w:val="center"/>
        <w:outlineLvl w:val="1"/>
      </w:pPr>
      <w:r>
        <w:rPr>
          <w:rFonts w:ascii="黑体" w:hAnsi="黑体" w:eastAsia="黑体"/>
          <w:sz w:val="32"/>
        </w:rPr>
        <w:t>第三部分 专业名词解释</w:t>
      </w:r>
    </w:p>
    <w:p w14:paraId="235B90E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4132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5811D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81B28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E9134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BBED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096DA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6D7F1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8989C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D746D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BFA0E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8BB58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4D457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38CB9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CE83E9">
      <w:r>
        <w:br w:type="page"/>
      </w:r>
    </w:p>
    <w:p w14:paraId="5AEC2AE3">
      <w:pPr>
        <w:spacing w:line="240" w:lineRule="auto"/>
        <w:jc w:val="center"/>
        <w:outlineLvl w:val="1"/>
      </w:pPr>
      <w:r>
        <w:rPr>
          <w:rFonts w:ascii="黑体" w:hAnsi="黑体" w:eastAsia="黑体"/>
          <w:sz w:val="32"/>
        </w:rPr>
        <w:t>第四部分 部门决算报表（见附表）</w:t>
      </w:r>
    </w:p>
    <w:p w14:paraId="04B9DCE2">
      <w:pPr>
        <w:spacing w:line="240" w:lineRule="auto"/>
        <w:ind w:firstLine="640"/>
        <w:jc w:val="both"/>
      </w:pPr>
      <w:r>
        <w:rPr>
          <w:rFonts w:ascii="仿宋_GB2312" w:hAnsi="仿宋_GB2312" w:eastAsia="仿宋_GB2312"/>
          <w:b w:val="0"/>
          <w:sz w:val="32"/>
        </w:rPr>
        <w:t>一、《收入支出决算总表》</w:t>
      </w:r>
    </w:p>
    <w:p w14:paraId="31B0F8B9">
      <w:pPr>
        <w:spacing w:line="240" w:lineRule="auto"/>
        <w:ind w:firstLine="640"/>
        <w:jc w:val="both"/>
      </w:pPr>
      <w:r>
        <w:rPr>
          <w:rFonts w:ascii="仿宋_GB2312" w:hAnsi="仿宋_GB2312" w:eastAsia="仿宋_GB2312"/>
          <w:b w:val="0"/>
          <w:sz w:val="32"/>
        </w:rPr>
        <w:t>二、《收入决算表》</w:t>
      </w:r>
    </w:p>
    <w:p w14:paraId="4BA3F5FC">
      <w:pPr>
        <w:spacing w:line="240" w:lineRule="auto"/>
        <w:ind w:firstLine="640"/>
        <w:jc w:val="both"/>
      </w:pPr>
      <w:r>
        <w:rPr>
          <w:rFonts w:ascii="仿宋_GB2312" w:hAnsi="仿宋_GB2312" w:eastAsia="仿宋_GB2312"/>
          <w:b w:val="0"/>
          <w:sz w:val="32"/>
        </w:rPr>
        <w:t>三、《支出决算表》</w:t>
      </w:r>
    </w:p>
    <w:p w14:paraId="0EF6E217">
      <w:pPr>
        <w:spacing w:line="240" w:lineRule="auto"/>
        <w:ind w:firstLine="640"/>
        <w:jc w:val="both"/>
      </w:pPr>
      <w:r>
        <w:rPr>
          <w:rFonts w:ascii="仿宋_GB2312" w:hAnsi="仿宋_GB2312" w:eastAsia="仿宋_GB2312"/>
          <w:b w:val="0"/>
          <w:sz w:val="32"/>
        </w:rPr>
        <w:t>四、《财政拨款收入支出决算总表》</w:t>
      </w:r>
    </w:p>
    <w:p w14:paraId="1F9A46C2">
      <w:pPr>
        <w:spacing w:line="240" w:lineRule="auto"/>
        <w:ind w:firstLine="640"/>
        <w:jc w:val="both"/>
      </w:pPr>
      <w:r>
        <w:rPr>
          <w:rFonts w:ascii="仿宋_GB2312" w:hAnsi="仿宋_GB2312" w:eastAsia="仿宋_GB2312"/>
          <w:b w:val="0"/>
          <w:sz w:val="32"/>
        </w:rPr>
        <w:t>五、《一般公共预算财政拨款支出决算表》</w:t>
      </w:r>
    </w:p>
    <w:p w14:paraId="46EAA6E1">
      <w:pPr>
        <w:spacing w:line="240" w:lineRule="auto"/>
        <w:ind w:firstLine="640"/>
        <w:jc w:val="both"/>
      </w:pPr>
      <w:r>
        <w:rPr>
          <w:rFonts w:ascii="仿宋_GB2312" w:hAnsi="仿宋_GB2312" w:eastAsia="仿宋_GB2312"/>
          <w:b w:val="0"/>
          <w:sz w:val="32"/>
        </w:rPr>
        <w:t>六、《一般公共预算财政拨款基本支出决算表》</w:t>
      </w:r>
    </w:p>
    <w:p w14:paraId="3B9B51A6">
      <w:pPr>
        <w:spacing w:line="240" w:lineRule="auto"/>
        <w:ind w:firstLine="640"/>
        <w:jc w:val="both"/>
      </w:pPr>
      <w:r>
        <w:rPr>
          <w:rFonts w:ascii="仿宋_GB2312" w:hAnsi="仿宋_GB2312" w:eastAsia="仿宋_GB2312"/>
          <w:b w:val="0"/>
          <w:sz w:val="32"/>
        </w:rPr>
        <w:t>七、《政府性基金预算财政拨款收入支出决算表》</w:t>
      </w:r>
    </w:p>
    <w:p w14:paraId="0398689F">
      <w:pPr>
        <w:spacing w:line="240" w:lineRule="auto"/>
        <w:ind w:firstLine="640"/>
        <w:jc w:val="both"/>
      </w:pPr>
      <w:r>
        <w:rPr>
          <w:rFonts w:ascii="仿宋_GB2312" w:hAnsi="仿宋_GB2312" w:eastAsia="仿宋_GB2312"/>
          <w:b w:val="0"/>
          <w:sz w:val="32"/>
        </w:rPr>
        <w:t>八、《国有资本经营预算财政拨款收入支出决算表》</w:t>
      </w:r>
    </w:p>
    <w:p w14:paraId="5F81E2F9">
      <w:pPr>
        <w:spacing w:line="240" w:lineRule="auto"/>
        <w:ind w:firstLine="640"/>
        <w:jc w:val="both"/>
      </w:pPr>
      <w:r>
        <w:rPr>
          <w:rFonts w:ascii="仿宋_GB2312" w:hAnsi="仿宋_GB2312" w:eastAsia="仿宋_GB2312"/>
          <w:b w:val="0"/>
          <w:sz w:val="32"/>
        </w:rPr>
        <w:t>九、《财政拨款“三公”经费支出决算表》</w:t>
      </w:r>
    </w:p>
    <w:p w14:paraId="57D5775C">
      <w:pPr>
        <w:spacing w:line="240" w:lineRule="auto"/>
        <w:ind w:firstLine="640"/>
        <w:jc w:val="both"/>
      </w:pPr>
    </w:p>
    <w:p w14:paraId="349F3546">
      <w:pPr>
        <w:spacing w:line="240" w:lineRule="auto"/>
        <w:ind w:firstLine="640"/>
        <w:jc w:val="both"/>
      </w:pPr>
    </w:p>
    <w:p w14:paraId="69C4A7A2">
      <w:pPr>
        <w:spacing w:line="240" w:lineRule="auto"/>
        <w:ind w:firstLine="640"/>
        <w:jc w:val="both"/>
      </w:pPr>
    </w:p>
    <w:p w14:paraId="73B5FB26">
      <w:pPr>
        <w:spacing w:line="240" w:lineRule="auto"/>
        <w:ind w:firstLine="640"/>
        <w:jc w:val="both"/>
      </w:pPr>
    </w:p>
    <w:p w14:paraId="1AC40D5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6F95733"/>
    <w:rsid w:val="583059FA"/>
    <w:rsid w:val="587E6212"/>
    <w:rsid w:val="5ABB6664"/>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4705</Words>
  <Characters>5356</Characters>
  <Lines>0</Lines>
  <Paragraphs>0</Paragraphs>
  <TotalTime>1</TotalTime>
  <ScaleCrop>false</ScaleCrop>
  <LinksUpToDate>false</LinksUpToDate>
  <CharactersWithSpaces>5364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