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0ECB12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喀什地区生态环境局疏勒县分局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956276C">
      <w:r>
        <w:br w:type="page"/>
      </w:r>
    </w:p>
    <w:p w14:paraId="6ED64A24">
      <w:pPr>
        <w:spacing w:line="640" w:lineRule="exact"/>
        <w:jc w:val="center"/>
        <w:outlineLvl w:val="1"/>
      </w:pPr>
      <w:r>
        <w:rPr>
          <w:rFonts w:ascii="黑体" w:hAnsi="黑体" w:eastAsia="黑体"/>
          <w:sz w:val="32"/>
        </w:rPr>
        <w:t>第一部分 单位概况</w:t>
      </w:r>
    </w:p>
    <w:p w14:paraId="426C82DA">
      <w:pPr>
        <w:spacing w:line="640" w:lineRule="exact"/>
        <w:ind w:firstLine="640"/>
        <w:jc w:val="both"/>
        <w:outlineLvl w:val="2"/>
      </w:pPr>
      <w:r>
        <w:rPr>
          <w:rFonts w:ascii="黑体" w:hAnsi="黑体" w:eastAsia="黑体"/>
          <w:sz w:val="32"/>
        </w:rPr>
        <w:t>一、主要职能</w:t>
      </w:r>
    </w:p>
    <w:p w14:paraId="51EB5754">
      <w:pPr>
        <w:spacing w:line="580" w:lineRule="exact"/>
        <w:ind w:firstLine="640"/>
        <w:jc w:val="both"/>
      </w:pPr>
      <w:r>
        <w:rPr>
          <w:rFonts w:ascii="仿宋_GB2312" w:hAnsi="仿宋_GB2312" w:eastAsia="仿宋_GB2312"/>
          <w:sz w:val="32"/>
        </w:rPr>
        <w:t>⑴贯彻执行国家、省、市关于环境保护的政策、规划、法律、法规；组织编制全县环境功能区划；组织拟订并监督实施全县重点区域、流域污染防治规划和饮用水水源地环境保护规划。</w:t>
      </w:r>
    </w:p>
    <w:p w14:paraId="17014DED">
      <w:pPr>
        <w:spacing w:line="580" w:lineRule="exact"/>
        <w:ind w:firstLine="640"/>
        <w:jc w:val="both"/>
      </w:pPr>
      <w:r>
        <w:rPr>
          <w:rFonts w:ascii="仿宋_GB2312" w:hAnsi="仿宋_GB2312" w:eastAsia="仿宋_GB2312"/>
          <w:sz w:val="32"/>
        </w:rPr>
        <w:t>⑵牵头协调全县重特大环境污染事故和生态破坏事件的调查处理；指导协调各乡(镇)政府和开发区管委会对重特大突发环境事件的应急、预警工作；负责统筹、协调、监督全县重点区域、流域污染防治工作。</w:t>
      </w:r>
    </w:p>
    <w:p w14:paraId="2DB09062">
      <w:pPr>
        <w:spacing w:line="580" w:lineRule="exact"/>
        <w:ind w:firstLine="640"/>
        <w:jc w:val="both"/>
      </w:pPr>
      <w:r>
        <w:rPr>
          <w:rFonts w:ascii="仿宋_GB2312" w:hAnsi="仿宋_GB2312" w:eastAsia="仿宋_GB2312"/>
          <w:sz w:val="32"/>
        </w:rPr>
        <w:t>⑶组织拟订全县主要污染物排放总量控制制度，贯彻落实排污许可证发放相关制度，负责监督全县污染物减排任务完成情况；组织实施全县环境保护目标责任制和污染物总量减排考核工作。</w:t>
      </w:r>
    </w:p>
    <w:p w14:paraId="53C1FA2E">
      <w:pPr>
        <w:spacing w:line="580" w:lineRule="exact"/>
        <w:ind w:firstLine="640"/>
        <w:jc w:val="both"/>
      </w:pPr>
      <w:r>
        <w:rPr>
          <w:rFonts w:ascii="仿宋_GB2312" w:hAnsi="仿宋_GB2312" w:eastAsia="仿宋_GB2312"/>
          <w:sz w:val="32"/>
        </w:rPr>
        <w:t>⑷负责提出全县环境保护领域地方财政专项资金安排意见或建议，并配合有关部门做好组织实施和监督工作；参与指导和推动全县循环经济和环境保护产业发展。</w:t>
      </w:r>
    </w:p>
    <w:p w14:paraId="04810708">
      <w:pPr>
        <w:spacing w:line="580" w:lineRule="exact"/>
        <w:ind w:firstLine="640"/>
        <w:jc w:val="both"/>
      </w:pPr>
      <w:r>
        <w:rPr>
          <w:rFonts w:ascii="仿宋_GB2312" w:hAnsi="仿宋_GB2312" w:eastAsia="仿宋_GB2312"/>
          <w:sz w:val="32"/>
        </w:rPr>
        <w:t>⑸承担从源头上预防、控制环境污染和环境破坏的责任。受县政府委托对重大经济和技术政策、发展规划以及重大经济开发计划提出环境保护意见，对涉及环境保护的法律、法规草案提出有关环境影响方面的意见；按相关规定审批开发建设区域、项目环境影响评价文件。</w:t>
      </w:r>
    </w:p>
    <w:p w14:paraId="37C5DBEB">
      <w:pPr>
        <w:spacing w:line="580" w:lineRule="exact"/>
        <w:ind w:firstLine="640"/>
        <w:jc w:val="both"/>
      </w:pPr>
      <w:r>
        <w:rPr>
          <w:rFonts w:ascii="仿宋_GB2312" w:hAnsi="仿宋_GB2312" w:eastAsia="仿宋_GB2312"/>
          <w:sz w:val="32"/>
        </w:rPr>
        <w:t>⑹贯彻落实环境监测制度和规范，组织实施环境质量监测和污染源监督性监测。组织对全县环境质量状况进行调查评估、预测预警；组织建设和管理全县环境监测网和环境信息网，发布全县环境综合性报告和重大环境信息；负责对全县污水处理运营的监督管理。</w:t>
      </w:r>
    </w:p>
    <w:p w14:paraId="33EA13EE">
      <w:pPr>
        <w:spacing w:line="580" w:lineRule="exact"/>
        <w:ind w:firstLine="640"/>
        <w:jc w:val="both"/>
      </w:pPr>
      <w:r>
        <w:rPr>
          <w:rFonts w:ascii="仿宋_GB2312" w:hAnsi="仿宋_GB2312" w:eastAsia="仿宋_GB2312"/>
          <w:sz w:val="32"/>
        </w:rPr>
        <w:t>⑺开展环境保护科技工作，组织全县环境保护重大科学研究和技术工程示范，推动环境技术管理体系建设。</w:t>
      </w:r>
    </w:p>
    <w:p w14:paraId="5FD5AD62">
      <w:pPr>
        <w:spacing w:line="580" w:lineRule="exact"/>
        <w:ind w:firstLine="640"/>
        <w:jc w:val="both"/>
      </w:pPr>
      <w:r>
        <w:rPr>
          <w:rFonts w:ascii="仿宋_GB2312" w:hAnsi="仿宋_GB2312" w:eastAsia="仿宋_GB2312"/>
          <w:sz w:val="32"/>
        </w:rPr>
        <w:t>⑻组织全县环境保护宣传教育工作；组织开展生态文明建设和环境友好型社会建设的有关宣传教育工作；推动社会公众和社会组织参与环境保护。</w:t>
      </w:r>
    </w:p>
    <w:p w14:paraId="3E257F77">
      <w:pPr>
        <w:spacing w:line="580" w:lineRule="exact"/>
        <w:ind w:firstLine="640"/>
        <w:jc w:val="both"/>
      </w:pPr>
      <w:r>
        <w:rPr>
          <w:rFonts w:ascii="仿宋_GB2312" w:hAnsi="仿宋_GB2312" w:eastAsia="仿宋_GB2312"/>
          <w:sz w:val="32"/>
        </w:rPr>
        <w:t>⑼承办县政府交办的其他事项。</w:t>
      </w:r>
    </w:p>
    <w:p w14:paraId="45409FE8">
      <w:pPr>
        <w:spacing w:line="640" w:lineRule="exact"/>
        <w:ind w:firstLine="640"/>
        <w:jc w:val="both"/>
        <w:outlineLvl w:val="2"/>
      </w:pPr>
      <w:r>
        <w:rPr>
          <w:rFonts w:ascii="黑体" w:hAnsi="黑体" w:eastAsia="黑体"/>
          <w:sz w:val="32"/>
        </w:rPr>
        <w:t>二、机构设置及人员情况</w:t>
      </w:r>
    </w:p>
    <w:p w14:paraId="32659B65">
      <w:pPr>
        <w:spacing w:line="580" w:lineRule="exact"/>
        <w:ind w:firstLine="640"/>
        <w:jc w:val="both"/>
      </w:pPr>
      <w:r>
        <w:rPr>
          <w:rFonts w:ascii="仿宋_GB2312" w:hAnsi="仿宋_GB2312" w:eastAsia="仿宋_GB2312"/>
          <w:sz w:val="32"/>
        </w:rPr>
        <w:t>喀什地区生态环境局疏勒县分局2024年度，实有人数11人，其中：在职人员11人，减少1人；离休人员0人，增加0人；退休人员0人,减少3人。</w:t>
      </w:r>
    </w:p>
    <w:p w14:paraId="0E5390FA">
      <w:pPr>
        <w:spacing w:line="580" w:lineRule="exact"/>
        <w:ind w:firstLine="640"/>
        <w:jc w:val="both"/>
      </w:pPr>
      <w:r>
        <w:rPr>
          <w:rFonts w:ascii="仿宋_GB2312" w:hAnsi="仿宋_GB2312" w:eastAsia="仿宋_GB2312"/>
          <w:sz w:val="32"/>
        </w:rPr>
        <w:t>喀什地区生态环境局疏勒县分局无下属预算单位，下设2个科室，分别是：办公室、综合办公室。</w:t>
      </w:r>
    </w:p>
    <w:p w14:paraId="098234B2">
      <w:r>
        <w:br w:type="page"/>
      </w:r>
    </w:p>
    <w:p w14:paraId="7C2AD4A2">
      <w:pPr>
        <w:spacing w:line="240" w:lineRule="auto"/>
        <w:jc w:val="center"/>
        <w:outlineLvl w:val="1"/>
      </w:pPr>
      <w:r>
        <w:rPr>
          <w:rFonts w:ascii="黑体" w:hAnsi="黑体" w:eastAsia="黑体"/>
          <w:sz w:val="32"/>
        </w:rPr>
        <w:t>第二部分 部门决算情况说明</w:t>
      </w:r>
    </w:p>
    <w:p w14:paraId="3880F68F">
      <w:pPr>
        <w:spacing w:line="640" w:lineRule="exact"/>
        <w:ind w:firstLine="640"/>
        <w:jc w:val="both"/>
        <w:outlineLvl w:val="2"/>
      </w:pPr>
      <w:r>
        <w:rPr>
          <w:rFonts w:ascii="黑体" w:hAnsi="黑体" w:eastAsia="黑体"/>
          <w:sz w:val="32"/>
        </w:rPr>
        <w:t>一、收入支出决算总体情况说明</w:t>
      </w:r>
    </w:p>
    <w:p w14:paraId="53196846">
      <w:pPr>
        <w:spacing w:line="580" w:lineRule="exact"/>
        <w:ind w:firstLine="640"/>
        <w:jc w:val="both"/>
      </w:pPr>
      <w:r>
        <w:rPr>
          <w:rFonts w:ascii="仿宋_GB2312" w:hAnsi="仿宋_GB2312" w:eastAsia="仿宋_GB2312"/>
          <w:b/>
          <w:sz w:val="32"/>
        </w:rPr>
        <w:t>2024年度收入总计214.52万元，</w:t>
      </w:r>
      <w:r>
        <w:rPr>
          <w:rFonts w:ascii="仿宋_GB2312" w:hAnsi="仿宋_GB2312" w:eastAsia="仿宋_GB2312"/>
          <w:b w:val="0"/>
          <w:sz w:val="32"/>
        </w:rPr>
        <w:t>其中：本年收入合计214.52万元，使用非财政拨款结余（含专用结余）0.00万元，年初结转和结余0.00万元。</w:t>
      </w:r>
    </w:p>
    <w:p w14:paraId="1723BBC1">
      <w:pPr>
        <w:spacing w:line="580" w:lineRule="exact"/>
        <w:ind w:firstLine="640"/>
        <w:jc w:val="both"/>
      </w:pPr>
      <w:r>
        <w:rPr>
          <w:rFonts w:ascii="仿宋_GB2312" w:hAnsi="仿宋_GB2312" w:eastAsia="仿宋_GB2312"/>
          <w:b/>
          <w:sz w:val="32"/>
        </w:rPr>
        <w:t>2024年度支出总计214.52万元，</w:t>
      </w:r>
      <w:r>
        <w:rPr>
          <w:rFonts w:ascii="仿宋_GB2312" w:hAnsi="仿宋_GB2312" w:eastAsia="仿宋_GB2312"/>
          <w:b w:val="0"/>
          <w:sz w:val="32"/>
        </w:rPr>
        <w:t>其中：本年支出合计214.52万元，结余分配0.00万元，年末结转和结余0.00万元。</w:t>
      </w:r>
    </w:p>
    <w:p w14:paraId="2B91A20C">
      <w:pPr>
        <w:spacing w:line="580" w:lineRule="exact"/>
        <w:ind w:firstLine="640"/>
        <w:jc w:val="both"/>
      </w:pPr>
      <w:r>
        <w:rPr>
          <w:rFonts w:ascii="仿宋_GB2312" w:hAnsi="仿宋_GB2312" w:eastAsia="仿宋_GB2312"/>
          <w:b w:val="0"/>
          <w:sz w:val="32"/>
        </w:rPr>
        <w:t>收入支出总体与上年相比，减少305.28万元，下降58.73%，主要原因是：本年减少聘用人员工资经费，其他工资福利支出减少，减少疏勒县2023年重点生态功能区、疏勒县重点生态领域等项目经费，导致相关经费减少。</w:t>
      </w:r>
    </w:p>
    <w:p w14:paraId="584E1D6C">
      <w:pPr>
        <w:spacing w:line="640" w:lineRule="exact"/>
        <w:ind w:firstLine="640"/>
        <w:jc w:val="both"/>
        <w:outlineLvl w:val="2"/>
      </w:pPr>
      <w:r>
        <w:rPr>
          <w:rFonts w:ascii="黑体" w:hAnsi="黑体" w:eastAsia="黑体"/>
          <w:sz w:val="32"/>
        </w:rPr>
        <w:t>二、收入决算情况说明</w:t>
      </w:r>
    </w:p>
    <w:p w14:paraId="077CAEF4">
      <w:pPr>
        <w:spacing w:line="580" w:lineRule="exact"/>
        <w:ind w:firstLine="640"/>
        <w:jc w:val="both"/>
      </w:pPr>
      <w:r>
        <w:rPr>
          <w:rFonts w:ascii="仿宋_GB2312" w:hAnsi="仿宋_GB2312" w:eastAsia="仿宋_GB2312"/>
          <w:b/>
          <w:sz w:val="32"/>
        </w:rPr>
        <w:t>本年收入214.52万元，</w:t>
      </w:r>
      <w:r>
        <w:rPr>
          <w:rFonts w:ascii="仿宋_GB2312" w:hAnsi="仿宋_GB2312" w:eastAsia="仿宋_GB2312"/>
          <w:b w:val="0"/>
          <w:sz w:val="32"/>
        </w:rPr>
        <w:t>其中：财政拨款收入214.52万元，占100.00%；上级补助收入0.00万元，占0.00%；事业收入0.00万元，占0.00%；经营收入0.00万元，占0.00%；附属单位上缴收入0.00万元，占0.00%；其他收入0.00万元，占0.00%。</w:t>
      </w:r>
    </w:p>
    <w:p w14:paraId="1AB64C48">
      <w:pPr>
        <w:spacing w:line="640" w:lineRule="exact"/>
        <w:ind w:firstLine="640"/>
        <w:jc w:val="both"/>
        <w:outlineLvl w:val="2"/>
      </w:pPr>
      <w:r>
        <w:rPr>
          <w:rFonts w:ascii="黑体" w:hAnsi="黑体" w:eastAsia="黑体"/>
          <w:sz w:val="32"/>
        </w:rPr>
        <w:t>三、支出决算情况说明</w:t>
      </w:r>
    </w:p>
    <w:p w14:paraId="34C14759">
      <w:pPr>
        <w:spacing w:line="580" w:lineRule="exact"/>
        <w:ind w:firstLine="640"/>
        <w:jc w:val="both"/>
      </w:pPr>
      <w:r>
        <w:rPr>
          <w:rFonts w:ascii="仿宋_GB2312" w:hAnsi="仿宋_GB2312" w:eastAsia="仿宋_GB2312"/>
          <w:b/>
          <w:sz w:val="32"/>
        </w:rPr>
        <w:t>本年支出214.52万元，</w:t>
      </w:r>
      <w:r>
        <w:rPr>
          <w:rFonts w:ascii="仿宋_GB2312" w:hAnsi="仿宋_GB2312" w:eastAsia="仿宋_GB2312"/>
          <w:b w:val="0"/>
          <w:sz w:val="32"/>
        </w:rPr>
        <w:t>其中：基本支出214.52万元，占100.00%；项目支出0.00万元，占0.00%；上缴上级支出0.00万元，占0.00%；经营支出0.00万元，占0.00%；对附属单位补助支出0.00万元，占0.00%。</w:t>
      </w:r>
    </w:p>
    <w:p w14:paraId="409FE938">
      <w:pPr>
        <w:spacing w:line="640" w:lineRule="exact"/>
        <w:ind w:firstLine="640"/>
        <w:jc w:val="both"/>
        <w:outlineLvl w:val="2"/>
      </w:pPr>
      <w:r>
        <w:rPr>
          <w:rFonts w:ascii="黑体" w:hAnsi="黑体" w:eastAsia="黑体"/>
          <w:sz w:val="32"/>
        </w:rPr>
        <w:t>四、财政拨款收入支出决算总体情况说明</w:t>
      </w:r>
    </w:p>
    <w:p w14:paraId="203439D4">
      <w:pPr>
        <w:spacing w:line="580" w:lineRule="exact"/>
        <w:ind w:firstLine="640"/>
        <w:jc w:val="both"/>
      </w:pPr>
      <w:r>
        <w:rPr>
          <w:rFonts w:ascii="仿宋_GB2312" w:hAnsi="仿宋_GB2312" w:eastAsia="仿宋_GB2312"/>
          <w:b/>
          <w:sz w:val="32"/>
        </w:rPr>
        <w:t>2024年度财政拨款收入总计214.52万元，</w:t>
      </w:r>
      <w:r>
        <w:rPr>
          <w:rFonts w:ascii="仿宋_GB2312" w:hAnsi="仿宋_GB2312" w:eastAsia="仿宋_GB2312"/>
          <w:b w:val="0"/>
          <w:sz w:val="32"/>
        </w:rPr>
        <w:t>其中：年初财政拨款结转和结余0.00万元，本年财政拨款收入214.52万元。</w:t>
      </w:r>
      <w:r>
        <w:rPr>
          <w:rFonts w:ascii="仿宋_GB2312" w:hAnsi="仿宋_GB2312" w:eastAsia="仿宋_GB2312"/>
          <w:b/>
          <w:sz w:val="32"/>
        </w:rPr>
        <w:t>财政拨款支出总计214.52万元，</w:t>
      </w:r>
      <w:r>
        <w:rPr>
          <w:rFonts w:ascii="仿宋_GB2312" w:hAnsi="仿宋_GB2312" w:eastAsia="仿宋_GB2312"/>
          <w:b w:val="0"/>
          <w:sz w:val="32"/>
        </w:rPr>
        <w:t>其中：年末财政拨款结转和结余0.00万元，本年财政拨款支出214.52万元。</w:t>
      </w:r>
    </w:p>
    <w:p w14:paraId="1E5CD34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减少305.28万元，下降58.73%，主要原因是：本年减少聘用人员工资经费，其他工资福利支出减少，减少疏勒县2023年重点生态功能区、疏勒县重点生态领域等项目经费，导致相关经费减少。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年初预算数234.69万元，决算数214.52万元，预决算差异率-8.59%，主要原因是：因单位涉改，涉改前原退休人员转入县财政支付其相关费用，年中调减行政离退休经费，导致预决算差异。</w:t>
      </w:r>
    </w:p>
    <w:p w14:paraId="7E768EA9">
      <w:pPr>
        <w:spacing w:line="640" w:lineRule="exact"/>
        <w:ind w:firstLine="640"/>
        <w:jc w:val="both"/>
        <w:outlineLvl w:val="2"/>
      </w:pPr>
      <w:r>
        <w:rPr>
          <w:rFonts w:ascii="黑体" w:hAnsi="黑体" w:eastAsia="黑体"/>
          <w:sz w:val="32"/>
        </w:rPr>
        <w:t>五、一般公共预算财政拨款支出决算情况说明</w:t>
      </w:r>
    </w:p>
    <w:p w14:paraId="2A3D60C5">
      <w:pPr>
        <w:spacing w:line="640" w:lineRule="exact"/>
        <w:ind w:firstLine="640"/>
        <w:jc w:val="both"/>
        <w:outlineLvl w:val="3"/>
      </w:pPr>
      <w:r>
        <w:rPr>
          <w:rFonts w:ascii="楷体_GB2312" w:hAnsi="楷体_GB2312" w:eastAsia="楷体_GB2312"/>
          <w:b/>
          <w:sz w:val="32"/>
        </w:rPr>
        <w:t>（一）一般公共预算财政拨款支出决算总体情况</w:t>
      </w:r>
    </w:p>
    <w:p w14:paraId="19A2D068">
      <w:pPr>
        <w:spacing w:line="580" w:lineRule="exact"/>
        <w:ind w:firstLine="640"/>
        <w:jc w:val="both"/>
      </w:pPr>
      <w:r>
        <w:rPr>
          <w:rFonts w:ascii="仿宋_GB2312" w:hAnsi="仿宋_GB2312" w:eastAsia="仿宋_GB2312"/>
          <w:b/>
          <w:sz w:val="32"/>
        </w:rPr>
        <w:t>2024年度一般公共预算财政拨款支出214.52万元，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减少305.28万元，下降58.73%，主要原因是：本年减少聘用人员工资经费，其他工资福利支出减少，减少疏勒县2023年重点生态功能区、疏勒县重点生态领域等项目经费，导致相关经费减少。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年初预算数234.69万元，决算数214.52万元，预决算差异率-8.59%，主要原因是：因单位涉改，涉改前原退休人员转入县财政支付其相关费用，年中调减行政离退休经费，导致预决算差异。</w:t>
      </w:r>
    </w:p>
    <w:p w14:paraId="042D75AD">
      <w:pPr>
        <w:spacing w:line="640" w:lineRule="exact"/>
        <w:ind w:firstLine="640"/>
        <w:jc w:val="both"/>
        <w:outlineLvl w:val="3"/>
      </w:pPr>
      <w:r>
        <w:rPr>
          <w:rFonts w:ascii="楷体_GB2312" w:hAnsi="楷体_GB2312" w:eastAsia="楷体_GB2312"/>
          <w:b/>
          <w:sz w:val="32"/>
        </w:rPr>
        <w:t>（二）一般公共预算财政拨款支出决算结构情况</w:t>
      </w:r>
    </w:p>
    <w:p w14:paraId="7DA76BCF">
      <w:pPr>
        <w:spacing w:line="580" w:lineRule="exact"/>
        <w:ind w:firstLine="640"/>
        <w:jc w:val="both"/>
      </w:pPr>
      <w:r>
        <w:rPr>
          <w:rFonts w:ascii="仿宋_GB2312" w:hAnsi="仿宋_GB2312" w:eastAsia="仿宋_GB2312"/>
          <w:b w:val="0"/>
          <w:sz w:val="32"/>
        </w:rPr>
        <w:t>1.社会保障和就业支出(类)21.79万元,占10.16%。</w:t>
      </w:r>
    </w:p>
    <w:p w14:paraId="034E5D3F">
      <w:pPr>
        <w:spacing w:line="580" w:lineRule="exact"/>
        <w:ind w:firstLine="640"/>
        <w:jc w:val="both"/>
      </w:pPr>
      <w:r>
        <w:rPr>
          <w:rFonts w:ascii="仿宋_GB2312" w:hAnsi="仿宋_GB2312" w:eastAsia="仿宋_GB2312"/>
          <w:b w:val="0"/>
          <w:sz w:val="32"/>
        </w:rPr>
        <w:t>2.卫生健康支出(类)10.66万元,占4.97%。</w:t>
      </w:r>
    </w:p>
    <w:p w14:paraId="35495715">
      <w:pPr>
        <w:spacing w:line="580" w:lineRule="exact"/>
        <w:ind w:firstLine="640"/>
        <w:jc w:val="both"/>
      </w:pPr>
      <w:r>
        <w:rPr>
          <w:rFonts w:ascii="仿宋_GB2312" w:hAnsi="仿宋_GB2312" w:eastAsia="仿宋_GB2312"/>
          <w:b w:val="0"/>
          <w:sz w:val="32"/>
        </w:rPr>
        <w:t>3.节能环保支出(类)164.86万元,占76.85%。</w:t>
      </w:r>
    </w:p>
    <w:p w14:paraId="735F9E95">
      <w:pPr>
        <w:spacing w:line="580" w:lineRule="exact"/>
        <w:ind w:firstLine="640"/>
        <w:jc w:val="both"/>
      </w:pPr>
      <w:r>
        <w:rPr>
          <w:rFonts w:ascii="仿宋_GB2312" w:hAnsi="仿宋_GB2312" w:eastAsia="仿宋_GB2312"/>
          <w:b w:val="0"/>
          <w:sz w:val="32"/>
        </w:rPr>
        <w:t>4.住房保障支出(类)17.21万元,占8.02%。</w:t>
      </w:r>
    </w:p>
    <w:p w14:paraId="416AFC86">
      <w:pPr>
        <w:spacing w:line="640" w:lineRule="exact"/>
        <w:ind w:firstLine="640"/>
        <w:jc w:val="both"/>
        <w:outlineLvl w:val="3"/>
      </w:pPr>
      <w:r>
        <w:rPr>
          <w:rFonts w:ascii="楷体_GB2312" w:hAnsi="楷体_GB2312" w:eastAsia="楷体_GB2312"/>
          <w:b/>
          <w:sz w:val="32"/>
        </w:rPr>
        <w:t>（三）一般公共预算财政拨款支出决算具体情况</w:t>
      </w:r>
    </w:p>
    <w:p w14:paraId="0E9B3881">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0.00万元，比上年决算减少3.31万元，下降100.00%,主要原因是：因单位涉改，涉改前原退休人员转入县财政支付其相关费用，行政离退休经费较上年减少。</w:t>
      </w:r>
    </w:p>
    <w:p w14:paraId="7316843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21.79万元，比上年决算增加4.42万元，增长25.45%,主要原因是：本年在职人员工资基数调增，养老缴费基数上涨，相应支出增加。</w:t>
      </w:r>
    </w:p>
    <w:p w14:paraId="73D26B70">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7.53万元，下降100.00%,主要原因是：本年无新增退休人员、调出人员，导致职业年金缴费较上年减少。</w:t>
      </w:r>
    </w:p>
    <w:p w14:paraId="390C019C">
      <w:pPr>
        <w:spacing w:line="580" w:lineRule="exact"/>
        <w:ind w:firstLine="640"/>
        <w:jc w:val="both"/>
      </w:pPr>
      <w:r>
        <w:rPr>
          <w:rFonts w:ascii="仿宋_GB2312" w:hAnsi="仿宋_GB2312" w:eastAsia="仿宋_GB2312"/>
          <w:b w:val="0"/>
          <w:sz w:val="32"/>
        </w:rPr>
        <w:t>4.卫生健康支出(类)行政事业单位医疗(款)行政单位医疗(项):支出决算数为9.26万元，比上年决算增加1.62万元，增长21.20%,主要原因是：本年在职人员工资基数调增，医疗缴费基数上涨，相应支出增加。</w:t>
      </w:r>
    </w:p>
    <w:p w14:paraId="7A123C96">
      <w:pPr>
        <w:spacing w:line="580" w:lineRule="exact"/>
        <w:ind w:firstLine="640"/>
        <w:jc w:val="both"/>
      </w:pPr>
      <w:r>
        <w:rPr>
          <w:rFonts w:ascii="仿宋_GB2312" w:hAnsi="仿宋_GB2312" w:eastAsia="仿宋_GB2312"/>
          <w:b w:val="0"/>
          <w:sz w:val="32"/>
        </w:rPr>
        <w:t>5.卫生健康支出(类)行政事业单位医疗(款)公务员医疗补助(项):支出决算数为1.40万元，比上年决算增加0.10万元，增长7.69%,主要原因是：本年在职人员工资基数调增，医疗缴费基数上涨，相应支出增加。</w:t>
      </w:r>
    </w:p>
    <w:p w14:paraId="371FAF2A">
      <w:pPr>
        <w:spacing w:line="580" w:lineRule="exact"/>
        <w:ind w:firstLine="640"/>
        <w:jc w:val="both"/>
      </w:pPr>
      <w:r>
        <w:rPr>
          <w:rFonts w:ascii="仿宋_GB2312" w:hAnsi="仿宋_GB2312" w:eastAsia="仿宋_GB2312"/>
          <w:b w:val="0"/>
          <w:sz w:val="32"/>
        </w:rPr>
        <w:t>6.节能环保支出(类)环境保护管理事务(款)行政运行(项):支出决算数为164.86万元，比上年决算减少45.09万元，下降21.48%,主要原因是：本年减少聘用人员工资经费，其他工资福利支出减少，导致相关经费减少。</w:t>
      </w:r>
    </w:p>
    <w:p w14:paraId="2E8C19CF">
      <w:pPr>
        <w:spacing w:line="580" w:lineRule="exact"/>
        <w:ind w:firstLine="640"/>
        <w:jc w:val="both"/>
      </w:pPr>
      <w:r>
        <w:rPr>
          <w:rFonts w:ascii="仿宋_GB2312" w:hAnsi="仿宋_GB2312" w:eastAsia="仿宋_GB2312"/>
          <w:b w:val="0"/>
          <w:sz w:val="32"/>
        </w:rPr>
        <w:t>7.节能环保支出(类)环境保护管理事务(款)生态环境保护宣传(项):支出决算数为0.00万元，比上年决算减少9.93万元，下降100.00%,主要原因是：本年减少疏勒县2023年重点生态功能区项目经费，导致相关经费减少。</w:t>
      </w:r>
    </w:p>
    <w:p w14:paraId="57F0A5A6">
      <w:pPr>
        <w:spacing w:line="580" w:lineRule="exact"/>
        <w:ind w:firstLine="640"/>
        <w:jc w:val="both"/>
      </w:pPr>
      <w:r>
        <w:rPr>
          <w:rFonts w:ascii="仿宋_GB2312" w:hAnsi="仿宋_GB2312" w:eastAsia="仿宋_GB2312"/>
          <w:b w:val="0"/>
          <w:sz w:val="32"/>
        </w:rPr>
        <w:t>8.节能环保支出(类)环境监测与监察(款)其他环境监测与监察支出(项):支出决算数为0.00万元，比上年决算减少240.10万元，下降100.00%,主要原因是：本年减少疏勒县2023年重点生态功能区、疏勒县重点生态领域等项目经费，导致相关经费减少。</w:t>
      </w:r>
    </w:p>
    <w:p w14:paraId="4B02C6FD">
      <w:pPr>
        <w:spacing w:line="580" w:lineRule="exact"/>
        <w:ind w:firstLine="640"/>
        <w:jc w:val="both"/>
      </w:pPr>
      <w:r>
        <w:rPr>
          <w:rFonts w:ascii="仿宋_GB2312" w:hAnsi="仿宋_GB2312" w:eastAsia="仿宋_GB2312"/>
          <w:b w:val="0"/>
          <w:sz w:val="32"/>
        </w:rPr>
        <w:t>9.农林水支出(类)农业农村(款)其他农业农村支出(项):支出决算数为0.00万元，比上年决算减少8.89万元，下降100.00%,主要原因是：本年减少民办实事工作经费，导致相关经费减少。</w:t>
      </w:r>
    </w:p>
    <w:p w14:paraId="685BDFC7">
      <w:pPr>
        <w:spacing w:line="580" w:lineRule="exact"/>
        <w:ind w:firstLine="640"/>
        <w:jc w:val="both"/>
      </w:pPr>
      <w:r>
        <w:rPr>
          <w:rFonts w:ascii="仿宋_GB2312" w:hAnsi="仿宋_GB2312" w:eastAsia="仿宋_GB2312"/>
          <w:b w:val="0"/>
          <w:sz w:val="32"/>
        </w:rPr>
        <w:t>10.住房保障支出(类)住房改革支出(款)住房公积金(项):支出决算数为17.21万元，比上年决算增加3.44万元，增长24.98%,主要原因是：本年在职人员工资基数调增，公积金缴费基数上涨，相应支出增加。</w:t>
      </w:r>
    </w:p>
    <w:p w14:paraId="0F65EDA5">
      <w:pPr>
        <w:spacing w:line="640" w:lineRule="exact"/>
        <w:ind w:firstLine="640"/>
        <w:jc w:val="both"/>
        <w:outlineLvl w:val="2"/>
      </w:pPr>
      <w:r>
        <w:rPr>
          <w:rFonts w:ascii="黑体" w:hAnsi="黑体" w:eastAsia="黑体"/>
          <w:sz w:val="32"/>
        </w:rPr>
        <w:t>六、一般公共预算财政拨款基本支出决算情况说明</w:t>
      </w:r>
    </w:p>
    <w:p w14:paraId="6EBE49AC">
      <w:pPr>
        <w:spacing w:line="580" w:lineRule="exact"/>
        <w:ind w:firstLine="640"/>
        <w:jc w:val="both"/>
      </w:pPr>
      <w:r>
        <w:rPr>
          <w:rFonts w:ascii="仿宋_GB2312" w:hAnsi="仿宋_GB2312" w:eastAsia="仿宋_GB2312"/>
          <w:b w:val="0"/>
          <w:sz w:val="32"/>
        </w:rPr>
        <w:t>2024年度一般公共预算财政拨款基本支出214.52万元，其中：</w:t>
      </w:r>
      <w:r>
        <w:rPr>
          <w:rFonts w:ascii="仿宋_GB2312" w:hAnsi="仿宋_GB2312" w:eastAsia="仿宋_GB2312"/>
          <w:b/>
          <w:sz w:val="32"/>
        </w:rPr>
        <w:t>人员经费200.39万元，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包括：基本工资、津贴补贴、奖金、绩效工资、机关事业单位基本养老保险缴费、职工基本医疗保险缴费、公务员医疗补助缴费、其他社会保障缴费、住房公积金、生活补助、奖励金。</w:t>
      </w:r>
    </w:p>
    <w:p w14:paraId="5AF703A7">
      <w:pPr>
        <w:spacing w:line="580" w:lineRule="exact"/>
        <w:ind w:firstLine="640"/>
        <w:jc w:val="both"/>
      </w:pPr>
      <w:r>
        <w:rPr>
          <w:rFonts w:ascii="仿宋_GB2312" w:hAnsi="仿宋_GB2312" w:eastAsia="仿宋_GB2312"/>
          <w:b/>
          <w:sz w:val="32"/>
        </w:rPr>
        <w:t>公用经费14.13万元，</w:t>
      </w:r>
      <w:r>
        <w:rPr>
          <w:rFonts w:ascii="仿宋_GB2312" w:hAnsi="仿宋_GB2312" w:eastAsia="仿宋_GB2312"/>
          <w:b w:val="0"/>
          <w:sz w:val="32"/>
        </w:rPr>
        <w:t>包括：办公费、水费、电费、邮电费、差旅费、专用材料费、委托业务费、工会经费、公务用车运行维护费。</w:t>
      </w:r>
    </w:p>
    <w:p w14:paraId="4C3F4A34">
      <w:pPr>
        <w:spacing w:line="640" w:lineRule="exact"/>
        <w:ind w:firstLine="640"/>
        <w:jc w:val="both"/>
        <w:outlineLvl w:val="2"/>
      </w:pPr>
      <w:r>
        <w:rPr>
          <w:rFonts w:ascii="黑体" w:hAnsi="黑体" w:eastAsia="黑体"/>
          <w:sz w:val="32"/>
        </w:rPr>
        <w:t>七、政府性基金预算财政拨款收入支出决算情况说明</w:t>
      </w:r>
    </w:p>
    <w:p w14:paraId="5B933E1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6641072">
      <w:pPr>
        <w:spacing w:line="640" w:lineRule="exact"/>
        <w:ind w:firstLine="640"/>
        <w:jc w:val="both"/>
        <w:outlineLvl w:val="2"/>
      </w:pPr>
      <w:r>
        <w:rPr>
          <w:rFonts w:ascii="黑体" w:hAnsi="黑体" w:eastAsia="黑体"/>
          <w:sz w:val="32"/>
        </w:rPr>
        <w:t>八、国有资本经营预算财政拨款收入支出决算情况说明</w:t>
      </w:r>
    </w:p>
    <w:p w14:paraId="2BA9C0D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519FCE8">
      <w:pPr>
        <w:spacing w:line="640" w:lineRule="exact"/>
        <w:ind w:firstLine="640"/>
        <w:jc w:val="both"/>
        <w:outlineLvl w:val="2"/>
      </w:pPr>
      <w:r>
        <w:rPr>
          <w:rFonts w:ascii="黑体" w:hAnsi="黑体" w:eastAsia="黑体"/>
          <w:sz w:val="32"/>
        </w:rPr>
        <w:t>九、财政拨款“三公”经费支出决算情况说明</w:t>
      </w:r>
    </w:p>
    <w:p w14:paraId="0A3A3AE2">
      <w:pPr>
        <w:spacing w:line="580" w:lineRule="exact"/>
        <w:ind w:firstLine="640"/>
        <w:jc w:val="both"/>
      </w:pPr>
      <w:r>
        <w:rPr>
          <w:rFonts w:ascii="仿宋_GB2312" w:hAnsi="仿宋_GB2312" w:eastAsia="仿宋_GB2312"/>
          <w:b/>
          <w:sz w:val="32"/>
        </w:rPr>
        <w:t>2024年度财政拨款“三公”经费支出3.00万元，</w:t>
      </w:r>
      <w:r>
        <w:rPr>
          <w:rFonts w:ascii="仿宋_GB2312" w:hAnsi="仿宋_GB2312" w:eastAsia="仿宋_GB2312"/>
          <w:b w:val="0"/>
          <w:sz w:val="32"/>
        </w:rPr>
        <w:t>比上年增加1.45万元，增长93.55%，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3.00万元，占100.00%，比上年增加1.45万元，增长93.55%，主要原因是：本单位公务用车日渐老化，维修维护成本增加，导致公务用车运行维护费较上年增加。公务接待费支出0.00万元，占0.00%，比上年增加0.00万元，增长0.00%，主要原因是：2023年与2024年均未安排公务接待费支出。</w:t>
      </w:r>
    </w:p>
    <w:p w14:paraId="43226E6F">
      <w:pPr>
        <w:spacing w:line="580" w:lineRule="exact"/>
        <w:ind w:firstLine="640"/>
        <w:jc w:val="both"/>
      </w:pPr>
      <w:r>
        <w:rPr>
          <w:rFonts w:ascii="仿宋_GB2312" w:hAnsi="仿宋_GB2312" w:eastAsia="仿宋_GB2312"/>
          <w:b/>
          <w:sz w:val="32"/>
        </w:rPr>
        <w:t>具体情况如下：</w:t>
      </w:r>
    </w:p>
    <w:p w14:paraId="709CF2B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1939087">
      <w:pPr>
        <w:spacing w:line="580" w:lineRule="exact"/>
        <w:ind w:firstLine="640"/>
        <w:jc w:val="both"/>
      </w:pPr>
      <w:r>
        <w:rPr>
          <w:rFonts w:ascii="仿宋_GB2312" w:hAnsi="仿宋_GB2312" w:eastAsia="仿宋_GB2312"/>
          <w:b w:val="0"/>
          <w:sz w:val="32"/>
        </w:rPr>
        <w:t>公务用车购置及运行维护费3.00万元，其中：公务用车购置费0.00万元，公务用车运行维护费3.00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484D36D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3BE3C8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3.00万元，决算数3.00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3.00万元，决算数3.00万元，预决算差异率0.00%，主要原因是：严格按照预算执行，预决算无差异。公务接待费全年预算数0.00万元，决算数0.00万元，预决算差异率0.00%，主要原因是：本单位无公务接待费。</w:t>
      </w:r>
    </w:p>
    <w:p w14:paraId="3078812E">
      <w:pPr>
        <w:spacing w:line="640" w:lineRule="exact"/>
        <w:ind w:firstLine="640"/>
        <w:jc w:val="both"/>
        <w:outlineLvl w:val="2"/>
      </w:pPr>
      <w:r>
        <w:rPr>
          <w:rFonts w:ascii="黑体" w:hAnsi="黑体" w:eastAsia="黑体"/>
          <w:sz w:val="32"/>
        </w:rPr>
        <w:t>十、其他重要事项的情况说明</w:t>
      </w:r>
    </w:p>
    <w:p w14:paraId="39C1155A">
      <w:pPr>
        <w:spacing w:line="640" w:lineRule="exact"/>
        <w:ind w:firstLine="640"/>
        <w:jc w:val="both"/>
        <w:outlineLvl w:val="3"/>
      </w:pPr>
      <w:r>
        <w:rPr>
          <w:rFonts w:ascii="楷体_GB2312" w:hAnsi="楷体_GB2312" w:eastAsia="楷体_GB2312"/>
          <w:b/>
          <w:sz w:val="32"/>
        </w:rPr>
        <w:t>（一）机关运行经费及公用经费支出情况</w:t>
      </w:r>
    </w:p>
    <w:p w14:paraId="7379F5F1">
      <w:pPr>
        <w:spacing w:line="580" w:lineRule="exact"/>
        <w:ind w:firstLine="640"/>
        <w:jc w:val="both"/>
      </w:pPr>
      <w:r>
        <w:rPr>
          <w:rFonts w:ascii="仿宋_GB2312" w:hAnsi="仿宋_GB2312" w:eastAsia="仿宋_GB2312"/>
          <w:b w:val="0"/>
          <w:sz w:val="32"/>
        </w:rPr>
        <w:t>2024年度喀什地区生态环境局疏勒县分局（行政单位和参照公务员法管理事业单位）机关运行经费支出14.13万元，比上年增加9.17万元，增长184.88%，主要原因是：本年增加专用材料费、工会经费等，导致机关运行经费增加。</w:t>
      </w:r>
    </w:p>
    <w:p w14:paraId="0E333A80">
      <w:pPr>
        <w:spacing w:line="640" w:lineRule="exact"/>
        <w:ind w:firstLine="640"/>
        <w:jc w:val="both"/>
        <w:outlineLvl w:val="3"/>
      </w:pPr>
      <w:r>
        <w:rPr>
          <w:rFonts w:ascii="楷体_GB2312" w:hAnsi="楷体_GB2312" w:eastAsia="楷体_GB2312"/>
          <w:b/>
          <w:sz w:val="32"/>
        </w:rPr>
        <w:t>（二）政府采购情况</w:t>
      </w:r>
    </w:p>
    <w:p w14:paraId="412F4674">
      <w:pPr>
        <w:spacing w:line="580" w:lineRule="exact"/>
        <w:ind w:firstLine="640"/>
        <w:jc w:val="both"/>
      </w:pPr>
      <w:r>
        <w:rPr>
          <w:rFonts w:ascii="仿宋_GB2312" w:hAnsi="仿宋_GB2312" w:eastAsia="仿宋_GB2312"/>
          <w:b w:val="0"/>
          <w:sz w:val="32"/>
        </w:rPr>
        <w:t>2024年度政府采购支出总额5.69万元，其中：政府采购货物支出4.31万元、政府采购工程支出0.00万元、政府采购服务支出1.38万元。</w:t>
      </w:r>
    </w:p>
    <w:p w14:paraId="1FB1DBF2">
      <w:pPr>
        <w:spacing w:line="580" w:lineRule="exact"/>
        <w:ind w:firstLine="640"/>
        <w:jc w:val="both"/>
      </w:pPr>
      <w:r>
        <w:rPr>
          <w:rFonts w:ascii="仿宋_GB2312" w:hAnsi="仿宋_GB2312" w:eastAsia="仿宋_GB2312"/>
          <w:b w:val="0"/>
          <w:sz w:val="32"/>
        </w:rPr>
        <w:t>授予中小企业合同金额5.29万元，占政府采购支出总额的92.97%，其中：授予小微企业合同金额5.29万元，占政府采购支出总额的92.97%。</w:t>
      </w:r>
    </w:p>
    <w:p w14:paraId="0CB0223B">
      <w:pPr>
        <w:spacing w:line="640" w:lineRule="exact"/>
        <w:ind w:firstLine="640"/>
        <w:jc w:val="both"/>
        <w:outlineLvl w:val="3"/>
      </w:pPr>
      <w:r>
        <w:rPr>
          <w:rFonts w:ascii="楷体_GB2312" w:hAnsi="楷体_GB2312" w:eastAsia="楷体_GB2312"/>
          <w:b/>
          <w:sz w:val="32"/>
        </w:rPr>
        <w:t>（三）国有资产占用情况说明</w:t>
      </w:r>
    </w:p>
    <w:p w14:paraId="4625AE33">
      <w:pPr>
        <w:spacing w:line="580" w:lineRule="exact"/>
        <w:ind w:firstLine="640"/>
        <w:jc w:val="both"/>
      </w:pPr>
      <w:r>
        <w:rPr>
          <w:rFonts w:ascii="仿宋_GB2312" w:hAnsi="仿宋_GB2312" w:eastAsia="仿宋_GB2312"/>
          <w:b w:val="0"/>
          <w:sz w:val="32"/>
        </w:rPr>
        <w:t>截至2024年12月31日，房屋0.00平方米，价值0.00万元。车辆2辆，价值29.41万元，其中：副部（省）级及以上领导用车0辆、主要负责人用车0辆、机要通信用车0辆、应急保障用车0辆、执法执勤用车1辆、特种专业技术用车0辆、离退休干部服务用车0辆、其他用车1辆，其他用车主要是：一般公务用车。单价100万元（含）以上设备（不含车辆）0台（套）。</w:t>
      </w:r>
    </w:p>
    <w:p w14:paraId="79ECC5EB">
      <w:pPr>
        <w:spacing w:line="640" w:lineRule="exact"/>
        <w:ind w:firstLine="640"/>
        <w:jc w:val="both"/>
        <w:outlineLvl w:val="2"/>
      </w:pPr>
      <w:r>
        <w:rPr>
          <w:rFonts w:ascii="黑体" w:hAnsi="黑体" w:eastAsia="黑体"/>
          <w:sz w:val="32"/>
        </w:rPr>
        <w:t>十一、预算绩效的情况说明</w:t>
      </w:r>
    </w:p>
    <w:p w14:paraId="3934283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214.53万元，实际执行总额214.53万元；预算绩效评价项目0个，全年预算数0.00万元，全年执行数0.00万元。预算绩效管理取得的成效：一是通过预算绩效管理使得项目在运行过程中合法合规；二是资金运行经过5月、8月绩效监测，使得项目资金的使用进度得以保证；三是预算绩效全流程保证的项目资金的正常有序。发现的问题及原因：一是绩效自评价工作还存在自我审定的局限性，需要优化，缺少带着问题去评价的意识。二是人员力量不足，缺乏专业性较强的技能储备，只能在工作中学习和积累，致使短期内工作停留在表面，难以深入推进。下一步改进措施：一是优化支出绩效指标体系。同步做好档案的归纳与整理，及时整理、收集、汇总，健全档案资料。加大绩效工作宣传力度，强化绩效理念。二是继续完善预算绩效管理相关工作制度，加强绩效工作人员配比，对各业务科室工作人员进行绩效管理的规范要求及法律法规的培训，有效贯彻落实全面实施绩效管理的精神。具体附整体支出绩效自评表。</w:t>
      </w:r>
    </w:p>
    <w:p w14:paraId="50164BF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B29F292">
        <w:tblPrEx>
          <w:tblCellMar>
            <w:top w:w="0" w:type="dxa"/>
            <w:left w:w="108" w:type="dxa"/>
            <w:bottom w:w="0" w:type="dxa"/>
            <w:right w:w="108" w:type="dxa"/>
          </w:tblCellMar>
        </w:tblPrEx>
        <w:tc>
          <w:tcPr>
            <w:tcW w:w="8847" w:type="dxa"/>
            <w:gridSpan w:val="9"/>
            <w:vAlign w:val="center"/>
          </w:tcPr>
          <w:p w14:paraId="6D3145D5">
            <w:pPr>
              <w:jc w:val="center"/>
            </w:pPr>
            <w:r>
              <w:rPr>
                <w:rFonts w:ascii="宋体" w:hAnsi="宋体" w:eastAsia="宋体"/>
                <w:sz w:val="24"/>
              </w:rPr>
              <w:t>单位整体支出绩效自评表</w:t>
            </w:r>
          </w:p>
        </w:tc>
      </w:tr>
      <w:tr w14:paraId="28D4BA31">
        <w:tblPrEx>
          <w:tblCellMar>
            <w:top w:w="0" w:type="dxa"/>
            <w:left w:w="108" w:type="dxa"/>
            <w:bottom w:w="0" w:type="dxa"/>
            <w:right w:w="108" w:type="dxa"/>
          </w:tblCellMar>
        </w:tblPrEx>
        <w:tc>
          <w:tcPr>
            <w:tcW w:w="8847" w:type="dxa"/>
            <w:gridSpan w:val="9"/>
            <w:vAlign w:val="center"/>
          </w:tcPr>
          <w:p w14:paraId="5F5B22FA">
            <w:pPr>
              <w:jc w:val="center"/>
            </w:pPr>
            <w:r>
              <w:rPr>
                <w:rFonts w:ascii="宋体" w:hAnsi="宋体" w:eastAsia="宋体"/>
                <w:sz w:val="24"/>
              </w:rPr>
              <w:t>（2024年度）</w:t>
            </w:r>
          </w:p>
        </w:tc>
      </w:tr>
      <w:tr w14:paraId="377ABAA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26B1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4E65650">
            <w:pPr>
              <w:jc w:val="center"/>
            </w:pPr>
            <w:r>
              <w:rPr>
                <w:rFonts w:ascii="宋体" w:hAnsi="宋体" w:eastAsia="宋体"/>
                <w:sz w:val="16"/>
              </w:rPr>
              <w:t>喀什地区生态环境局疏勒县分局</w:t>
            </w:r>
          </w:p>
        </w:tc>
      </w:tr>
      <w:tr w14:paraId="422366D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151D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7B2F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89A4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0F0D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D498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DC54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4D82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50A5E">
            <w:pPr>
              <w:jc w:val="center"/>
            </w:pPr>
            <w:r>
              <w:rPr>
                <w:rFonts w:ascii="宋体" w:hAnsi="宋体" w:eastAsia="宋体"/>
                <w:sz w:val="16"/>
              </w:rPr>
              <w:t>得分</w:t>
            </w:r>
          </w:p>
        </w:tc>
      </w:tr>
      <w:tr w14:paraId="3F7234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DB17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5FD33">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28A91">
            <w:pPr>
              <w:jc w:val="center"/>
            </w:pPr>
            <w:r>
              <w:rPr>
                <w:rFonts w:ascii="宋体" w:hAnsi="宋体" w:eastAsia="宋体"/>
                <w:sz w:val="16"/>
              </w:rPr>
              <w:t>234.69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A713B">
            <w:pPr>
              <w:jc w:val="center"/>
            </w:pPr>
            <w:r>
              <w:rPr>
                <w:rFonts w:ascii="宋体" w:hAnsi="宋体" w:eastAsia="宋体"/>
                <w:sz w:val="16"/>
              </w:rPr>
              <w:t>214.53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CF773">
            <w:pPr>
              <w:jc w:val="center"/>
            </w:pPr>
            <w:r>
              <w:rPr>
                <w:rFonts w:ascii="宋体" w:hAnsi="宋体" w:eastAsia="宋体"/>
                <w:sz w:val="16"/>
              </w:rPr>
              <w:t>214.53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37E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C91B3">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D0506">
            <w:pPr>
              <w:jc w:val="center"/>
            </w:pPr>
            <w:r>
              <w:rPr>
                <w:rFonts w:ascii="宋体" w:hAnsi="宋体" w:eastAsia="宋体"/>
                <w:sz w:val="16"/>
              </w:rPr>
              <w:t>10</w:t>
            </w:r>
          </w:p>
        </w:tc>
      </w:tr>
      <w:tr w14:paraId="40D2CF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D758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E58A4">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14CA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2E715">
            <w:pPr>
              <w:jc w:val="center"/>
            </w:pPr>
            <w:r>
              <w:rPr>
                <w:rFonts w:ascii="宋体" w:hAnsi="宋体" w:eastAsia="宋体"/>
                <w:sz w:val="16"/>
              </w:rPr>
              <w:t>3.18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F017E">
            <w:pPr>
              <w:jc w:val="center"/>
            </w:pPr>
            <w:r>
              <w:rPr>
                <w:rFonts w:ascii="宋体" w:hAnsi="宋体" w:eastAsia="宋体"/>
                <w:sz w:val="16"/>
              </w:rPr>
              <w:t>3.18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7A2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1D8F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16FD3">
            <w:pPr>
              <w:jc w:val="center"/>
            </w:pPr>
            <w:r>
              <w:rPr>
                <w:rFonts w:ascii="宋体" w:hAnsi="宋体" w:eastAsia="宋体"/>
                <w:sz w:val="16"/>
              </w:rPr>
              <w:t>—</w:t>
            </w:r>
          </w:p>
        </w:tc>
      </w:tr>
      <w:tr w14:paraId="19D592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131A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9EC6F">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A461A">
            <w:pPr>
              <w:jc w:val="center"/>
            </w:pPr>
            <w:r>
              <w:rPr>
                <w:rFonts w:ascii="宋体" w:hAnsi="宋体" w:eastAsia="宋体"/>
                <w:sz w:val="16"/>
              </w:rPr>
              <w:t>234.69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B5C65">
            <w:pPr>
              <w:jc w:val="center"/>
            </w:pPr>
            <w:r>
              <w:rPr>
                <w:rFonts w:ascii="宋体" w:hAnsi="宋体" w:eastAsia="宋体"/>
                <w:sz w:val="16"/>
              </w:rPr>
              <w:t>211.35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AC79E">
            <w:pPr>
              <w:jc w:val="center"/>
            </w:pPr>
            <w:r>
              <w:rPr>
                <w:rFonts w:ascii="宋体" w:hAnsi="宋体" w:eastAsia="宋体"/>
                <w:sz w:val="16"/>
              </w:rPr>
              <w:t>211.35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974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CBC0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A4727">
            <w:pPr>
              <w:jc w:val="center"/>
            </w:pPr>
            <w:r>
              <w:rPr>
                <w:rFonts w:ascii="宋体" w:hAnsi="宋体" w:eastAsia="宋体"/>
                <w:sz w:val="16"/>
              </w:rPr>
              <w:t>—</w:t>
            </w:r>
          </w:p>
        </w:tc>
      </w:tr>
      <w:tr w14:paraId="35F79A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03E4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D6B6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2AB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650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F286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E23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E466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F9733">
            <w:pPr>
              <w:jc w:val="center"/>
            </w:pPr>
            <w:r>
              <w:rPr>
                <w:rFonts w:ascii="宋体" w:hAnsi="宋体" w:eastAsia="宋体"/>
                <w:sz w:val="16"/>
              </w:rPr>
              <w:t>—</w:t>
            </w:r>
          </w:p>
        </w:tc>
      </w:tr>
      <w:tr w14:paraId="33E4372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DE94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DD774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17F385">
            <w:pPr>
              <w:jc w:val="center"/>
            </w:pPr>
            <w:r>
              <w:rPr>
                <w:rFonts w:ascii="宋体" w:hAnsi="宋体" w:eastAsia="宋体"/>
                <w:sz w:val="16"/>
              </w:rPr>
              <w:t>实际完成情况</w:t>
            </w:r>
          </w:p>
        </w:tc>
      </w:tr>
      <w:tr w14:paraId="061AFC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93037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8AD11E">
            <w:pPr>
              <w:jc w:val="both"/>
            </w:pPr>
            <w:r>
              <w:rPr>
                <w:rFonts w:ascii="宋体" w:hAnsi="宋体" w:eastAsia="宋体"/>
                <w:sz w:val="16"/>
              </w:rPr>
              <w:t>为深入学习贯彻习近平生态文明思想，根据2024年全国生态环境保护工作会议精神及地区生态环境局工作要求，2024年度绩效目标如下：牢固树立生态环境保护意识。牢固树立绿水青山就是金山银山理念，积极做好生态宣传工作；持续深入打好污染防治攻坚战。疏勒县空气质量监测数据有效天数达到361天，监测疏勒县3条主要河流，监测5</w:t>
            </w:r>
            <w:r>
              <w:rPr>
                <w:rFonts w:hint="eastAsia" w:ascii="宋体" w:hAnsi="宋体"/>
                <w:sz w:val="16"/>
                <w:lang w:eastAsia="zh-CN"/>
              </w:rPr>
              <w:t>种</w:t>
            </w:r>
            <w:r>
              <w:rPr>
                <w:rFonts w:ascii="宋体" w:hAnsi="宋体" w:eastAsia="宋体"/>
                <w:sz w:val="16"/>
              </w:rPr>
              <w:t>不同种类环境土壤，监测县城区域环境噪声平均值不超过55分贝，出具项目立项意见384件，监测城镇及农村集中式饮用水水源水质达标率100%，完成环境信访投诉案件办结率100%。大力宣传以习近平同志为核心的党中央关于生态文明建设的系列决策部署，在全社会营造出支持生态文明建设和环境保护工作，深入打好污染防治攻坚战的良好氛围。以高水平保护推动高质量发展、创造高品质生活，努力建设人与自然和谐共生的美丽疏勒。</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C56418">
            <w:pPr>
              <w:jc w:val="both"/>
            </w:pPr>
            <w:r>
              <w:rPr>
                <w:rFonts w:ascii="宋体" w:hAnsi="宋体" w:eastAsia="宋体"/>
                <w:sz w:val="16"/>
              </w:rPr>
              <w:t>根据2024年全国生态环境保护工作会议精神及地区生态环境局工作要求，2024年度完成工作如下：（一）坚决贯彻习近平生态文明思想；（二）扎实开展党的组织建设工作；（三）扎实推进环保督察反馈问题整改工作；（四）继续深入打好污染防治攻坚战，疏勒县空气质量监测数据有效天数达到366天，监测疏勒县3条主要河流，监测5</w:t>
            </w:r>
            <w:r>
              <w:rPr>
                <w:rFonts w:hint="eastAsia" w:ascii="宋体" w:hAnsi="宋体"/>
                <w:sz w:val="16"/>
                <w:lang w:eastAsia="zh-CN"/>
              </w:rPr>
              <w:t>种</w:t>
            </w:r>
            <w:r>
              <w:rPr>
                <w:rFonts w:ascii="宋体" w:hAnsi="宋体" w:eastAsia="宋体"/>
                <w:sz w:val="16"/>
              </w:rPr>
              <w:t>不同种类环境土壤，监测城镇及农村集中式饮用水水源水质达标率100%；（五）抓实生态环境保护基础工作，监测县城区域环境噪声平均值为52.95分贝，未超过55分贝；（六）规范项目审批程序，出具项目立项意见391件；（七）认真开展安全生产风险隐患排查工作，完成环境信访投诉案件办结率100%。</w:t>
            </w:r>
          </w:p>
        </w:tc>
      </w:tr>
      <w:tr w14:paraId="02C08EB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FCAA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FB36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2EDA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F4923">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09EA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587A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4294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A173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BD8A5">
            <w:pPr>
              <w:jc w:val="center"/>
            </w:pPr>
            <w:r>
              <w:rPr>
                <w:rFonts w:ascii="宋体" w:hAnsi="宋体" w:eastAsia="宋体"/>
                <w:sz w:val="16"/>
              </w:rPr>
              <w:t>得分</w:t>
            </w:r>
          </w:p>
        </w:tc>
      </w:tr>
      <w:tr w14:paraId="7325745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F06A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61DC9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B422C">
            <w:pPr>
              <w:jc w:val="center"/>
            </w:pPr>
            <w:r>
              <w:rPr>
                <w:rFonts w:ascii="宋体" w:hAnsi="宋体" w:eastAsia="宋体"/>
                <w:sz w:val="16"/>
              </w:rPr>
              <w:t>疏勒县空气质量监测数据有效天数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D2D14">
            <w:pPr>
              <w:jc w:val="center"/>
            </w:pPr>
            <w:r>
              <w:rPr>
                <w:rFonts w:ascii="宋体" w:hAnsi="宋体" w:eastAsia="宋体"/>
                <w:sz w:val="16"/>
              </w:rPr>
              <w:t>&gt;=361天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32CDC">
            <w:pPr>
              <w:jc w:val="center"/>
            </w:pPr>
            <w:r>
              <w:rPr>
                <w:rFonts w:ascii="宋体" w:hAnsi="宋体" w:eastAsia="宋体"/>
                <w:sz w:val="16"/>
              </w:rPr>
              <w:t>2023年喀什地区生态环境局疏勒县分局工作总结及2024年工作计划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4FCC5">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C2EE9">
            <w:pPr>
              <w:jc w:val="center"/>
            </w:pPr>
            <w:r>
              <w:rPr>
                <w:rFonts w:ascii="宋体" w:hAnsi="宋体" w:eastAsia="宋体"/>
                <w:sz w:val="16"/>
              </w:rPr>
              <w:t>366天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FA2C8">
            <w:pPr>
              <w:jc w:val="center"/>
            </w:pPr>
            <w:r>
              <w:rPr>
                <w:rFonts w:ascii="宋体" w:hAnsi="宋体" w:eastAsia="宋体"/>
                <w:sz w:val="16"/>
              </w:rPr>
              <w:t>101.3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11D57">
            <w:pPr>
              <w:jc w:val="center"/>
            </w:pPr>
            <w:r>
              <w:rPr>
                <w:rFonts w:ascii="宋体" w:hAnsi="宋体" w:eastAsia="宋体"/>
                <w:sz w:val="16"/>
              </w:rPr>
              <w:t>12</w:t>
            </w:r>
          </w:p>
        </w:tc>
      </w:tr>
      <w:tr w14:paraId="049FA2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910F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4D96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DD3E9">
            <w:pPr>
              <w:jc w:val="center"/>
            </w:pPr>
            <w:r>
              <w:rPr>
                <w:rFonts w:ascii="宋体" w:hAnsi="宋体" w:eastAsia="宋体"/>
                <w:sz w:val="16"/>
              </w:rPr>
              <w:t>监测疏勒县主要河流数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382B6">
            <w:pPr>
              <w:jc w:val="center"/>
            </w:pPr>
            <w:r>
              <w:rPr>
                <w:rFonts w:ascii="宋体" w:hAnsi="宋体" w:eastAsia="宋体"/>
                <w:sz w:val="16"/>
              </w:rPr>
              <w:t>=3条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040AB">
            <w:pPr>
              <w:jc w:val="center"/>
            </w:pPr>
            <w:r>
              <w:rPr>
                <w:rFonts w:ascii="宋体" w:hAnsi="宋体" w:eastAsia="宋体"/>
                <w:sz w:val="16"/>
              </w:rPr>
              <w:t>2023年喀什地区生态环境局疏勒县分局工作总结及2024年工作计划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B6702">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2B465">
            <w:pPr>
              <w:jc w:val="center"/>
            </w:pPr>
            <w:r>
              <w:rPr>
                <w:rFonts w:ascii="宋体" w:hAnsi="宋体" w:eastAsia="宋体"/>
                <w:sz w:val="16"/>
              </w:rPr>
              <w:t>3条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4030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60617">
            <w:pPr>
              <w:jc w:val="center"/>
            </w:pPr>
            <w:r>
              <w:rPr>
                <w:rFonts w:ascii="宋体" w:hAnsi="宋体" w:eastAsia="宋体"/>
                <w:sz w:val="16"/>
              </w:rPr>
              <w:t>12</w:t>
            </w:r>
          </w:p>
        </w:tc>
      </w:tr>
      <w:tr w14:paraId="7F10A9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218A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2B0E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06F0B">
            <w:pPr>
              <w:jc w:val="center"/>
            </w:pPr>
            <w:r>
              <w:rPr>
                <w:rFonts w:ascii="宋体" w:hAnsi="宋体" w:eastAsia="宋体"/>
                <w:sz w:val="16"/>
              </w:rPr>
              <w:t>监测不同种类环境土壤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A453C">
            <w:pPr>
              <w:jc w:val="center"/>
            </w:pPr>
            <w:r>
              <w:rPr>
                <w:rFonts w:ascii="宋体" w:hAnsi="宋体" w:eastAsia="宋体"/>
                <w:sz w:val="16"/>
              </w:rPr>
              <w:t>=5种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5B5B5">
            <w:pPr>
              <w:jc w:val="center"/>
            </w:pPr>
            <w:r>
              <w:rPr>
                <w:rFonts w:ascii="宋体" w:hAnsi="宋体" w:eastAsia="宋体"/>
                <w:sz w:val="16"/>
              </w:rPr>
              <w:t>2023年喀什地区生态环境局疏勒县分局工作总结及2024年工作计划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E1019">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8E141">
            <w:pPr>
              <w:jc w:val="center"/>
            </w:pPr>
            <w:r>
              <w:rPr>
                <w:rFonts w:ascii="宋体" w:hAnsi="宋体" w:eastAsia="宋体"/>
                <w:sz w:val="16"/>
              </w:rPr>
              <w:t>5种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007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2575E">
            <w:pPr>
              <w:jc w:val="center"/>
            </w:pPr>
            <w:r>
              <w:rPr>
                <w:rFonts w:ascii="宋体" w:hAnsi="宋体" w:eastAsia="宋体"/>
                <w:sz w:val="16"/>
              </w:rPr>
              <w:t>12</w:t>
            </w:r>
          </w:p>
        </w:tc>
      </w:tr>
      <w:tr w14:paraId="58EB41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C0996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FA62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D4173">
            <w:pPr>
              <w:jc w:val="center"/>
            </w:pPr>
            <w:r>
              <w:rPr>
                <w:rFonts w:ascii="宋体" w:hAnsi="宋体" w:eastAsia="宋体"/>
                <w:sz w:val="16"/>
              </w:rPr>
              <w:t>县城区域环境噪声平均值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9D850">
            <w:pPr>
              <w:jc w:val="center"/>
            </w:pPr>
            <w:r>
              <w:rPr>
                <w:rFonts w:ascii="宋体" w:hAnsi="宋体" w:eastAsia="宋体"/>
                <w:sz w:val="16"/>
              </w:rPr>
              <w:t>&lt;=55分贝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FF6CE">
            <w:pPr>
              <w:jc w:val="center"/>
            </w:pPr>
            <w:r>
              <w:rPr>
                <w:rFonts w:ascii="宋体" w:hAnsi="宋体" w:eastAsia="宋体"/>
                <w:sz w:val="16"/>
              </w:rPr>
              <w:t>2023年喀什地区生态环境局疏勒县分局工作总结及2024年工作计划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65A80">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A132B">
            <w:pPr>
              <w:jc w:val="center"/>
            </w:pPr>
            <w:r>
              <w:rPr>
                <w:rFonts w:ascii="宋体" w:hAnsi="宋体" w:eastAsia="宋体"/>
                <w:sz w:val="16"/>
              </w:rPr>
              <w:t>52.95分贝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2B2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7F525">
            <w:pPr>
              <w:jc w:val="center"/>
            </w:pPr>
            <w:r>
              <w:rPr>
                <w:rFonts w:ascii="宋体" w:hAnsi="宋体" w:eastAsia="宋体"/>
                <w:sz w:val="16"/>
              </w:rPr>
              <w:t>12</w:t>
            </w:r>
          </w:p>
        </w:tc>
      </w:tr>
      <w:tr w14:paraId="65127D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35AF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6DE6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AEC88">
            <w:pPr>
              <w:jc w:val="center"/>
            </w:pPr>
            <w:r>
              <w:rPr>
                <w:rFonts w:ascii="宋体" w:hAnsi="宋体" w:eastAsia="宋体"/>
                <w:sz w:val="16"/>
              </w:rPr>
              <w:t>出具项目立项意见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3FFFC">
            <w:pPr>
              <w:jc w:val="center"/>
            </w:pPr>
            <w:r>
              <w:rPr>
                <w:rFonts w:ascii="宋体" w:hAnsi="宋体" w:eastAsia="宋体"/>
                <w:sz w:val="16"/>
              </w:rPr>
              <w:t>&gt;=384件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B8B06">
            <w:pPr>
              <w:jc w:val="center"/>
            </w:pPr>
            <w:r>
              <w:rPr>
                <w:rFonts w:ascii="宋体" w:hAnsi="宋体" w:eastAsia="宋体"/>
                <w:sz w:val="16"/>
              </w:rPr>
              <w:t>2023年喀什地区生态环境局疏勒县分局工作总结及2024年工作计划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41B19">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25818">
            <w:pPr>
              <w:jc w:val="center"/>
            </w:pPr>
            <w:r>
              <w:rPr>
                <w:rFonts w:ascii="宋体" w:hAnsi="宋体" w:eastAsia="宋体"/>
                <w:sz w:val="16"/>
              </w:rPr>
              <w:t>391件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452FC">
            <w:pPr>
              <w:jc w:val="center"/>
            </w:pPr>
            <w:r>
              <w:rPr>
                <w:rFonts w:ascii="宋体" w:hAnsi="宋体" w:eastAsia="宋体"/>
                <w:sz w:val="16"/>
              </w:rPr>
              <w:t>101.8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D1DB5">
            <w:pPr>
              <w:jc w:val="center"/>
            </w:pPr>
            <w:r>
              <w:rPr>
                <w:rFonts w:ascii="宋体" w:hAnsi="宋体" w:eastAsia="宋体"/>
                <w:sz w:val="16"/>
              </w:rPr>
              <w:t>12</w:t>
            </w:r>
          </w:p>
        </w:tc>
      </w:tr>
      <w:tr w14:paraId="346CC7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2FB1D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94F0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1A72A">
            <w:pPr>
              <w:jc w:val="center"/>
            </w:pPr>
            <w:r>
              <w:rPr>
                <w:rFonts w:ascii="宋体" w:hAnsi="宋体" w:eastAsia="宋体"/>
                <w:sz w:val="16"/>
              </w:rPr>
              <w:t>城镇及农村集中式饮用水水源水质达标率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0E9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BC7E4">
            <w:pPr>
              <w:jc w:val="center"/>
            </w:pPr>
            <w:r>
              <w:rPr>
                <w:rFonts w:ascii="宋体" w:hAnsi="宋体" w:eastAsia="宋体"/>
                <w:sz w:val="16"/>
              </w:rPr>
              <w:t>2023年喀什地区生态环境局疏勒县分局工作总结及2024年工作计划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4C43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7E1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468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78257">
            <w:pPr>
              <w:jc w:val="center"/>
            </w:pPr>
            <w:r>
              <w:rPr>
                <w:rFonts w:ascii="宋体" w:hAnsi="宋体" w:eastAsia="宋体"/>
                <w:sz w:val="16"/>
              </w:rPr>
              <w:t>15</w:t>
            </w:r>
          </w:p>
        </w:tc>
      </w:tr>
      <w:tr w14:paraId="72F9EA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8AF8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152B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3E4D1">
            <w:pPr>
              <w:jc w:val="center"/>
            </w:pPr>
            <w:r>
              <w:rPr>
                <w:rFonts w:ascii="宋体" w:hAnsi="宋体" w:eastAsia="宋体"/>
                <w:sz w:val="16"/>
              </w:rPr>
              <w:t>环境信访投诉案件办结率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485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F6B0C">
            <w:pPr>
              <w:jc w:val="center"/>
            </w:pPr>
            <w:r>
              <w:rPr>
                <w:rFonts w:ascii="宋体" w:hAnsi="宋体" w:eastAsia="宋体"/>
                <w:sz w:val="16"/>
              </w:rPr>
              <w:t>2023年喀什地区生态环境局疏勒县分局工作总结及2024年工作计划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B3F9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1045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8B5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08969">
            <w:pPr>
              <w:jc w:val="center"/>
            </w:pPr>
            <w:r>
              <w:rPr>
                <w:rFonts w:ascii="宋体" w:hAnsi="宋体" w:eastAsia="宋体"/>
                <w:sz w:val="16"/>
              </w:rPr>
              <w:t>15</w:t>
            </w:r>
          </w:p>
        </w:tc>
      </w:tr>
    </w:tbl>
    <w:p w14:paraId="5F1746F9">
      <w:r>
        <w:br w:type="page"/>
      </w:r>
    </w:p>
    <w:p w14:paraId="56251575">
      <w:pPr>
        <w:spacing w:line="640" w:lineRule="exact"/>
        <w:ind w:firstLine="640"/>
        <w:jc w:val="both"/>
        <w:outlineLvl w:val="2"/>
      </w:pPr>
      <w:r>
        <w:rPr>
          <w:rFonts w:ascii="黑体" w:hAnsi="黑体" w:eastAsia="黑体"/>
          <w:sz w:val="32"/>
        </w:rPr>
        <w:t>十二、其他需说明的事项</w:t>
      </w:r>
    </w:p>
    <w:p w14:paraId="4CF77D77">
      <w:pPr>
        <w:spacing w:line="580" w:lineRule="exact"/>
        <w:ind w:firstLine="640"/>
        <w:jc w:val="both"/>
      </w:pPr>
      <w:r>
        <w:rPr>
          <w:rFonts w:ascii="仿宋_GB2312" w:hAnsi="仿宋_GB2312" w:eastAsia="仿宋_GB2312"/>
          <w:b w:val="0"/>
          <w:sz w:val="32"/>
        </w:rPr>
        <w:t>本单位无其他需说明的事项</w:t>
      </w:r>
      <w:bookmarkStart w:id="0" w:name="_GoBack"/>
      <w:bookmarkEnd w:id="0"/>
      <w:r>
        <w:rPr>
          <w:rFonts w:ascii="仿宋_GB2312" w:hAnsi="仿宋_GB2312" w:eastAsia="仿宋_GB2312"/>
          <w:b w:val="0"/>
          <w:sz w:val="32"/>
        </w:rPr>
        <w:t>。</w:t>
      </w:r>
    </w:p>
    <w:p w14:paraId="34E86D5B">
      <w:r>
        <w:br w:type="page"/>
      </w:r>
    </w:p>
    <w:p w14:paraId="590D2051">
      <w:pPr>
        <w:spacing w:line="240" w:lineRule="auto"/>
        <w:jc w:val="center"/>
        <w:outlineLvl w:val="1"/>
      </w:pPr>
      <w:r>
        <w:rPr>
          <w:rFonts w:ascii="黑体" w:hAnsi="黑体" w:eastAsia="黑体"/>
          <w:sz w:val="32"/>
        </w:rPr>
        <w:t>第三部分 专业名词解释</w:t>
      </w:r>
    </w:p>
    <w:p w14:paraId="1E92AE8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70327D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2DC14E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B00DF1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9F86A2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9E4B75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EF4A4A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2D5118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C74E8D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F5B933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4B0A2F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2E972D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A249D3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687CA8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BEE6217">
      <w:r>
        <w:br w:type="page"/>
      </w:r>
    </w:p>
    <w:p w14:paraId="45AA28A7">
      <w:pPr>
        <w:spacing w:line="240" w:lineRule="auto"/>
        <w:jc w:val="center"/>
        <w:outlineLvl w:val="1"/>
      </w:pPr>
      <w:r>
        <w:rPr>
          <w:rFonts w:ascii="黑体" w:hAnsi="黑体" w:eastAsia="黑体"/>
          <w:sz w:val="32"/>
        </w:rPr>
        <w:t>第四部分 部门决算报表（见附表）</w:t>
      </w:r>
    </w:p>
    <w:p w14:paraId="158286E5">
      <w:pPr>
        <w:spacing w:line="240" w:lineRule="auto"/>
        <w:ind w:firstLine="640"/>
        <w:jc w:val="both"/>
      </w:pPr>
      <w:r>
        <w:rPr>
          <w:rFonts w:ascii="仿宋_GB2312" w:hAnsi="仿宋_GB2312" w:eastAsia="仿宋_GB2312"/>
          <w:b w:val="0"/>
          <w:sz w:val="32"/>
        </w:rPr>
        <w:t>一、《收入支出决算总表》</w:t>
      </w:r>
    </w:p>
    <w:p w14:paraId="18FC3A75">
      <w:pPr>
        <w:spacing w:line="240" w:lineRule="auto"/>
        <w:ind w:firstLine="640"/>
        <w:jc w:val="both"/>
      </w:pPr>
      <w:r>
        <w:rPr>
          <w:rFonts w:ascii="仿宋_GB2312" w:hAnsi="仿宋_GB2312" w:eastAsia="仿宋_GB2312"/>
          <w:b w:val="0"/>
          <w:sz w:val="32"/>
        </w:rPr>
        <w:t>二、《收入决算表》</w:t>
      </w:r>
    </w:p>
    <w:p w14:paraId="6D76BE6D">
      <w:pPr>
        <w:spacing w:line="240" w:lineRule="auto"/>
        <w:ind w:firstLine="640"/>
        <w:jc w:val="both"/>
      </w:pPr>
      <w:r>
        <w:rPr>
          <w:rFonts w:ascii="仿宋_GB2312" w:hAnsi="仿宋_GB2312" w:eastAsia="仿宋_GB2312"/>
          <w:b w:val="0"/>
          <w:sz w:val="32"/>
        </w:rPr>
        <w:t>三、《支出决算表》</w:t>
      </w:r>
    </w:p>
    <w:p w14:paraId="0F172C52">
      <w:pPr>
        <w:spacing w:line="240" w:lineRule="auto"/>
        <w:ind w:firstLine="640"/>
        <w:jc w:val="both"/>
      </w:pPr>
      <w:r>
        <w:rPr>
          <w:rFonts w:ascii="仿宋_GB2312" w:hAnsi="仿宋_GB2312" w:eastAsia="仿宋_GB2312"/>
          <w:b w:val="0"/>
          <w:sz w:val="32"/>
        </w:rPr>
        <w:t>四、《财政拨款收入支出决算总表》</w:t>
      </w:r>
    </w:p>
    <w:p w14:paraId="1A58DBD3">
      <w:pPr>
        <w:spacing w:line="240" w:lineRule="auto"/>
        <w:ind w:firstLine="640"/>
        <w:jc w:val="both"/>
      </w:pPr>
      <w:r>
        <w:rPr>
          <w:rFonts w:ascii="仿宋_GB2312" w:hAnsi="仿宋_GB2312" w:eastAsia="仿宋_GB2312"/>
          <w:b w:val="0"/>
          <w:sz w:val="32"/>
        </w:rPr>
        <w:t>五、《一般公共预算财政拨款支出决算表》</w:t>
      </w:r>
    </w:p>
    <w:p w14:paraId="6A224E9A">
      <w:pPr>
        <w:spacing w:line="240" w:lineRule="auto"/>
        <w:ind w:firstLine="640"/>
        <w:jc w:val="both"/>
      </w:pPr>
      <w:r>
        <w:rPr>
          <w:rFonts w:ascii="仿宋_GB2312" w:hAnsi="仿宋_GB2312" w:eastAsia="仿宋_GB2312"/>
          <w:b w:val="0"/>
          <w:sz w:val="32"/>
        </w:rPr>
        <w:t>六、《一般公共预算财政拨款基本支出决算表》</w:t>
      </w:r>
    </w:p>
    <w:p w14:paraId="084FFB1C">
      <w:pPr>
        <w:spacing w:line="240" w:lineRule="auto"/>
        <w:ind w:firstLine="640"/>
        <w:jc w:val="both"/>
      </w:pPr>
      <w:r>
        <w:rPr>
          <w:rFonts w:ascii="仿宋_GB2312" w:hAnsi="仿宋_GB2312" w:eastAsia="仿宋_GB2312"/>
          <w:b w:val="0"/>
          <w:sz w:val="32"/>
        </w:rPr>
        <w:t>七、《政府性基金预算财政拨款收入支出决算表》</w:t>
      </w:r>
    </w:p>
    <w:p w14:paraId="251D4F26">
      <w:pPr>
        <w:spacing w:line="240" w:lineRule="auto"/>
        <w:ind w:firstLine="640"/>
        <w:jc w:val="both"/>
      </w:pPr>
      <w:r>
        <w:rPr>
          <w:rFonts w:ascii="仿宋_GB2312" w:hAnsi="仿宋_GB2312" w:eastAsia="仿宋_GB2312"/>
          <w:b w:val="0"/>
          <w:sz w:val="32"/>
        </w:rPr>
        <w:t>八、《国有资本经营预算财政拨款收入支出决算表》</w:t>
      </w:r>
    </w:p>
    <w:p w14:paraId="3641C54C">
      <w:pPr>
        <w:spacing w:line="240" w:lineRule="auto"/>
        <w:ind w:firstLine="640"/>
        <w:jc w:val="both"/>
      </w:pPr>
      <w:r>
        <w:rPr>
          <w:rFonts w:ascii="仿宋_GB2312" w:hAnsi="仿宋_GB2312" w:eastAsia="仿宋_GB2312"/>
          <w:b w:val="0"/>
          <w:sz w:val="32"/>
        </w:rPr>
        <w:t>九、《财政拨款“三公”经费支出决算表》</w:t>
      </w:r>
    </w:p>
    <w:p w14:paraId="44A71262">
      <w:pPr>
        <w:spacing w:line="240" w:lineRule="auto"/>
        <w:ind w:firstLine="640"/>
        <w:jc w:val="both"/>
      </w:pPr>
    </w:p>
    <w:p w14:paraId="02B0F485">
      <w:pPr>
        <w:spacing w:line="240" w:lineRule="auto"/>
        <w:ind w:firstLine="640"/>
        <w:jc w:val="both"/>
      </w:pPr>
    </w:p>
    <w:p w14:paraId="4FEF633F">
      <w:pPr>
        <w:spacing w:line="240" w:lineRule="auto"/>
        <w:ind w:firstLine="640"/>
        <w:jc w:val="both"/>
      </w:pPr>
    </w:p>
    <w:p w14:paraId="0A5F9F26">
      <w:pPr>
        <w:spacing w:line="240" w:lineRule="auto"/>
        <w:ind w:firstLine="640"/>
        <w:jc w:val="both"/>
      </w:pPr>
    </w:p>
    <w:p w14:paraId="79EB325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E972387-9586-4E63-B98E-EC783E33EE7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96F7CE3-AB8C-48FD-946D-9ED119A3DA7F}"/>
  </w:font>
  <w:font w:name="仿宋_GB2312">
    <w:panose1 w:val="02010609030101010101"/>
    <w:charset w:val="86"/>
    <w:family w:val="modern"/>
    <w:pitch w:val="default"/>
    <w:sig w:usb0="00000001" w:usb1="080E0000" w:usb2="00000000" w:usb3="00000000" w:csb0="00040000" w:csb1="00000000"/>
    <w:embedRegular r:id="rId3" w:fontKey="{12CE3469-E54E-428F-A028-47C7E7C99EA7}"/>
  </w:font>
  <w:font w:name="楷体_GB2312">
    <w:panose1 w:val="02010609030101010101"/>
    <w:charset w:val="86"/>
    <w:family w:val="auto"/>
    <w:pitch w:val="default"/>
    <w:sig w:usb0="00000001" w:usb1="080E0000" w:usb2="00000000" w:usb3="00000000" w:csb0="00040000" w:csb1="00000000"/>
    <w:embedRegular r:id="rId4" w:fontKey="{25A572DA-1993-4A41-9B98-EA4712C69CA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6B6840"/>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B164DA"/>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5383</Words>
  <Characters>6076</Characters>
  <Lines>0</Lines>
  <Paragraphs>0</Paragraphs>
  <TotalTime>6</TotalTime>
  <ScaleCrop>false</ScaleCrop>
  <LinksUpToDate>false</LinksUpToDate>
  <CharactersWithSpaces>6084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2025-09-03T10:46:47Z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