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F3C24B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喀什地区生态环境局疏附县分局2024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50FCE6B">
      <w:r>
        <w:br w:type="page"/>
      </w:r>
    </w:p>
    <w:p w14:paraId="4BAB97EE">
      <w:pPr>
        <w:spacing w:line="640" w:lineRule="exact"/>
        <w:jc w:val="center"/>
        <w:outlineLvl w:val="1"/>
      </w:pPr>
      <w:r>
        <w:rPr>
          <w:rFonts w:ascii="黑体" w:hAnsi="黑体" w:eastAsia="黑体"/>
          <w:sz w:val="32"/>
        </w:rPr>
        <w:t>第一部分 单位概况</w:t>
      </w:r>
    </w:p>
    <w:p w14:paraId="44EA72BD">
      <w:pPr>
        <w:spacing w:line="640" w:lineRule="exact"/>
        <w:ind w:firstLine="640"/>
        <w:jc w:val="both"/>
        <w:outlineLvl w:val="2"/>
      </w:pPr>
      <w:r>
        <w:rPr>
          <w:rFonts w:ascii="黑体" w:hAnsi="黑体" w:eastAsia="黑体"/>
          <w:sz w:val="32"/>
        </w:rPr>
        <w:t>一、主要职能</w:t>
      </w:r>
    </w:p>
    <w:p w14:paraId="331F39CC">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6E7D3AF0">
      <w:pPr>
        <w:spacing w:line="580" w:lineRule="exact"/>
        <w:ind w:firstLine="640"/>
        <w:jc w:val="both"/>
      </w:pPr>
      <w:r>
        <w:rPr>
          <w:rFonts w:ascii="仿宋_GB2312" w:hAnsi="仿宋_GB2312" w:eastAsia="仿宋_GB2312"/>
          <w:sz w:val="32"/>
        </w:rPr>
        <w:t>（二）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区域、流域生态环境保护工作。</w:t>
      </w:r>
    </w:p>
    <w:p w14:paraId="6502E988">
      <w:pPr>
        <w:spacing w:line="580" w:lineRule="exact"/>
        <w:ind w:firstLine="640"/>
        <w:jc w:val="both"/>
      </w:pPr>
      <w:r>
        <w:rPr>
          <w:rFonts w:ascii="仿宋_GB2312" w:hAnsi="仿宋_GB2312" w:eastAsia="仿宋_GB2312"/>
          <w:sz w:val="32"/>
        </w:rPr>
        <w:t>（三）负责监督管理自治区减排目标的落实。贯彻落实国家、自治区、地区污染物排放总量控制、排污许可制度并监督实施。拟订县域总量控制计划并监督实施，实施生态环境保护目标责任制。</w:t>
      </w:r>
    </w:p>
    <w:p w14:paraId="630D5381">
      <w:pPr>
        <w:spacing w:line="580" w:lineRule="exact"/>
        <w:ind w:firstLine="640"/>
        <w:jc w:val="both"/>
      </w:pPr>
      <w:r>
        <w:rPr>
          <w:rFonts w:ascii="仿宋_GB2312" w:hAnsi="仿宋_GB2312" w:eastAsia="仿宋_GB2312"/>
          <w:sz w:val="32"/>
        </w:rPr>
        <w:t>（四）负责环境污染防治的监督管理。根据国家、自治区和地区大气、水、土壤、噪声、光、恶臭、固体废物、化学品、机动车等的污染防治管理制度，拟订县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6AEF774A">
      <w:pPr>
        <w:spacing w:line="580" w:lineRule="exact"/>
        <w:ind w:firstLine="640"/>
        <w:jc w:val="both"/>
      </w:pPr>
      <w:r>
        <w:rPr>
          <w:rFonts w:ascii="仿宋_GB2312" w:hAnsi="仿宋_GB2312" w:eastAsia="仿宋_GB2312"/>
          <w:sz w:val="32"/>
        </w:rPr>
        <w:t>（五）指导协调和监督生态保护修复工作。组织编制县生态保护规划，监督对生态环境有影响的自然资源开发利用活动、重要生态环境建设和生态破坏恢复工作。组织制定各类自然保护地生态环境监管制度并监督执法。</w:t>
      </w:r>
    </w:p>
    <w:p w14:paraId="0621BDFF">
      <w:pPr>
        <w:spacing w:line="580" w:lineRule="exact"/>
        <w:ind w:firstLine="640"/>
        <w:jc w:val="both"/>
      </w:pPr>
      <w:r>
        <w:rPr>
          <w:rFonts w:ascii="仿宋_GB2312" w:hAnsi="仿宋_GB2312" w:eastAsia="仿宋_GB2312"/>
          <w:sz w:val="32"/>
        </w:rPr>
        <w:t>（六）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200C0A76">
      <w:pPr>
        <w:spacing w:line="580" w:lineRule="exact"/>
        <w:ind w:firstLine="640"/>
        <w:jc w:val="both"/>
      </w:pPr>
      <w:r>
        <w:rPr>
          <w:rFonts w:ascii="仿宋_GB2312" w:hAnsi="仿宋_GB2312" w:eastAsia="仿宋_GB2312"/>
          <w:sz w:val="32"/>
        </w:rPr>
        <w:t>（七）负责生态环境准入的监督管理。受地区生态环境局委托按照国家、自治区和地区规定，负责规划环境影响评价、政策环境影响评价审查和项目环境影响评价审批。实施生态环境准入清单。</w:t>
      </w:r>
    </w:p>
    <w:p w14:paraId="46255611">
      <w:pPr>
        <w:spacing w:line="580" w:lineRule="exact"/>
        <w:ind w:firstLine="640"/>
        <w:jc w:val="both"/>
      </w:pPr>
      <w:r>
        <w:rPr>
          <w:rFonts w:ascii="仿宋_GB2312" w:hAnsi="仿宋_GB2312" w:eastAsia="仿宋_GB2312"/>
          <w:sz w:val="32"/>
        </w:rPr>
        <w:t>（八）负责生态环境监测工作。会同有关部门统一规划县生态环境质量监测站点设置，组织实施生态环境监测、生态环境质量状况调查评价、考核、预警预测。执行生态环境质量公告制度，统一发布县域生态环境综合性报告和生态环境信息。</w:t>
      </w:r>
    </w:p>
    <w:p w14:paraId="26C87083">
      <w:pPr>
        <w:spacing w:line="580" w:lineRule="exact"/>
        <w:ind w:firstLine="640"/>
        <w:jc w:val="both"/>
      </w:pPr>
      <w:r>
        <w:rPr>
          <w:rFonts w:ascii="仿宋_GB2312" w:hAnsi="仿宋_GB2312" w:eastAsia="仿宋_GB2312"/>
          <w:sz w:val="32"/>
        </w:rPr>
        <w:t>（九）负责应对气候变化工作。组织协调实施应对气候变化及温室气体减排的规划和政策措施。协调组织应对气候变化对外合作和能力建设。</w:t>
      </w:r>
    </w:p>
    <w:p w14:paraId="0AEFB631">
      <w:pPr>
        <w:spacing w:line="580" w:lineRule="exact"/>
        <w:ind w:firstLine="640"/>
        <w:jc w:val="both"/>
      </w:pPr>
      <w:r>
        <w:rPr>
          <w:rFonts w:ascii="仿宋_GB2312" w:hAnsi="仿宋_GB2312" w:eastAsia="仿宋_GB2312"/>
          <w:sz w:val="32"/>
        </w:rPr>
        <w:t>（十）负责生态环境监察工作。建立健全</w:t>
      </w:r>
      <w:r>
        <w:rPr>
          <w:rFonts w:hint="eastAsia" w:ascii="仿宋_GB2312" w:hAnsi="仿宋_GB2312" w:eastAsia="仿宋_GB2312"/>
          <w:sz w:val="32"/>
          <w:lang w:eastAsia="zh-CN"/>
        </w:rPr>
        <w:t>生态环境保护督察</w:t>
      </w:r>
      <w:r>
        <w:rPr>
          <w:rFonts w:ascii="仿宋_GB2312" w:hAnsi="仿宋_GB2312" w:eastAsia="仿宋_GB2312"/>
          <w:sz w:val="32"/>
        </w:rPr>
        <w:t>制度，根据授权对贯彻落实中央生态环境保护决策部署、自治区和地区工作要求情况进行监察问责。组织协调生态环境保护督察工作。</w:t>
      </w:r>
    </w:p>
    <w:p w14:paraId="63AD0DCC">
      <w:pPr>
        <w:spacing w:line="580" w:lineRule="exact"/>
        <w:ind w:firstLine="640"/>
        <w:jc w:val="both"/>
      </w:pPr>
      <w:r>
        <w:rPr>
          <w:rFonts w:ascii="仿宋_GB2312" w:hAnsi="仿宋_GB2312" w:eastAsia="仿宋_GB2312"/>
          <w:sz w:val="32"/>
        </w:rPr>
        <w:t>（十一）统一负责生态环境监督执法。组织开展生态环境保护执法检查活动，查处生态环境违法案件。负责环境信访投诉案件的办理。指导生态环境保护综合执法队伍建设和业务工作。</w:t>
      </w:r>
    </w:p>
    <w:p w14:paraId="3EB42887">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2F2361EB">
      <w:pPr>
        <w:spacing w:line="580" w:lineRule="exact"/>
        <w:ind w:firstLine="640"/>
        <w:jc w:val="both"/>
      </w:pPr>
      <w:r>
        <w:rPr>
          <w:rFonts w:ascii="仿宋_GB2312" w:hAnsi="仿宋_GB2312" w:eastAsia="仿宋_GB2312"/>
          <w:sz w:val="32"/>
        </w:rPr>
        <w:t>（十三）完成县委、县政府及地区生态环境局交办的其他工作任务。</w:t>
      </w:r>
    </w:p>
    <w:p w14:paraId="135296D0">
      <w:pPr>
        <w:spacing w:line="640" w:lineRule="exact"/>
        <w:ind w:firstLine="640"/>
        <w:jc w:val="both"/>
        <w:outlineLvl w:val="2"/>
      </w:pPr>
      <w:r>
        <w:rPr>
          <w:rFonts w:ascii="黑体" w:hAnsi="黑体" w:eastAsia="黑体"/>
          <w:sz w:val="32"/>
        </w:rPr>
        <w:t>二、机构设置及人员情况</w:t>
      </w:r>
    </w:p>
    <w:p w14:paraId="10DD7D31">
      <w:pPr>
        <w:spacing w:line="580" w:lineRule="exact"/>
        <w:ind w:firstLine="640"/>
        <w:jc w:val="both"/>
      </w:pPr>
      <w:r>
        <w:rPr>
          <w:rFonts w:ascii="仿宋_GB2312" w:hAnsi="仿宋_GB2312" w:eastAsia="仿宋_GB2312"/>
          <w:sz w:val="32"/>
        </w:rPr>
        <w:t>喀什地区生态环境局疏附县分局2024年度，实有人数7人，其中：在职人员7人，增加0人；离休人员0人，增加0人；退休人员0人,减少2人。</w:t>
      </w:r>
    </w:p>
    <w:p w14:paraId="052C4958">
      <w:pPr>
        <w:spacing w:line="580" w:lineRule="exact"/>
        <w:ind w:firstLine="640"/>
        <w:jc w:val="both"/>
      </w:pPr>
      <w:r>
        <w:rPr>
          <w:rFonts w:ascii="仿宋_GB2312" w:hAnsi="仿宋_GB2312" w:eastAsia="仿宋_GB2312"/>
          <w:sz w:val="32"/>
        </w:rPr>
        <w:t>喀什地区生态环境局疏附县分局无下属预算单位，下设1个科室，分别是：办公室。</w:t>
      </w:r>
    </w:p>
    <w:p w14:paraId="52ADC824">
      <w:r>
        <w:br w:type="page"/>
      </w:r>
    </w:p>
    <w:p w14:paraId="38559B2A">
      <w:pPr>
        <w:spacing w:line="240" w:lineRule="auto"/>
        <w:jc w:val="center"/>
        <w:outlineLvl w:val="1"/>
      </w:pPr>
      <w:r>
        <w:rPr>
          <w:rFonts w:ascii="黑体" w:hAnsi="黑体" w:eastAsia="黑体"/>
          <w:sz w:val="32"/>
        </w:rPr>
        <w:t>第二部分 部门决算情况说明</w:t>
      </w:r>
    </w:p>
    <w:p w14:paraId="53DEC876">
      <w:pPr>
        <w:spacing w:line="640" w:lineRule="exact"/>
        <w:ind w:firstLine="640"/>
        <w:jc w:val="both"/>
        <w:outlineLvl w:val="2"/>
      </w:pPr>
      <w:r>
        <w:rPr>
          <w:rFonts w:ascii="黑体" w:hAnsi="黑体" w:eastAsia="黑体"/>
          <w:sz w:val="32"/>
        </w:rPr>
        <w:t>一、收入支出决算总体情况说明</w:t>
      </w:r>
    </w:p>
    <w:p w14:paraId="21500103">
      <w:pPr>
        <w:spacing w:line="580" w:lineRule="exact"/>
        <w:ind w:firstLine="640"/>
        <w:jc w:val="both"/>
      </w:pPr>
      <w:r>
        <w:rPr>
          <w:rFonts w:ascii="仿宋_GB2312" w:hAnsi="仿宋_GB2312" w:eastAsia="仿宋_GB2312"/>
          <w:b/>
          <w:sz w:val="32"/>
        </w:rPr>
        <w:t>2024年度收入总计162.68万元，</w:t>
      </w:r>
      <w:r>
        <w:rPr>
          <w:rFonts w:ascii="仿宋_GB2312" w:hAnsi="仿宋_GB2312" w:eastAsia="仿宋_GB2312"/>
          <w:b w:val="0"/>
          <w:sz w:val="32"/>
        </w:rPr>
        <w:t>其中：本年收入合计162.68万元，使用非财政拨款结余（含专用结余）0.00万元，年初结转和结余0.00万元。</w:t>
      </w:r>
    </w:p>
    <w:p w14:paraId="2CD861A0">
      <w:pPr>
        <w:spacing w:line="580" w:lineRule="exact"/>
        <w:ind w:firstLine="640"/>
        <w:jc w:val="both"/>
      </w:pPr>
      <w:r>
        <w:rPr>
          <w:rFonts w:ascii="仿宋_GB2312" w:hAnsi="仿宋_GB2312" w:eastAsia="仿宋_GB2312"/>
          <w:b/>
          <w:sz w:val="32"/>
        </w:rPr>
        <w:t>2024年度支出总计162.68万元，</w:t>
      </w:r>
      <w:r>
        <w:rPr>
          <w:rFonts w:ascii="仿宋_GB2312" w:hAnsi="仿宋_GB2312" w:eastAsia="仿宋_GB2312"/>
          <w:b w:val="0"/>
          <w:sz w:val="32"/>
        </w:rPr>
        <w:t>其中：本年支出合计162.68万元，结余分配0.00万元，年末结转和结余0.00万元。</w:t>
      </w:r>
    </w:p>
    <w:p w14:paraId="79E96ED4">
      <w:pPr>
        <w:spacing w:line="580" w:lineRule="exact"/>
        <w:ind w:firstLine="640"/>
        <w:jc w:val="both"/>
      </w:pPr>
      <w:r>
        <w:rPr>
          <w:rFonts w:ascii="仿宋_GB2312" w:hAnsi="仿宋_GB2312" w:eastAsia="仿宋_GB2312"/>
          <w:b w:val="0"/>
          <w:sz w:val="32"/>
        </w:rPr>
        <w:t>收入支出总体与上年相比，增加24.19万元，增长17.47%，主要原因是：1、本年在职1人死亡，发放一次性丧葬费；2、本年在职人员工资调增，社保、公积金基数调增，人员经费增加。</w:t>
      </w:r>
    </w:p>
    <w:p w14:paraId="2CFCD666">
      <w:pPr>
        <w:spacing w:line="640" w:lineRule="exact"/>
        <w:ind w:firstLine="640"/>
        <w:jc w:val="both"/>
        <w:outlineLvl w:val="2"/>
      </w:pPr>
      <w:r>
        <w:rPr>
          <w:rFonts w:ascii="黑体" w:hAnsi="黑体" w:eastAsia="黑体"/>
          <w:sz w:val="32"/>
        </w:rPr>
        <w:t>二、收入决算情况说明</w:t>
      </w:r>
    </w:p>
    <w:p w14:paraId="5841C877">
      <w:pPr>
        <w:spacing w:line="580" w:lineRule="exact"/>
        <w:ind w:firstLine="640"/>
        <w:jc w:val="both"/>
      </w:pPr>
      <w:r>
        <w:rPr>
          <w:rFonts w:ascii="仿宋_GB2312" w:hAnsi="仿宋_GB2312" w:eastAsia="仿宋_GB2312"/>
          <w:b/>
          <w:sz w:val="32"/>
        </w:rPr>
        <w:t>本年收入162.68万元，</w:t>
      </w:r>
      <w:r>
        <w:rPr>
          <w:rFonts w:ascii="仿宋_GB2312" w:hAnsi="仿宋_GB2312" w:eastAsia="仿宋_GB2312"/>
          <w:b w:val="0"/>
          <w:sz w:val="32"/>
        </w:rPr>
        <w:t>其中：财政拨款收入162.68万元，占100.00%；上级补助收入0.00万元，占0.00%；事业收入0.00万元，占0.00%；经营收入0.00万元，占0.00%；附属单位上缴收入0.00万元，占0.00%；其他收入0.00万元，占0.00%。</w:t>
      </w:r>
    </w:p>
    <w:p w14:paraId="36D00CB4">
      <w:pPr>
        <w:spacing w:line="640" w:lineRule="exact"/>
        <w:ind w:firstLine="640"/>
        <w:jc w:val="both"/>
        <w:outlineLvl w:val="2"/>
      </w:pPr>
      <w:r>
        <w:rPr>
          <w:rFonts w:ascii="黑体" w:hAnsi="黑体" w:eastAsia="黑体"/>
          <w:sz w:val="32"/>
        </w:rPr>
        <w:t>三、支出决算情况说明</w:t>
      </w:r>
    </w:p>
    <w:p w14:paraId="6BE63D36">
      <w:pPr>
        <w:spacing w:line="580" w:lineRule="exact"/>
        <w:ind w:firstLine="640"/>
        <w:jc w:val="both"/>
      </w:pPr>
      <w:r>
        <w:rPr>
          <w:rFonts w:ascii="仿宋_GB2312" w:hAnsi="仿宋_GB2312" w:eastAsia="仿宋_GB2312"/>
          <w:b/>
          <w:sz w:val="32"/>
        </w:rPr>
        <w:t>本年支出162.68万元，</w:t>
      </w:r>
      <w:r>
        <w:rPr>
          <w:rFonts w:ascii="仿宋_GB2312" w:hAnsi="仿宋_GB2312" w:eastAsia="仿宋_GB2312"/>
          <w:b w:val="0"/>
          <w:sz w:val="32"/>
        </w:rPr>
        <w:t>其中：基本支出162.68万元，占100.00%；项目支出0.00万元，占0.00%；上缴上级支出0.00万元，占0.00%；经营支出0.00万元，占0.00%；对附属单位补助支出0.00万元，占0.00%。</w:t>
      </w:r>
    </w:p>
    <w:p w14:paraId="22AE1D64">
      <w:pPr>
        <w:spacing w:line="640" w:lineRule="exact"/>
        <w:ind w:firstLine="640"/>
        <w:jc w:val="both"/>
        <w:outlineLvl w:val="2"/>
      </w:pPr>
      <w:r>
        <w:rPr>
          <w:rFonts w:ascii="黑体" w:hAnsi="黑体" w:eastAsia="黑体"/>
          <w:sz w:val="32"/>
        </w:rPr>
        <w:t>四、财政拨款收入支出决算总体情况说明</w:t>
      </w:r>
    </w:p>
    <w:p w14:paraId="0B078832">
      <w:pPr>
        <w:spacing w:line="580" w:lineRule="exact"/>
        <w:ind w:firstLine="640"/>
        <w:jc w:val="both"/>
      </w:pPr>
      <w:r>
        <w:rPr>
          <w:rFonts w:ascii="仿宋_GB2312" w:hAnsi="仿宋_GB2312" w:eastAsia="仿宋_GB2312"/>
          <w:b/>
          <w:sz w:val="32"/>
        </w:rPr>
        <w:t>2024年度财政拨款收入总计162.68万元，</w:t>
      </w:r>
      <w:r>
        <w:rPr>
          <w:rFonts w:ascii="仿宋_GB2312" w:hAnsi="仿宋_GB2312" w:eastAsia="仿宋_GB2312"/>
          <w:b w:val="0"/>
          <w:sz w:val="32"/>
        </w:rPr>
        <w:t>其中：年初财政拨款结转和结余0.00万元，本年财政拨款收入162.68万元。</w:t>
      </w:r>
      <w:r>
        <w:rPr>
          <w:rFonts w:ascii="仿宋_GB2312" w:hAnsi="仿宋_GB2312" w:eastAsia="仿宋_GB2312"/>
          <w:b/>
          <w:sz w:val="32"/>
        </w:rPr>
        <w:t>财政拨款支出总计162.68万元，</w:t>
      </w:r>
      <w:r>
        <w:rPr>
          <w:rFonts w:ascii="仿宋_GB2312" w:hAnsi="仿宋_GB2312" w:eastAsia="仿宋_GB2312"/>
          <w:b w:val="0"/>
          <w:sz w:val="32"/>
        </w:rPr>
        <w:t>其中：年末财政拨款结转和结余0.00万元，本年财政拨款支出162.68万元。</w:t>
      </w:r>
    </w:p>
    <w:p w14:paraId="0F63280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增加24.19万元，增长17.47%，主要原因是：1、本年在职1人死亡，发放一次性丧葬费；2、本年在职人员工资调增，社保、公积金基数调增，人员经费增加。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年初预算数146.13万元，决算数162.68万元，预决算差异率11.33%，主要原因是：年中追加人员工资、社保、公积金基数调增部分资金及去世人员一次性丧葬费，导致预决算存在差异。</w:t>
      </w:r>
    </w:p>
    <w:p w14:paraId="5C326A70">
      <w:pPr>
        <w:spacing w:line="640" w:lineRule="exact"/>
        <w:ind w:firstLine="640"/>
        <w:jc w:val="both"/>
        <w:outlineLvl w:val="2"/>
      </w:pPr>
      <w:r>
        <w:rPr>
          <w:rFonts w:ascii="黑体" w:hAnsi="黑体" w:eastAsia="黑体"/>
          <w:sz w:val="32"/>
        </w:rPr>
        <w:t>五、一般公共预算财政拨款支出决算情况说明</w:t>
      </w:r>
    </w:p>
    <w:p w14:paraId="66E65769">
      <w:pPr>
        <w:spacing w:line="640" w:lineRule="exact"/>
        <w:ind w:firstLine="640"/>
        <w:jc w:val="both"/>
        <w:outlineLvl w:val="3"/>
      </w:pPr>
      <w:r>
        <w:rPr>
          <w:rFonts w:ascii="楷体_GB2312" w:hAnsi="楷体_GB2312" w:eastAsia="楷体_GB2312"/>
          <w:b/>
          <w:sz w:val="32"/>
        </w:rPr>
        <w:t>（一）一般公共预算财政拨款支出决算总体情况</w:t>
      </w:r>
    </w:p>
    <w:p w14:paraId="21FBD8FA">
      <w:pPr>
        <w:spacing w:line="580" w:lineRule="exact"/>
        <w:ind w:firstLine="640"/>
        <w:jc w:val="both"/>
      </w:pPr>
      <w:r>
        <w:rPr>
          <w:rFonts w:ascii="仿宋_GB2312" w:hAnsi="仿宋_GB2312" w:eastAsia="仿宋_GB2312"/>
          <w:b/>
          <w:sz w:val="32"/>
        </w:rPr>
        <w:t>2024年度一般公共预算财政拨款支出162.68万元，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增加24.19万元，增长17.47%，主要原因是：1、本年在职1人死亡，发放一次性丧葬费；2、本年在职人员工资调增，社保、公积金基数调增，人员经费增加。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年初预算数146.13万元，决算数162.68万元，预决算差异率11.33%，主要原因是：年中追加人员工资、社保、公积金基数调增部分资金及去世人员一次性丧葬费，导致预决算存在差异。</w:t>
      </w:r>
    </w:p>
    <w:p w14:paraId="10D96BAA">
      <w:pPr>
        <w:spacing w:line="640" w:lineRule="exact"/>
        <w:ind w:firstLine="640"/>
        <w:jc w:val="both"/>
        <w:outlineLvl w:val="3"/>
      </w:pPr>
      <w:r>
        <w:rPr>
          <w:rFonts w:ascii="楷体_GB2312" w:hAnsi="楷体_GB2312" w:eastAsia="楷体_GB2312"/>
          <w:b/>
          <w:sz w:val="32"/>
        </w:rPr>
        <w:t>（二）一般公共预算财政拨款支出决算结构情况</w:t>
      </w:r>
    </w:p>
    <w:p w14:paraId="4A5C3E3F">
      <w:pPr>
        <w:spacing w:line="580" w:lineRule="exact"/>
        <w:ind w:firstLine="640"/>
        <w:jc w:val="both"/>
      </w:pPr>
      <w:r>
        <w:rPr>
          <w:rFonts w:ascii="仿宋_GB2312" w:hAnsi="仿宋_GB2312" w:eastAsia="仿宋_GB2312"/>
          <w:b w:val="0"/>
          <w:sz w:val="32"/>
        </w:rPr>
        <w:t>1.社会保障和就业支出(类)45.86万元,占28.19%。</w:t>
      </w:r>
    </w:p>
    <w:p w14:paraId="22FA1C15">
      <w:pPr>
        <w:spacing w:line="580" w:lineRule="exact"/>
        <w:ind w:firstLine="640"/>
        <w:jc w:val="both"/>
      </w:pPr>
      <w:r>
        <w:rPr>
          <w:rFonts w:ascii="仿宋_GB2312" w:hAnsi="仿宋_GB2312" w:eastAsia="仿宋_GB2312"/>
          <w:b w:val="0"/>
          <w:sz w:val="32"/>
        </w:rPr>
        <w:t>2.卫生健康支出(类)6.62万元,占4.07%。</w:t>
      </w:r>
    </w:p>
    <w:p w14:paraId="5FD32CA5">
      <w:pPr>
        <w:spacing w:line="580" w:lineRule="exact"/>
        <w:ind w:firstLine="640"/>
        <w:jc w:val="both"/>
      </w:pPr>
      <w:r>
        <w:rPr>
          <w:rFonts w:ascii="仿宋_GB2312" w:hAnsi="仿宋_GB2312" w:eastAsia="仿宋_GB2312"/>
          <w:b w:val="0"/>
          <w:sz w:val="32"/>
        </w:rPr>
        <w:t>3.节能环保支出(类)100.12万元,占61.54%。</w:t>
      </w:r>
    </w:p>
    <w:p w14:paraId="0C344B40">
      <w:pPr>
        <w:spacing w:line="580" w:lineRule="exact"/>
        <w:ind w:firstLine="640"/>
        <w:jc w:val="both"/>
      </w:pPr>
      <w:r>
        <w:rPr>
          <w:rFonts w:ascii="仿宋_GB2312" w:hAnsi="仿宋_GB2312" w:eastAsia="仿宋_GB2312"/>
          <w:b w:val="0"/>
          <w:sz w:val="32"/>
        </w:rPr>
        <w:t>4.住房保障支出(类)10.09万元,占6.20%。</w:t>
      </w:r>
    </w:p>
    <w:p w14:paraId="21ECC852">
      <w:pPr>
        <w:spacing w:line="640" w:lineRule="exact"/>
        <w:ind w:firstLine="640"/>
        <w:jc w:val="both"/>
        <w:outlineLvl w:val="3"/>
      </w:pPr>
      <w:r>
        <w:rPr>
          <w:rFonts w:ascii="楷体_GB2312" w:hAnsi="楷体_GB2312" w:eastAsia="楷体_GB2312"/>
          <w:b/>
          <w:sz w:val="32"/>
        </w:rPr>
        <w:t>（三）一般公共预算财政拨款支出决算具体情况</w:t>
      </w:r>
    </w:p>
    <w:p w14:paraId="4C689320">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1.社会保障和就业支出(类)行政事业单位养老支出(款)行政单位离退休(项):支出决算数为0.00万元，比上年决算减少1.91万元，下降100.00%,主要原因是：根据机构改革要求，退休人员划转，现单位无退休人员。</w:t>
      </w:r>
    </w:p>
    <w:p w14:paraId="049C49B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12.41万元，比上年决算增加0.56万元，增长4.73%,主要原因是：本年在职人员工资基数调增，养老缴费基数上涨，相应支出增加。</w:t>
      </w:r>
    </w:p>
    <w:p w14:paraId="636849B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3.社会保障和就业支出(类)行政事业单位养老支出(款)机关事业单位职业年金缴费支出(项):支出决算数为0.62万元，比上年决算增加0.62万元，增长100.00%,主要原因是：本年在职1人死亡，职业年金缴费支出增加。</w:t>
      </w:r>
    </w:p>
    <w:p w14:paraId="0FF3CED5">
      <w:pPr>
        <w:spacing w:line="580" w:lineRule="exact"/>
        <w:ind w:firstLine="640"/>
        <w:jc w:val="both"/>
      </w:pPr>
      <w:r>
        <w:rPr>
          <w:rFonts w:ascii="仿宋_GB2312" w:hAnsi="仿宋_GB2312" w:eastAsia="仿宋_GB2312"/>
          <w:b w:val="0"/>
          <w:sz w:val="32"/>
        </w:rPr>
        <w:t>4.社会保障和就业支出(类)抚恤(款)死亡抚恤(项):支出决算数为32.84万元，比上年决算增加32.84万元，增长100.00%,主要原因是：本年新增死亡人员1人，死亡抚恤支出增加。</w:t>
      </w:r>
    </w:p>
    <w:p w14:paraId="723B2A5B">
      <w:pPr>
        <w:spacing w:line="580" w:lineRule="exact"/>
        <w:ind w:firstLine="640"/>
        <w:jc w:val="both"/>
      </w:pPr>
      <w:r>
        <w:rPr>
          <w:rFonts w:ascii="仿宋_GB2312" w:hAnsi="仿宋_GB2312" w:eastAsia="仿宋_GB2312"/>
          <w:b w:val="0"/>
          <w:sz w:val="32"/>
        </w:rPr>
        <w:t>5.卫生健康支出(类)行政事业单位医疗(款)行政单位医疗(项):支出决算数为5.27万元，比上年决算减少0.12万元，下降2.23%,主要原因是：本年在职人员1人死亡，11月调出1人，调入2人，人员职级不同，缴费基数不同，导致行政单位医疗较上年减少。</w:t>
      </w:r>
    </w:p>
    <w:p w14:paraId="135A39C1">
      <w:pPr>
        <w:spacing w:line="580" w:lineRule="exact"/>
        <w:ind w:firstLine="640"/>
        <w:jc w:val="both"/>
      </w:pPr>
      <w:r>
        <w:rPr>
          <w:rFonts w:ascii="仿宋_GB2312" w:hAnsi="仿宋_GB2312" w:eastAsia="仿宋_GB2312"/>
          <w:b w:val="0"/>
          <w:sz w:val="32"/>
        </w:rPr>
        <w:t>6.卫生健康支出(类)行政事业单位医疗(款)公务员医疗补助(项):支出决算数为1.34万元，比上年决算减少0.09万元，下降6.29%,主要原因是：本年在职人员1人死亡，11月调出1人，调入2人，人员职级不同，缴费基数不同，导致公务员医疗补助较上年减少。</w:t>
      </w:r>
    </w:p>
    <w:p w14:paraId="32CB6953">
      <w:pPr>
        <w:spacing w:line="580" w:lineRule="exact"/>
        <w:ind w:firstLine="640"/>
        <w:jc w:val="both"/>
      </w:pPr>
      <w:r>
        <w:rPr>
          <w:rFonts w:ascii="仿宋_GB2312" w:hAnsi="仿宋_GB2312" w:eastAsia="仿宋_GB2312"/>
          <w:b w:val="0"/>
          <w:sz w:val="32"/>
        </w:rPr>
        <w:t>7.节能环保支出(类)环境保护管理事务(款)行政运行(项):支出决算数为100.12万元，比上年决算减少8.12万元，下降7.50%,主要原因是：本年在职人员调入调出，人员职级不同，工资基数不同，导致人员经费较上年减少。</w:t>
      </w:r>
    </w:p>
    <w:p w14:paraId="14911F8B">
      <w:pPr>
        <w:spacing w:line="580" w:lineRule="exact"/>
        <w:ind w:firstLine="640"/>
        <w:jc w:val="both"/>
      </w:pPr>
      <w:r>
        <w:rPr>
          <w:rFonts w:ascii="仿宋_GB2312" w:hAnsi="仿宋_GB2312" w:eastAsia="仿宋_GB2312"/>
          <w:b w:val="0"/>
          <w:sz w:val="32"/>
        </w:rPr>
        <w:t>8.住房保障支出(类)住房改革支出(款)住房公积金(项):支出决算数为10.09万元，比上年决算增加0.41万元，增长4.24%,主要原因是：本年在职人员工资基数调增，公积金缴费基数上涨，相应支出增加。</w:t>
      </w:r>
    </w:p>
    <w:p w14:paraId="0412D873">
      <w:pPr>
        <w:spacing w:line="640" w:lineRule="exact"/>
        <w:ind w:firstLine="640"/>
        <w:jc w:val="both"/>
        <w:outlineLvl w:val="2"/>
      </w:pPr>
      <w:r>
        <w:rPr>
          <w:rFonts w:ascii="黑体" w:hAnsi="黑体" w:eastAsia="黑体"/>
          <w:sz w:val="32"/>
        </w:rPr>
        <w:t>六、一般公共预算财政拨款基本支出决算情况说明</w:t>
      </w:r>
    </w:p>
    <w:p w14:paraId="7BB1E33B">
      <w:pPr>
        <w:spacing w:line="580" w:lineRule="exact"/>
        <w:ind w:firstLine="640"/>
        <w:jc w:val="both"/>
      </w:pPr>
      <w:r>
        <w:rPr>
          <w:rFonts w:ascii="仿宋_GB2312" w:hAnsi="仿宋_GB2312" w:eastAsia="仿宋_GB2312"/>
          <w:b w:val="0"/>
          <w:sz w:val="32"/>
        </w:rPr>
        <w:t>2024年度一般公共预算财政拨款基本支出162.68万元，其中：</w:t>
      </w:r>
      <w:r>
        <w:rPr>
          <w:rFonts w:ascii="仿宋_GB2312" w:hAnsi="仿宋_GB2312" w:eastAsia="仿宋_GB2312"/>
          <w:b/>
          <w:sz w:val="32"/>
        </w:rPr>
        <w:t>人员经费149.98万元，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包括：基本工资、津贴补贴、奖金、机关事业单位基本养老保险缴费、职业年金缴费、职工基本医疗保险缴费、公务员医疗补助缴费、其他社会保障缴费、住房公积金、抚恤金、生活补助。</w:t>
      </w:r>
    </w:p>
    <w:p w14:paraId="316141C7">
      <w:pPr>
        <w:spacing w:line="580" w:lineRule="exact"/>
        <w:ind w:firstLine="640"/>
        <w:jc w:val="both"/>
      </w:pPr>
      <w:r>
        <w:rPr>
          <w:rFonts w:ascii="仿宋_GB2312" w:hAnsi="仿宋_GB2312" w:eastAsia="仿宋_GB2312"/>
          <w:b/>
          <w:sz w:val="32"/>
        </w:rPr>
        <w:t>公用经费12.70万元，</w:t>
      </w:r>
      <w:r>
        <w:rPr>
          <w:rFonts w:ascii="仿宋_GB2312" w:hAnsi="仿宋_GB2312" w:eastAsia="仿宋_GB2312"/>
          <w:b w:val="0"/>
          <w:sz w:val="32"/>
        </w:rPr>
        <w:t>包括：办公费、水费、电费、邮电费、取暖费、差旅费、专用材料费、委托业务费、工会经费、公务用车运行维护费。</w:t>
      </w:r>
    </w:p>
    <w:p w14:paraId="4103BF36">
      <w:pPr>
        <w:spacing w:line="640" w:lineRule="exact"/>
        <w:ind w:firstLine="640"/>
        <w:jc w:val="both"/>
        <w:outlineLvl w:val="2"/>
      </w:pPr>
      <w:r>
        <w:rPr>
          <w:rFonts w:ascii="黑体" w:hAnsi="黑体" w:eastAsia="黑体"/>
          <w:sz w:val="32"/>
        </w:rPr>
        <w:t>七、政府性基金预算财政拨款收入支出决算情况说明</w:t>
      </w:r>
    </w:p>
    <w:p w14:paraId="140CBE4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DB57CE">
      <w:pPr>
        <w:spacing w:line="640" w:lineRule="exact"/>
        <w:ind w:firstLine="640"/>
        <w:jc w:val="both"/>
        <w:outlineLvl w:val="2"/>
      </w:pPr>
      <w:r>
        <w:rPr>
          <w:rFonts w:ascii="黑体" w:hAnsi="黑体" w:eastAsia="黑体"/>
          <w:sz w:val="32"/>
        </w:rPr>
        <w:t>八、国有资本经营预算财政拨款收入支出决算情况说明</w:t>
      </w:r>
    </w:p>
    <w:p w14:paraId="568B418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4DDFBD">
      <w:pPr>
        <w:spacing w:line="640" w:lineRule="exact"/>
        <w:ind w:firstLine="640"/>
        <w:jc w:val="both"/>
        <w:outlineLvl w:val="2"/>
      </w:pPr>
      <w:r>
        <w:rPr>
          <w:rFonts w:ascii="黑体" w:hAnsi="黑体" w:eastAsia="黑体"/>
          <w:sz w:val="32"/>
        </w:rPr>
        <w:t>九、财政拨款“三公”经费支出决算情况说明</w:t>
      </w:r>
    </w:p>
    <w:p w14:paraId="1DA05097">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1.50万元，增长100.00%，主要原因是：本年将车辆纳入公务用车管理，增加车辆运行经费。其中：因公出国（境）费支出0.00万元，占0.00%，比上年增加0.00万元，增长0.00%，主要原因是：2023年与2024年均未安排因公出国（境）费支出。公务用车购置及运行维护费支出1.50万元，占100.00%，比上年增加1.50万元，增长100.00%，主要原因是：本年将车辆纳入公务用车管理，增加车辆运行经费。公务接待费支出0.00万元，占0.00%，比上年增加0.00万元，增长0.00%，主要原因是：2023年与2024年均未安排公务接待费支出。</w:t>
      </w:r>
    </w:p>
    <w:p w14:paraId="1ADA3195">
      <w:pPr>
        <w:spacing w:line="580" w:lineRule="exact"/>
        <w:ind w:firstLine="640"/>
        <w:jc w:val="both"/>
      </w:pPr>
      <w:r>
        <w:rPr>
          <w:rFonts w:ascii="仿宋_GB2312" w:hAnsi="仿宋_GB2312" w:eastAsia="仿宋_GB2312"/>
          <w:b/>
          <w:sz w:val="32"/>
        </w:rPr>
        <w:t>具体情况如下：</w:t>
      </w:r>
    </w:p>
    <w:p w14:paraId="055DDCD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BADE843">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审车费、过路费等。公务用车购置数0辆，公务用车保有量1辆。国有资产占用情况中固定资产车辆5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公务用车1辆，单位业务用车4辆，为环卫车辆洒水车、扫路车、垃圾转运车等，预算未安排公务用车运行维护费。</w:t>
      </w:r>
    </w:p>
    <w:p w14:paraId="5772673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B49E5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20245EE4">
      <w:pPr>
        <w:spacing w:line="640" w:lineRule="exact"/>
        <w:ind w:firstLine="640"/>
        <w:jc w:val="both"/>
        <w:outlineLvl w:val="2"/>
      </w:pPr>
      <w:r>
        <w:rPr>
          <w:rFonts w:ascii="黑体" w:hAnsi="黑体" w:eastAsia="黑体"/>
          <w:sz w:val="32"/>
        </w:rPr>
        <w:t>十、其他重要事项的情况说明</w:t>
      </w:r>
    </w:p>
    <w:p w14:paraId="47D7B3A4">
      <w:pPr>
        <w:spacing w:line="640" w:lineRule="exact"/>
        <w:ind w:firstLine="640"/>
        <w:jc w:val="both"/>
        <w:outlineLvl w:val="3"/>
      </w:pPr>
      <w:r>
        <w:rPr>
          <w:rFonts w:ascii="楷体_GB2312" w:hAnsi="楷体_GB2312" w:eastAsia="楷体_GB2312"/>
          <w:b/>
          <w:sz w:val="32"/>
        </w:rPr>
        <w:t>（一）机关运行经费及公用经费支出情况</w:t>
      </w:r>
    </w:p>
    <w:p w14:paraId="5E59A954">
      <w:pPr>
        <w:spacing w:line="580" w:lineRule="exact"/>
        <w:ind w:firstLine="640"/>
        <w:jc w:val="both"/>
      </w:pPr>
      <w:r>
        <w:rPr>
          <w:rFonts w:ascii="仿宋_GB2312" w:hAnsi="仿宋_GB2312" w:eastAsia="仿宋_GB2312"/>
          <w:b w:val="0"/>
          <w:sz w:val="32"/>
        </w:rPr>
        <w:t>2024年度喀什地区生态环境局疏附县分局（行政单位和参照公务员法管理事业单位）机关运行经费支出12.70万元，比上年增加10.58万元，增长499.06%，主要原因是：本年办公场所暖气费、公务用车运行费增加，保障正常支出。</w:t>
      </w:r>
    </w:p>
    <w:p w14:paraId="43193538">
      <w:pPr>
        <w:spacing w:line="640" w:lineRule="exact"/>
        <w:ind w:firstLine="640"/>
        <w:jc w:val="both"/>
        <w:outlineLvl w:val="3"/>
      </w:pPr>
      <w:r>
        <w:rPr>
          <w:rFonts w:ascii="楷体_GB2312" w:hAnsi="楷体_GB2312" w:eastAsia="楷体_GB2312"/>
          <w:b/>
          <w:sz w:val="32"/>
        </w:rPr>
        <w:t>（二）政府采购情况</w:t>
      </w:r>
    </w:p>
    <w:p w14:paraId="74405953">
      <w:pPr>
        <w:spacing w:line="580" w:lineRule="exact"/>
        <w:ind w:firstLine="640"/>
        <w:jc w:val="both"/>
      </w:pPr>
      <w:r>
        <w:rPr>
          <w:rFonts w:ascii="仿宋_GB2312" w:hAnsi="仿宋_GB2312" w:eastAsia="仿宋_GB2312"/>
          <w:b w:val="0"/>
          <w:sz w:val="32"/>
        </w:rPr>
        <w:t>2024年度政府采购支出总额3.46万元，其中：政府采购货物支出3.17万元、政府采购工程支出0.00万元、政府采购服务支出0.29万元。</w:t>
      </w:r>
    </w:p>
    <w:p w14:paraId="01EF35B9">
      <w:pPr>
        <w:spacing w:line="580" w:lineRule="exact"/>
        <w:ind w:firstLine="640"/>
        <w:jc w:val="both"/>
      </w:pPr>
      <w:r>
        <w:rPr>
          <w:rFonts w:ascii="仿宋_GB2312" w:hAnsi="仿宋_GB2312" w:eastAsia="仿宋_GB2312"/>
          <w:b w:val="0"/>
          <w:sz w:val="32"/>
        </w:rPr>
        <w:t>授予中小企业合同金额3.17万元，占政府采购支出总额的91.62%，其中：授予小微企业合同金额3.17万元，占政府采购支出总额的91.62%。</w:t>
      </w:r>
    </w:p>
    <w:p w14:paraId="4A72357F">
      <w:pPr>
        <w:spacing w:line="640" w:lineRule="exact"/>
        <w:ind w:firstLine="640"/>
        <w:jc w:val="both"/>
        <w:outlineLvl w:val="3"/>
      </w:pPr>
      <w:r>
        <w:rPr>
          <w:rFonts w:ascii="楷体_GB2312" w:hAnsi="楷体_GB2312" w:eastAsia="楷体_GB2312"/>
          <w:b/>
          <w:sz w:val="32"/>
        </w:rPr>
        <w:t>（三）国有资产占用情况说明</w:t>
      </w:r>
    </w:p>
    <w:p w14:paraId="4792E8A5">
      <w:pPr>
        <w:spacing w:line="580" w:lineRule="exact"/>
        <w:ind w:firstLine="640"/>
        <w:jc w:val="both"/>
      </w:pPr>
      <w:r>
        <w:rPr>
          <w:rFonts w:ascii="仿宋_GB2312" w:hAnsi="仿宋_GB2312" w:eastAsia="仿宋_GB2312"/>
          <w:b w:val="0"/>
          <w:sz w:val="32"/>
        </w:rPr>
        <w:t>截至2024年12月31日，房屋2,722.50平方米，价值443.68万元。车辆5辆，价值296.39万元，其中：副部（省）级及以上领导用车0辆、主要负责人用车0辆、机要通信用车0辆、应急保障用车0辆、执法执勤用车1辆、特种专业技术用车0辆、离退休干部服务用车0辆、其他用车4辆，其他用车主要是：一般公务用车和单位业务用车。单价100万元（含）以上设备（不含车辆）2台（套）。</w:t>
      </w:r>
    </w:p>
    <w:p w14:paraId="0154C269">
      <w:pPr>
        <w:spacing w:line="640" w:lineRule="exact"/>
        <w:ind w:firstLine="640"/>
        <w:jc w:val="both"/>
        <w:outlineLvl w:val="2"/>
      </w:pPr>
      <w:r>
        <w:rPr>
          <w:rFonts w:ascii="黑体" w:hAnsi="黑体" w:eastAsia="黑体"/>
          <w:sz w:val="32"/>
        </w:rPr>
        <w:t>十一、预算绩效的情况说明</w:t>
      </w:r>
    </w:p>
    <w:p w14:paraId="6AAF522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162.68万元，实际执行总额162.68万元；预算绩效评价项目0个，全年预算数0.00万元，全年执行数0.00万元。预算绩效管理取得的成效：一是确保资金的高效使用，切实发挥财政资金使用效果；二是严格按照工作职责和相关文件依据，确保专款专用；三是严格控制资金的流出方向，确保资金的合规性。发现的问题及原因：一是财务人员、绩效人员对相关的制度规章的理解把握还有待进一步提升，相关知识还需要进一步强化；二是单位的内控制度还需要进一步完善，并严格执行，切实履行内控各项规定，发挥好内控监管作用；三是财务人员对预算的编报能力还需要进一步提升，特别是在保运转等方面，应更加详细、科学。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w:t>
      </w:r>
    </w:p>
    <w:p w14:paraId="4620953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7DF0B8">
        <w:tblPrEx>
          <w:tblCellMar>
            <w:top w:w="0" w:type="dxa"/>
            <w:left w:w="108" w:type="dxa"/>
            <w:bottom w:w="0" w:type="dxa"/>
            <w:right w:w="108" w:type="dxa"/>
          </w:tblCellMar>
        </w:tblPrEx>
        <w:tc>
          <w:tcPr>
            <w:tcW w:w="8847" w:type="dxa"/>
            <w:gridSpan w:val="9"/>
            <w:vAlign w:val="center"/>
          </w:tcPr>
          <w:p w14:paraId="63404E92">
            <w:pPr>
              <w:jc w:val="center"/>
            </w:pPr>
            <w:r>
              <w:rPr>
                <w:rFonts w:ascii="宋体" w:hAnsi="宋体" w:eastAsia="宋体"/>
                <w:sz w:val="24"/>
              </w:rPr>
              <w:t>单位整体支出绩效自评表</w:t>
            </w:r>
          </w:p>
        </w:tc>
      </w:tr>
      <w:tr w14:paraId="13FD825D">
        <w:tblPrEx>
          <w:tblCellMar>
            <w:top w:w="0" w:type="dxa"/>
            <w:left w:w="108" w:type="dxa"/>
            <w:bottom w:w="0" w:type="dxa"/>
            <w:right w:w="108" w:type="dxa"/>
          </w:tblCellMar>
        </w:tblPrEx>
        <w:tc>
          <w:tcPr>
            <w:tcW w:w="8847" w:type="dxa"/>
            <w:gridSpan w:val="9"/>
            <w:vAlign w:val="center"/>
          </w:tcPr>
          <w:p w14:paraId="52C84CD0">
            <w:pPr>
              <w:jc w:val="center"/>
            </w:pPr>
            <w:r>
              <w:rPr>
                <w:rFonts w:ascii="宋体" w:hAnsi="宋体" w:eastAsia="宋体"/>
                <w:sz w:val="24"/>
              </w:rPr>
              <w:t>（2024年度）</w:t>
            </w:r>
          </w:p>
        </w:tc>
      </w:tr>
      <w:tr w14:paraId="5650F1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B521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3854AE">
            <w:pPr>
              <w:jc w:val="center"/>
            </w:pPr>
            <w:r>
              <w:rPr>
                <w:rFonts w:ascii="宋体" w:hAnsi="宋体" w:eastAsia="宋体"/>
                <w:sz w:val="16"/>
              </w:rPr>
              <w:t>喀什地区生态环境局疏附县分局</w:t>
            </w:r>
          </w:p>
        </w:tc>
      </w:tr>
      <w:tr w14:paraId="113975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6621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B00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5488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A6A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5A45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48A4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C2FC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BBD1">
            <w:pPr>
              <w:jc w:val="center"/>
            </w:pPr>
            <w:r>
              <w:rPr>
                <w:rFonts w:ascii="宋体" w:hAnsi="宋体" w:eastAsia="宋体"/>
                <w:sz w:val="16"/>
              </w:rPr>
              <w:t>得分</w:t>
            </w:r>
          </w:p>
        </w:tc>
      </w:tr>
      <w:tr w14:paraId="537900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F3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84A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193B4">
            <w:pPr>
              <w:jc w:val="center"/>
            </w:pPr>
            <w:r>
              <w:rPr>
                <w:rFonts w:ascii="宋体" w:hAnsi="宋体" w:eastAsia="宋体"/>
                <w:sz w:val="16"/>
              </w:rPr>
              <w:t>146.13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C5EE3">
            <w:pPr>
              <w:jc w:val="center"/>
            </w:pPr>
            <w:r>
              <w:rPr>
                <w:rFonts w:ascii="宋体" w:hAnsi="宋体" w:eastAsia="宋体"/>
                <w:sz w:val="16"/>
              </w:rPr>
              <w:t>162.68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E97E4">
            <w:pPr>
              <w:jc w:val="center"/>
            </w:pPr>
            <w:r>
              <w:rPr>
                <w:rFonts w:ascii="宋体" w:hAnsi="宋体" w:eastAsia="宋体"/>
                <w:sz w:val="16"/>
              </w:rPr>
              <w:t>162.68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664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144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CB472">
            <w:pPr>
              <w:jc w:val="center"/>
            </w:pPr>
            <w:r>
              <w:rPr>
                <w:rFonts w:ascii="宋体" w:hAnsi="宋体" w:eastAsia="宋体"/>
                <w:sz w:val="16"/>
              </w:rPr>
              <w:t>10</w:t>
            </w:r>
          </w:p>
        </w:tc>
      </w:tr>
      <w:tr w14:paraId="6DD73D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CD3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F5E8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8EE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38BAC">
            <w:pPr>
              <w:jc w:val="center"/>
            </w:pPr>
            <w:r>
              <w:rPr>
                <w:rFonts w:ascii="宋体" w:hAnsi="宋体" w:eastAsia="宋体"/>
                <w:sz w:val="16"/>
              </w:rPr>
              <w:t>2.36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303A2">
            <w:pPr>
              <w:jc w:val="center"/>
            </w:pPr>
            <w:r>
              <w:rPr>
                <w:rFonts w:ascii="宋体" w:hAnsi="宋体" w:eastAsia="宋体"/>
                <w:sz w:val="16"/>
              </w:rPr>
              <w:t>2.36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4B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BCC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05F6">
            <w:pPr>
              <w:jc w:val="center"/>
            </w:pPr>
            <w:r>
              <w:rPr>
                <w:rFonts w:ascii="宋体" w:hAnsi="宋体" w:eastAsia="宋体"/>
                <w:sz w:val="16"/>
              </w:rPr>
              <w:t>—</w:t>
            </w:r>
          </w:p>
        </w:tc>
      </w:tr>
      <w:tr w14:paraId="49D18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D59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568C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105C5">
            <w:pPr>
              <w:jc w:val="center"/>
            </w:pPr>
            <w:r>
              <w:rPr>
                <w:rFonts w:ascii="宋体" w:hAnsi="宋体" w:eastAsia="宋体"/>
                <w:sz w:val="16"/>
              </w:rPr>
              <w:t>146.13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8E0AB">
            <w:pPr>
              <w:jc w:val="center"/>
            </w:pPr>
            <w:r>
              <w:rPr>
                <w:rFonts w:ascii="宋体" w:hAnsi="宋体" w:eastAsia="宋体"/>
                <w:sz w:val="16"/>
              </w:rPr>
              <w:t>160.32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2C79">
            <w:pPr>
              <w:jc w:val="center"/>
            </w:pPr>
            <w:r>
              <w:rPr>
                <w:rFonts w:ascii="宋体" w:hAnsi="宋体" w:eastAsia="宋体"/>
                <w:sz w:val="16"/>
              </w:rPr>
              <w:t>160.32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9C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A06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62DFE">
            <w:pPr>
              <w:jc w:val="center"/>
            </w:pPr>
            <w:r>
              <w:rPr>
                <w:rFonts w:ascii="宋体" w:hAnsi="宋体" w:eastAsia="宋体"/>
                <w:sz w:val="16"/>
              </w:rPr>
              <w:t>—</w:t>
            </w:r>
          </w:p>
        </w:tc>
      </w:tr>
      <w:tr w14:paraId="4E1F76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308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1318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61D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D18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639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4D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1641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FFD4E">
            <w:pPr>
              <w:jc w:val="center"/>
            </w:pPr>
            <w:r>
              <w:rPr>
                <w:rFonts w:ascii="宋体" w:hAnsi="宋体" w:eastAsia="宋体"/>
                <w:sz w:val="16"/>
              </w:rPr>
              <w:t>—</w:t>
            </w:r>
          </w:p>
        </w:tc>
      </w:tr>
      <w:tr w14:paraId="6A4DBD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799D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23A4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27599">
            <w:pPr>
              <w:jc w:val="center"/>
            </w:pPr>
            <w:r>
              <w:rPr>
                <w:rFonts w:ascii="宋体" w:hAnsi="宋体" w:eastAsia="宋体"/>
                <w:sz w:val="16"/>
              </w:rPr>
              <w:t>实际完成情况</w:t>
            </w:r>
          </w:p>
        </w:tc>
      </w:tr>
      <w:tr w14:paraId="26B332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0829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170511">
            <w:pPr>
              <w:jc w:val="both"/>
            </w:pPr>
            <w:r>
              <w:rPr>
                <w:rFonts w:ascii="宋体" w:hAnsi="宋体" w:eastAsia="宋体"/>
                <w:sz w:val="16"/>
              </w:rPr>
              <w:t>全年优良天数比例不低于45.2%；重污染天数比例控制在0.5%以内，PM2.5浓度低于52.8微克/立方米，辖区国控断面水质达到或好于三类比例达到100%。中央生态环境保护督察反馈问题整改完成1项销号，整体进度达到80%。以改善环境质量为核心，以解决突出环境问题为重点，扎实推进生态文明建设和生态环境保护，持续深入打好污染防治攻坚战，强化生态环境保护修复监管，防范和化解生态领域风险隐患，促进经济社会绿色发展转型，确保疏附社会主义大局</w:t>
            </w:r>
            <w:r>
              <w:rPr>
                <w:rFonts w:hint="eastAsia" w:ascii="宋体" w:hAnsi="宋体"/>
                <w:sz w:val="16"/>
                <w:lang w:val="en-US" w:eastAsia="zh-CN"/>
              </w:rPr>
              <w:t>稳定</w:t>
            </w:r>
            <w:r>
              <w:rPr>
                <w:rFonts w:ascii="宋体" w:hAnsi="宋体" w:eastAsia="宋体"/>
                <w:sz w:val="16"/>
              </w:rPr>
              <w:t>和长治久安。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05742">
            <w:pPr>
              <w:jc w:val="both"/>
            </w:pPr>
            <w:r>
              <w:rPr>
                <w:rFonts w:ascii="宋体" w:hAnsi="宋体" w:eastAsia="宋体"/>
                <w:sz w:val="16"/>
              </w:rPr>
              <w:t>2024年环境空气优良数209天，占比57.6%，重污染天数比例为0%，PM2.5年均浓度46微克/立方米，河流监测断面达到或好于Ⅲ类水体比例为100%、无劣Ⅴ类水质，无湖库监测点位、县级及以上城市集中式饮用水水源水质达到或好于Ⅲ类比例为100%，2024年中央生态环境保护督察反馈问题整改完成1项销号，整体进度达到80%。无土壤污染地块，水环境质量、土壤环境质量保持平稳。以改善环境质量为核心，以解决突出环境问题为重点，扎实推进生态文明建设和生态环境保护，持续深入打好污染防治攻坚战，强化生态环境保护修复监管，防范和化解生态领域风险隐患，促进经济社会绿色发展转型，确保疏附社会主义大局</w:t>
            </w:r>
            <w:r>
              <w:rPr>
                <w:rFonts w:hint="eastAsia" w:ascii="宋体" w:hAnsi="宋体"/>
                <w:sz w:val="16"/>
                <w:lang w:val="en-US" w:eastAsia="zh-CN"/>
              </w:rPr>
              <w:t>稳</w:t>
            </w:r>
            <w:bookmarkStart w:id="0" w:name="_GoBack"/>
            <w:bookmarkEnd w:id="0"/>
            <w:r>
              <w:rPr>
                <w:rFonts w:hint="eastAsia" w:ascii="宋体" w:hAnsi="宋体"/>
                <w:sz w:val="16"/>
                <w:lang w:val="en-US" w:eastAsia="zh-CN"/>
              </w:rPr>
              <w:t>定</w:t>
            </w:r>
            <w:r>
              <w:rPr>
                <w:rFonts w:ascii="宋体" w:hAnsi="宋体" w:eastAsia="宋体"/>
                <w:sz w:val="16"/>
              </w:rPr>
              <w:t>和长治久安。</w:t>
            </w:r>
          </w:p>
        </w:tc>
      </w:tr>
      <w:tr w14:paraId="15F672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67E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09B7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733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5A5D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50F7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5351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818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5F42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F6F8A">
            <w:pPr>
              <w:jc w:val="center"/>
            </w:pPr>
            <w:r>
              <w:rPr>
                <w:rFonts w:ascii="宋体" w:hAnsi="宋体" w:eastAsia="宋体"/>
                <w:sz w:val="16"/>
              </w:rPr>
              <w:t>得分</w:t>
            </w:r>
          </w:p>
        </w:tc>
      </w:tr>
      <w:tr w14:paraId="302EA3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ADD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15B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DF009">
            <w:pPr>
              <w:jc w:val="center"/>
            </w:pPr>
            <w:r>
              <w:rPr>
                <w:rFonts w:ascii="宋体" w:hAnsi="宋体" w:eastAsia="宋体"/>
                <w:sz w:val="16"/>
              </w:rPr>
              <w:t>疏附县空气优良天数比率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BB1F9">
            <w:pPr>
              <w:jc w:val="center"/>
            </w:pPr>
            <w:r>
              <w:rPr>
                <w:rFonts w:ascii="宋体" w:hAnsi="宋体" w:eastAsia="宋体"/>
                <w:sz w:val="16"/>
              </w:rPr>
              <w:t>&gt;=45.2%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CE764">
            <w:pPr>
              <w:jc w:val="center"/>
            </w:pPr>
            <w:r>
              <w:rPr>
                <w:rFonts w:ascii="宋体" w:hAnsi="宋体" w:eastAsia="宋体"/>
                <w:sz w:val="16"/>
              </w:rPr>
              <w:t>喀什地</w:t>
            </w:r>
            <w:r>
              <w:rPr>
                <w:rFonts w:hint="eastAsia" w:ascii="宋体" w:hAnsi="宋体"/>
                <w:sz w:val="16"/>
                <w:lang w:eastAsia="zh-CN"/>
              </w:rPr>
              <w:t>区生</w:t>
            </w:r>
            <w:r>
              <w:rPr>
                <w:rFonts w:ascii="宋体" w:hAnsi="宋体" w:eastAsia="宋体"/>
                <w:sz w:val="16"/>
              </w:rPr>
              <w:t>态环境局疏附县分局2024年工作计划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B5C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BABD9">
            <w:pPr>
              <w:jc w:val="center"/>
            </w:pPr>
            <w:r>
              <w:rPr>
                <w:rFonts w:ascii="宋体" w:hAnsi="宋体" w:eastAsia="宋体"/>
                <w:sz w:val="16"/>
              </w:rPr>
              <w:t>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FC079">
            <w:pPr>
              <w:jc w:val="center"/>
            </w:pPr>
            <w:r>
              <w:rPr>
                <w:rFonts w:ascii="宋体" w:hAnsi="宋体" w:eastAsia="宋体"/>
                <w:sz w:val="16"/>
              </w:rPr>
              <w:t>122.03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3B250">
            <w:pPr>
              <w:jc w:val="center"/>
            </w:pPr>
            <w:r>
              <w:rPr>
                <w:rFonts w:ascii="宋体" w:hAnsi="宋体" w:eastAsia="宋体"/>
                <w:sz w:val="16"/>
              </w:rPr>
              <w:t>20</w:t>
            </w:r>
          </w:p>
        </w:tc>
      </w:tr>
      <w:tr w14:paraId="44CCA1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9D1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22B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1B969">
            <w:pPr>
              <w:jc w:val="center"/>
            </w:pPr>
            <w:r>
              <w:rPr>
                <w:rFonts w:ascii="宋体" w:hAnsi="宋体" w:eastAsia="宋体"/>
                <w:sz w:val="16"/>
              </w:rPr>
              <w:t>疏附县全年PM2.5浓度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A7640">
            <w:pPr>
              <w:jc w:val="center"/>
            </w:pPr>
            <w:r>
              <w:rPr>
                <w:rFonts w:ascii="宋体" w:hAnsi="宋体" w:eastAsia="宋体"/>
                <w:sz w:val="16"/>
              </w:rPr>
              <w:t>&lt;=52.80微克/立方米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7734">
            <w:pPr>
              <w:jc w:val="center"/>
            </w:pPr>
            <w:r>
              <w:rPr>
                <w:rFonts w:ascii="宋体" w:hAnsi="宋体" w:eastAsia="宋体"/>
                <w:sz w:val="16"/>
              </w:rPr>
              <w:t>喀什地</w:t>
            </w:r>
            <w:r>
              <w:rPr>
                <w:rFonts w:hint="eastAsia" w:ascii="宋体" w:hAnsi="宋体"/>
                <w:sz w:val="16"/>
                <w:lang w:eastAsia="zh-CN"/>
              </w:rPr>
              <w:t>区生</w:t>
            </w:r>
            <w:r>
              <w:rPr>
                <w:rFonts w:ascii="宋体" w:hAnsi="宋体" w:eastAsia="宋体"/>
                <w:sz w:val="16"/>
              </w:rPr>
              <w:t>态环境局疏附县分局2024年工作计划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7CC1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3B177">
            <w:pPr>
              <w:jc w:val="center"/>
            </w:pPr>
            <w:r>
              <w:rPr>
                <w:rFonts w:ascii="宋体" w:hAnsi="宋体" w:eastAsia="宋体"/>
                <w:sz w:val="16"/>
              </w:rPr>
              <w:t>46微克/立方米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C96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34971">
            <w:pPr>
              <w:jc w:val="center"/>
            </w:pPr>
            <w:r>
              <w:rPr>
                <w:rFonts w:ascii="宋体" w:hAnsi="宋体" w:eastAsia="宋体"/>
                <w:sz w:val="16"/>
              </w:rPr>
              <w:t>20</w:t>
            </w:r>
          </w:p>
        </w:tc>
      </w:tr>
      <w:tr w14:paraId="7F3F05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835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178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E2819">
            <w:pPr>
              <w:jc w:val="center"/>
            </w:pPr>
            <w:r>
              <w:rPr>
                <w:rFonts w:ascii="宋体" w:hAnsi="宋体" w:eastAsia="宋体"/>
                <w:sz w:val="16"/>
              </w:rPr>
              <w:t>辖区河流监测断面达到或好于三类水体比率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D4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C0D15">
            <w:pPr>
              <w:jc w:val="center"/>
            </w:pPr>
            <w:r>
              <w:rPr>
                <w:rFonts w:ascii="宋体" w:hAnsi="宋体" w:eastAsia="宋体"/>
                <w:sz w:val="16"/>
              </w:rPr>
              <w:t>喀什地</w:t>
            </w:r>
            <w:r>
              <w:rPr>
                <w:rFonts w:hint="eastAsia" w:ascii="宋体" w:hAnsi="宋体"/>
                <w:sz w:val="16"/>
                <w:lang w:eastAsia="zh-CN"/>
              </w:rPr>
              <w:t>区生</w:t>
            </w:r>
            <w:r>
              <w:rPr>
                <w:rFonts w:ascii="宋体" w:hAnsi="宋体" w:eastAsia="宋体"/>
                <w:sz w:val="16"/>
              </w:rPr>
              <w:t>态环境局疏附县分局2024年工作计划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C4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E56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99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65C6B">
            <w:pPr>
              <w:jc w:val="center"/>
            </w:pPr>
            <w:r>
              <w:rPr>
                <w:rFonts w:ascii="宋体" w:hAnsi="宋体" w:eastAsia="宋体"/>
                <w:sz w:val="16"/>
              </w:rPr>
              <w:t>20</w:t>
            </w:r>
          </w:p>
        </w:tc>
      </w:tr>
      <w:tr w14:paraId="56233E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789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68D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081D7">
            <w:pPr>
              <w:jc w:val="center"/>
            </w:pPr>
            <w:r>
              <w:rPr>
                <w:rFonts w:ascii="宋体" w:hAnsi="宋体" w:eastAsia="宋体"/>
                <w:sz w:val="16"/>
              </w:rPr>
              <w:t>完成第二轮</w:t>
            </w:r>
            <w:r>
              <w:rPr>
                <w:rFonts w:hint="eastAsia" w:ascii="宋体" w:hAnsi="宋体"/>
                <w:sz w:val="16"/>
                <w:lang w:eastAsia="zh-CN"/>
              </w:rPr>
              <w:t>中央生态环境保护督察</w:t>
            </w:r>
            <w:r>
              <w:rPr>
                <w:rFonts w:ascii="宋体" w:hAnsi="宋体" w:eastAsia="宋体"/>
                <w:sz w:val="16"/>
              </w:rPr>
              <w:t>反馈问题整改任务率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714EB">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6FAEA">
            <w:pPr>
              <w:jc w:val="center"/>
            </w:pPr>
            <w:r>
              <w:rPr>
                <w:rFonts w:ascii="宋体" w:hAnsi="宋体" w:eastAsia="宋体"/>
                <w:sz w:val="16"/>
              </w:rPr>
              <w:t>喀什地</w:t>
            </w:r>
            <w:r>
              <w:rPr>
                <w:rFonts w:hint="eastAsia" w:ascii="宋体" w:hAnsi="宋体"/>
                <w:sz w:val="16"/>
                <w:lang w:eastAsia="zh-CN"/>
              </w:rPr>
              <w:t>区生</w:t>
            </w:r>
            <w:r>
              <w:rPr>
                <w:rFonts w:ascii="宋体" w:hAnsi="宋体" w:eastAsia="宋体"/>
                <w:sz w:val="16"/>
              </w:rPr>
              <w:t>态环境局疏附县分局2024年工作计划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C83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F2DD1">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A07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911B">
            <w:pPr>
              <w:jc w:val="center"/>
            </w:pPr>
            <w:r>
              <w:rPr>
                <w:rFonts w:ascii="宋体" w:hAnsi="宋体" w:eastAsia="宋体"/>
                <w:sz w:val="16"/>
              </w:rPr>
              <w:t>20</w:t>
            </w:r>
          </w:p>
        </w:tc>
      </w:tr>
      <w:tr w14:paraId="619A54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5F9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C2E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6E14C">
            <w:pPr>
              <w:jc w:val="center"/>
            </w:pPr>
            <w:r>
              <w:rPr>
                <w:rFonts w:ascii="宋体" w:hAnsi="宋体" w:eastAsia="宋体"/>
                <w:sz w:val="16"/>
              </w:rPr>
              <w:t>疏附县全年重污染天数比率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9B129">
            <w:pPr>
              <w:jc w:val="center"/>
            </w:pPr>
            <w:r>
              <w:rPr>
                <w:rFonts w:ascii="宋体" w:hAnsi="宋体" w:eastAsia="宋体"/>
                <w:sz w:val="16"/>
              </w:rPr>
              <w:t>&lt;=0.50%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0C9F7">
            <w:pPr>
              <w:jc w:val="center"/>
            </w:pPr>
            <w:r>
              <w:rPr>
                <w:rFonts w:ascii="宋体" w:hAnsi="宋体" w:eastAsia="宋体"/>
                <w:sz w:val="16"/>
              </w:rPr>
              <w:t>喀什地</w:t>
            </w:r>
            <w:r>
              <w:rPr>
                <w:rFonts w:hint="eastAsia" w:ascii="宋体" w:hAnsi="宋体"/>
                <w:sz w:val="16"/>
                <w:lang w:eastAsia="zh-CN"/>
              </w:rPr>
              <w:t>区生</w:t>
            </w:r>
            <w:r>
              <w:rPr>
                <w:rFonts w:ascii="宋体" w:hAnsi="宋体" w:eastAsia="宋体"/>
                <w:sz w:val="16"/>
              </w:rPr>
              <w:t>态环境局疏附县分局2024年工作计划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66A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111F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ED9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B471E">
            <w:pPr>
              <w:jc w:val="center"/>
            </w:pPr>
            <w:r>
              <w:rPr>
                <w:rFonts w:ascii="宋体" w:hAnsi="宋体" w:eastAsia="宋体"/>
                <w:sz w:val="16"/>
              </w:rPr>
              <w:t>10</w:t>
            </w:r>
          </w:p>
        </w:tc>
      </w:tr>
    </w:tbl>
    <w:p w14:paraId="6A265F6C">
      <w:r>
        <w:br w:type="page"/>
      </w:r>
    </w:p>
    <w:p w14:paraId="5E3F1537">
      <w:pPr>
        <w:spacing w:line="640" w:lineRule="exact"/>
        <w:ind w:firstLine="640"/>
        <w:jc w:val="both"/>
        <w:outlineLvl w:val="2"/>
      </w:pPr>
      <w:r>
        <w:rPr>
          <w:rFonts w:ascii="黑体" w:hAnsi="黑体" w:eastAsia="黑体"/>
          <w:sz w:val="32"/>
        </w:rPr>
        <w:t>十二、其他需说明的事项</w:t>
      </w:r>
    </w:p>
    <w:p w14:paraId="15E4B52D">
      <w:pPr>
        <w:spacing w:line="580" w:lineRule="exact"/>
        <w:ind w:firstLine="640"/>
        <w:jc w:val="both"/>
      </w:pPr>
      <w:r>
        <w:rPr>
          <w:rFonts w:ascii="仿宋_GB2312" w:hAnsi="仿宋_GB2312" w:eastAsia="仿宋_GB2312"/>
          <w:b w:val="0"/>
          <w:sz w:val="32"/>
        </w:rPr>
        <w:t>本单位无其他需说明的事项。</w:t>
      </w:r>
    </w:p>
    <w:p w14:paraId="3C7731C2">
      <w:r>
        <w:br w:type="page"/>
      </w:r>
    </w:p>
    <w:p w14:paraId="71670894">
      <w:pPr>
        <w:spacing w:line="240" w:lineRule="auto"/>
        <w:jc w:val="center"/>
        <w:outlineLvl w:val="1"/>
      </w:pPr>
      <w:r>
        <w:rPr>
          <w:rFonts w:ascii="黑体" w:hAnsi="黑体" w:eastAsia="黑体"/>
          <w:sz w:val="32"/>
        </w:rPr>
        <w:t>第三部分 专业名词解释</w:t>
      </w:r>
    </w:p>
    <w:p w14:paraId="2D41C38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9A230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11EDB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8C0D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B1104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081B4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E522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F481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6AA8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D775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9204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A292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B7D98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1D08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1260D4">
      <w:r>
        <w:br w:type="page"/>
      </w:r>
    </w:p>
    <w:p w14:paraId="270CBF1E">
      <w:pPr>
        <w:spacing w:line="240" w:lineRule="auto"/>
        <w:jc w:val="center"/>
        <w:outlineLvl w:val="1"/>
      </w:pPr>
      <w:r>
        <w:rPr>
          <w:rFonts w:ascii="黑体" w:hAnsi="黑体" w:eastAsia="黑体"/>
          <w:sz w:val="32"/>
        </w:rPr>
        <w:t>第四部分 部门决算报表（见附表）</w:t>
      </w:r>
    </w:p>
    <w:p w14:paraId="25E16AB4">
      <w:pPr>
        <w:spacing w:line="240" w:lineRule="auto"/>
        <w:ind w:firstLine="640"/>
        <w:jc w:val="both"/>
      </w:pPr>
      <w:r>
        <w:rPr>
          <w:rFonts w:ascii="仿宋_GB2312" w:hAnsi="仿宋_GB2312" w:eastAsia="仿宋_GB2312"/>
          <w:b w:val="0"/>
          <w:sz w:val="32"/>
        </w:rPr>
        <w:t>一、《收入支出决算总表》</w:t>
      </w:r>
    </w:p>
    <w:p w14:paraId="205C8601">
      <w:pPr>
        <w:spacing w:line="240" w:lineRule="auto"/>
        <w:ind w:firstLine="640"/>
        <w:jc w:val="both"/>
      </w:pPr>
      <w:r>
        <w:rPr>
          <w:rFonts w:ascii="仿宋_GB2312" w:hAnsi="仿宋_GB2312" w:eastAsia="仿宋_GB2312"/>
          <w:b w:val="0"/>
          <w:sz w:val="32"/>
        </w:rPr>
        <w:t>二、《收入决算表》</w:t>
      </w:r>
    </w:p>
    <w:p w14:paraId="70ABE551">
      <w:pPr>
        <w:spacing w:line="240" w:lineRule="auto"/>
        <w:ind w:firstLine="640"/>
        <w:jc w:val="both"/>
      </w:pPr>
      <w:r>
        <w:rPr>
          <w:rFonts w:ascii="仿宋_GB2312" w:hAnsi="仿宋_GB2312" w:eastAsia="仿宋_GB2312"/>
          <w:b w:val="0"/>
          <w:sz w:val="32"/>
        </w:rPr>
        <w:t>三、《支出决算表》</w:t>
      </w:r>
    </w:p>
    <w:p w14:paraId="666CDD6E">
      <w:pPr>
        <w:spacing w:line="240" w:lineRule="auto"/>
        <w:ind w:firstLine="640"/>
        <w:jc w:val="both"/>
      </w:pPr>
      <w:r>
        <w:rPr>
          <w:rFonts w:ascii="仿宋_GB2312" w:hAnsi="仿宋_GB2312" w:eastAsia="仿宋_GB2312"/>
          <w:b w:val="0"/>
          <w:sz w:val="32"/>
        </w:rPr>
        <w:t>四、《财政拨款收入支出决算总表》</w:t>
      </w:r>
    </w:p>
    <w:p w14:paraId="79B0B1E4">
      <w:pPr>
        <w:spacing w:line="240" w:lineRule="auto"/>
        <w:ind w:firstLine="640"/>
        <w:jc w:val="both"/>
      </w:pPr>
      <w:r>
        <w:rPr>
          <w:rFonts w:ascii="仿宋_GB2312" w:hAnsi="仿宋_GB2312" w:eastAsia="仿宋_GB2312"/>
          <w:b w:val="0"/>
          <w:sz w:val="32"/>
        </w:rPr>
        <w:t>五、《一般公共预算财政拨款支出决算表》</w:t>
      </w:r>
    </w:p>
    <w:p w14:paraId="7E29FFD4">
      <w:pPr>
        <w:spacing w:line="240" w:lineRule="auto"/>
        <w:ind w:firstLine="640"/>
        <w:jc w:val="both"/>
      </w:pPr>
      <w:r>
        <w:rPr>
          <w:rFonts w:ascii="仿宋_GB2312" w:hAnsi="仿宋_GB2312" w:eastAsia="仿宋_GB2312"/>
          <w:b w:val="0"/>
          <w:sz w:val="32"/>
        </w:rPr>
        <w:t>六、《一般公共预算财政拨款基本支出决算表》</w:t>
      </w:r>
    </w:p>
    <w:p w14:paraId="662F4275">
      <w:pPr>
        <w:spacing w:line="240" w:lineRule="auto"/>
        <w:ind w:firstLine="640"/>
        <w:jc w:val="both"/>
      </w:pPr>
      <w:r>
        <w:rPr>
          <w:rFonts w:ascii="仿宋_GB2312" w:hAnsi="仿宋_GB2312" w:eastAsia="仿宋_GB2312"/>
          <w:b w:val="0"/>
          <w:sz w:val="32"/>
        </w:rPr>
        <w:t>七、《政府性基金预算财政拨款收入支出决算表》</w:t>
      </w:r>
    </w:p>
    <w:p w14:paraId="6EF9CE27">
      <w:pPr>
        <w:spacing w:line="240" w:lineRule="auto"/>
        <w:ind w:firstLine="640"/>
        <w:jc w:val="both"/>
      </w:pPr>
      <w:r>
        <w:rPr>
          <w:rFonts w:ascii="仿宋_GB2312" w:hAnsi="仿宋_GB2312" w:eastAsia="仿宋_GB2312"/>
          <w:b w:val="0"/>
          <w:sz w:val="32"/>
        </w:rPr>
        <w:t>八、《国有资本经营预算财政拨款收入支出决算表》</w:t>
      </w:r>
    </w:p>
    <w:p w14:paraId="09BED5C4">
      <w:pPr>
        <w:spacing w:line="240" w:lineRule="auto"/>
        <w:ind w:firstLine="640"/>
        <w:jc w:val="both"/>
      </w:pPr>
      <w:r>
        <w:rPr>
          <w:rFonts w:ascii="仿宋_GB2312" w:hAnsi="仿宋_GB2312" w:eastAsia="仿宋_GB2312"/>
          <w:b w:val="0"/>
          <w:sz w:val="32"/>
        </w:rPr>
        <w:t>九、《财政拨款“三公”经费支出决算表》</w:t>
      </w:r>
    </w:p>
    <w:p w14:paraId="68F4184E">
      <w:pPr>
        <w:spacing w:line="240" w:lineRule="auto"/>
        <w:ind w:firstLine="640"/>
        <w:jc w:val="both"/>
      </w:pPr>
    </w:p>
    <w:p w14:paraId="252448D5">
      <w:pPr>
        <w:spacing w:line="240" w:lineRule="auto"/>
        <w:ind w:firstLine="640"/>
        <w:jc w:val="both"/>
      </w:pPr>
    </w:p>
    <w:p w14:paraId="2EE92B13">
      <w:pPr>
        <w:spacing w:line="240" w:lineRule="auto"/>
        <w:ind w:firstLine="640"/>
        <w:jc w:val="both"/>
      </w:pPr>
    </w:p>
    <w:p w14:paraId="7D008987">
      <w:pPr>
        <w:spacing w:line="240" w:lineRule="auto"/>
        <w:ind w:firstLine="640"/>
        <w:jc w:val="both"/>
      </w:pPr>
    </w:p>
    <w:p w14:paraId="16C4E0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684106-2929-48C2-B296-B2458DD7F2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D318606-094C-4F53-9683-F1D742CA4649}"/>
  </w:font>
  <w:font w:name="方正小标宋_GBK">
    <w:panose1 w:val="02000000000000000000"/>
    <w:charset w:val="86"/>
    <w:family w:val="script"/>
    <w:pitch w:val="default"/>
    <w:sig w:usb0="A00002BF" w:usb1="38CF7CFA" w:usb2="00082016" w:usb3="00000000" w:csb0="00040001" w:csb1="00000000"/>
    <w:embedRegular r:id="rId3" w:fontKey="{423B7D3A-272F-4B36-BABE-751041A92F7E}"/>
  </w:font>
  <w:font w:name="楷体_GB2312">
    <w:panose1 w:val="02010609030101010101"/>
    <w:charset w:val="86"/>
    <w:family w:val="auto"/>
    <w:pitch w:val="default"/>
    <w:sig w:usb0="00000001" w:usb1="080E0000" w:usb2="00000000" w:usb3="00000000" w:csb0="00040000" w:csb1="00000000"/>
    <w:embedRegular r:id="rId4" w:fontKey="{563564A8-0169-49A9-8CCD-29FC115DC96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948FA"/>
    <w:rsid w:val="313F1D52"/>
    <w:rsid w:val="318029AB"/>
    <w:rsid w:val="31C63837"/>
    <w:rsid w:val="326F0A17"/>
    <w:rsid w:val="3277581B"/>
    <w:rsid w:val="38006E2C"/>
    <w:rsid w:val="3914510A"/>
    <w:rsid w:val="3B1220C9"/>
    <w:rsid w:val="3D5275AC"/>
    <w:rsid w:val="3D6847EB"/>
    <w:rsid w:val="3EA7725F"/>
    <w:rsid w:val="3EC014A1"/>
    <w:rsid w:val="40834692"/>
    <w:rsid w:val="423A32B2"/>
    <w:rsid w:val="423C0CB4"/>
    <w:rsid w:val="427B5743"/>
    <w:rsid w:val="42E64542"/>
    <w:rsid w:val="464B7E04"/>
    <w:rsid w:val="464F7E64"/>
    <w:rsid w:val="46901EEE"/>
    <w:rsid w:val="469C74D2"/>
    <w:rsid w:val="47445515"/>
    <w:rsid w:val="4B4C0111"/>
    <w:rsid w:val="4BB23021"/>
    <w:rsid w:val="4DD56FB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7515</Words>
  <Characters>8345</Characters>
  <Lines>0</Lines>
  <Paragraphs>0</Paragraphs>
  <TotalTime>6</TotalTime>
  <ScaleCrop>false</ScaleCrop>
  <LinksUpToDate>false</LinksUpToDate>
  <CharactersWithSpaces>8355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