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喀什地区生态环境局英吉沙县分局2024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C95004A">
      <w:r>
        <w:br w:type="page"/>
      </w:r>
    </w:p>
    <w:p w14:paraId="796631CC">
      <w:pPr>
        <w:spacing w:line="640" w:lineRule="exact"/>
        <w:jc w:val="center"/>
        <w:outlineLvl w:val="1"/>
      </w:pPr>
      <w:r>
        <w:rPr>
          <w:rFonts w:ascii="黑体" w:hAnsi="黑体" w:eastAsia="黑体"/>
          <w:sz w:val="32"/>
        </w:rPr>
        <w:t>第一部分 单位概况</w:t>
      </w:r>
    </w:p>
    <w:p w14:paraId="671712C1">
      <w:pPr>
        <w:spacing w:line="640" w:lineRule="exact"/>
        <w:ind w:firstLine="640"/>
        <w:jc w:val="both"/>
        <w:outlineLvl w:val="2"/>
      </w:pPr>
      <w:r>
        <w:rPr>
          <w:rFonts w:ascii="黑体" w:hAnsi="黑体" w:eastAsia="黑体"/>
          <w:sz w:val="32"/>
        </w:rPr>
        <w:t>一、主要职能</w:t>
      </w:r>
    </w:p>
    <w:p w14:paraId="65733E32">
      <w:pPr>
        <w:spacing w:line="580" w:lineRule="exact"/>
        <w:ind w:firstLine="640"/>
        <w:jc w:val="both"/>
      </w:pPr>
      <w:r>
        <w:rPr>
          <w:rFonts w:ascii="仿宋_GB2312" w:hAnsi="仿宋_GB2312" w:eastAsia="仿宋_GB2312"/>
          <w:sz w:val="32"/>
        </w:rPr>
        <w:t>（一）负责建立健全生态环境制度，贯彻执行国家和自治区、地区生态环境政策、规划。</w:t>
      </w:r>
    </w:p>
    <w:p w14:paraId="3C675CA2">
      <w:pPr>
        <w:spacing w:line="580" w:lineRule="exact"/>
        <w:ind w:firstLine="640"/>
        <w:jc w:val="both"/>
      </w:pPr>
      <w:r>
        <w:rPr>
          <w:rFonts w:ascii="仿宋_GB2312" w:hAnsi="仿宋_GB2312" w:eastAsia="仿宋_GB2312"/>
          <w:sz w:val="32"/>
        </w:rPr>
        <w:t>（二）负责重大生态环境问题的统筹协调和监督管理。</w:t>
      </w:r>
    </w:p>
    <w:p w14:paraId="6EC27A68">
      <w:pPr>
        <w:spacing w:line="580" w:lineRule="exact"/>
        <w:ind w:firstLine="640"/>
        <w:jc w:val="both"/>
      </w:pPr>
      <w:r>
        <w:rPr>
          <w:rFonts w:ascii="仿宋_GB2312" w:hAnsi="仿宋_GB2312" w:eastAsia="仿宋_GB2312"/>
          <w:sz w:val="32"/>
        </w:rPr>
        <w:t>（三）负责监督管理自治区减排目标的落实。</w:t>
      </w:r>
    </w:p>
    <w:p w14:paraId="7E95D19A">
      <w:pPr>
        <w:spacing w:line="580" w:lineRule="exact"/>
        <w:ind w:firstLine="640"/>
        <w:jc w:val="both"/>
      </w:pPr>
      <w:r>
        <w:rPr>
          <w:rFonts w:ascii="仿宋_GB2312" w:hAnsi="仿宋_GB2312" w:eastAsia="仿宋_GB2312"/>
          <w:sz w:val="32"/>
        </w:rPr>
        <w:t>（四）负责环境污染防治的监督管理。</w:t>
      </w:r>
    </w:p>
    <w:p w14:paraId="46CE2DC1">
      <w:pPr>
        <w:spacing w:line="580" w:lineRule="exact"/>
        <w:ind w:firstLine="640"/>
        <w:jc w:val="both"/>
      </w:pPr>
      <w:r>
        <w:rPr>
          <w:rFonts w:ascii="仿宋_GB2312" w:hAnsi="仿宋_GB2312" w:eastAsia="仿宋_GB2312"/>
          <w:sz w:val="32"/>
        </w:rPr>
        <w:t>（五）指导协调和监督生态保护修复工作。</w:t>
      </w:r>
    </w:p>
    <w:p w14:paraId="3F57C0DE">
      <w:pPr>
        <w:spacing w:line="580" w:lineRule="exact"/>
        <w:ind w:firstLine="640"/>
        <w:jc w:val="both"/>
      </w:pPr>
      <w:r>
        <w:rPr>
          <w:rFonts w:ascii="仿宋_GB2312" w:hAnsi="仿宋_GB2312" w:eastAsia="仿宋_GB2312"/>
          <w:sz w:val="32"/>
        </w:rPr>
        <w:t>（六）负责核与辐射安全的监督管理。</w:t>
      </w:r>
    </w:p>
    <w:p w14:paraId="1D943E55">
      <w:pPr>
        <w:spacing w:line="580" w:lineRule="exact"/>
        <w:ind w:firstLine="640"/>
        <w:jc w:val="both"/>
      </w:pPr>
      <w:r>
        <w:rPr>
          <w:rFonts w:ascii="仿宋_GB2312" w:hAnsi="仿宋_GB2312" w:eastAsia="仿宋_GB2312"/>
          <w:sz w:val="32"/>
        </w:rPr>
        <w:t>（七）负责生态环境准入的监督管理。</w:t>
      </w:r>
    </w:p>
    <w:p w14:paraId="2F1F009D">
      <w:pPr>
        <w:spacing w:line="580" w:lineRule="exact"/>
        <w:ind w:firstLine="640"/>
        <w:jc w:val="both"/>
      </w:pPr>
      <w:r>
        <w:rPr>
          <w:rFonts w:ascii="仿宋_GB2312" w:hAnsi="仿宋_GB2312" w:eastAsia="仿宋_GB2312"/>
          <w:sz w:val="32"/>
        </w:rPr>
        <w:t>（八）负责生态环境监测工作。</w:t>
      </w:r>
    </w:p>
    <w:p w14:paraId="11EF268F">
      <w:pPr>
        <w:spacing w:line="580" w:lineRule="exact"/>
        <w:ind w:firstLine="640"/>
        <w:jc w:val="both"/>
      </w:pPr>
      <w:r>
        <w:rPr>
          <w:rFonts w:ascii="仿宋_GB2312" w:hAnsi="仿宋_GB2312" w:eastAsia="仿宋_GB2312"/>
          <w:sz w:val="32"/>
        </w:rPr>
        <w:t>（九）负责应对气候变化工作。</w:t>
      </w:r>
    </w:p>
    <w:p w14:paraId="0AB646E2">
      <w:pPr>
        <w:spacing w:line="580" w:lineRule="exact"/>
        <w:ind w:firstLine="640"/>
        <w:jc w:val="both"/>
      </w:pPr>
      <w:r>
        <w:rPr>
          <w:rFonts w:ascii="仿宋_GB2312" w:hAnsi="仿宋_GB2312" w:eastAsia="仿宋_GB2312"/>
          <w:sz w:val="32"/>
        </w:rPr>
        <w:t>（十）负责生态环境监察工作。</w:t>
      </w:r>
    </w:p>
    <w:p w14:paraId="21E8EE59">
      <w:pPr>
        <w:spacing w:line="580" w:lineRule="exact"/>
        <w:ind w:firstLine="640"/>
        <w:jc w:val="both"/>
      </w:pPr>
      <w:r>
        <w:rPr>
          <w:rFonts w:ascii="仿宋_GB2312" w:hAnsi="仿宋_GB2312" w:eastAsia="仿宋_GB2312"/>
          <w:sz w:val="32"/>
        </w:rPr>
        <w:t>（十一）统一负责生态环境监督执法。</w:t>
      </w:r>
    </w:p>
    <w:p w14:paraId="5F5F9D17">
      <w:pPr>
        <w:spacing w:line="580" w:lineRule="exact"/>
        <w:ind w:firstLine="640"/>
        <w:jc w:val="both"/>
      </w:pPr>
      <w:r>
        <w:rPr>
          <w:rFonts w:ascii="仿宋_GB2312" w:hAnsi="仿宋_GB2312" w:eastAsia="仿宋_GB2312"/>
          <w:sz w:val="32"/>
        </w:rPr>
        <w:t>（十二）组织指导和协调生态环境保护宣传教育工作，制定并组织实施生态环境保护宣传教育规划，推动社会组织和公众参与生态环境保护。</w:t>
      </w:r>
    </w:p>
    <w:p w14:paraId="2AAB0F39">
      <w:pPr>
        <w:spacing w:line="580" w:lineRule="exact"/>
        <w:ind w:firstLine="640"/>
        <w:jc w:val="both"/>
      </w:pPr>
      <w:r>
        <w:rPr>
          <w:rFonts w:ascii="仿宋_GB2312" w:hAnsi="仿宋_GB2312" w:eastAsia="仿宋_GB2312"/>
          <w:sz w:val="32"/>
        </w:rPr>
        <w:t>（十三）完成县委、县政府及地区生态环境局交办的其他工作任务。</w:t>
      </w:r>
    </w:p>
    <w:p w14:paraId="528D65D9">
      <w:pPr>
        <w:spacing w:line="640" w:lineRule="exact"/>
        <w:ind w:firstLine="640"/>
        <w:jc w:val="both"/>
        <w:outlineLvl w:val="2"/>
      </w:pPr>
      <w:r>
        <w:rPr>
          <w:rFonts w:ascii="黑体" w:hAnsi="黑体" w:eastAsia="黑体"/>
          <w:sz w:val="32"/>
        </w:rPr>
        <w:t>二、机构设置及人员情况</w:t>
      </w:r>
    </w:p>
    <w:p w14:paraId="1A5D34F1">
      <w:pPr>
        <w:spacing w:line="580" w:lineRule="exact"/>
        <w:ind w:firstLine="640"/>
        <w:jc w:val="both"/>
      </w:pPr>
      <w:r>
        <w:rPr>
          <w:rFonts w:ascii="仿宋_GB2312" w:hAnsi="仿宋_GB2312" w:eastAsia="仿宋_GB2312"/>
          <w:sz w:val="32"/>
        </w:rPr>
        <w:t>喀什地区生态环境局英吉沙县分局2024年度，实有人数12人，其中：在职人员12人，增加0人；离休人员0人，增加0人；退休人员0人</w:t>
      </w:r>
      <w:r>
        <w:rPr>
          <w:rFonts w:hint="eastAsia" w:ascii="仿宋_GB2312" w:hAnsi="仿宋_GB2312" w:eastAsia="仿宋_GB2312"/>
          <w:sz w:val="32"/>
          <w:lang w:eastAsia="zh-CN"/>
        </w:rPr>
        <w:t>，</w:t>
      </w:r>
      <w:r>
        <w:rPr>
          <w:rFonts w:ascii="仿宋_GB2312" w:hAnsi="仿宋_GB2312" w:eastAsia="仿宋_GB2312"/>
          <w:sz w:val="32"/>
        </w:rPr>
        <w:t>减少5人。</w:t>
      </w:r>
    </w:p>
    <w:p w14:paraId="7412C19A">
      <w:pPr>
        <w:spacing w:line="580" w:lineRule="exact"/>
        <w:ind w:firstLine="640"/>
        <w:jc w:val="both"/>
      </w:pPr>
      <w:r>
        <w:rPr>
          <w:rFonts w:ascii="仿宋_GB2312" w:hAnsi="仿宋_GB2312" w:eastAsia="仿宋_GB2312"/>
          <w:sz w:val="32"/>
        </w:rPr>
        <w:t>喀什地区生态环境局英吉沙县分局无下属预算单位，下设2个科室，分别是：行政办、财务室。</w:t>
      </w:r>
    </w:p>
    <w:p w14:paraId="0BE1FA38">
      <w:r>
        <w:br w:type="page"/>
      </w:r>
    </w:p>
    <w:p w14:paraId="65B0ACE0">
      <w:pPr>
        <w:spacing w:line="240" w:lineRule="auto"/>
        <w:jc w:val="center"/>
        <w:outlineLvl w:val="1"/>
      </w:pPr>
      <w:r>
        <w:rPr>
          <w:rFonts w:ascii="黑体" w:hAnsi="黑体" w:eastAsia="黑体"/>
          <w:sz w:val="32"/>
        </w:rPr>
        <w:t>第二部分 部门决算情况说明</w:t>
      </w:r>
    </w:p>
    <w:p w14:paraId="5DC70712">
      <w:pPr>
        <w:spacing w:line="640" w:lineRule="exact"/>
        <w:ind w:firstLine="640"/>
        <w:jc w:val="both"/>
        <w:outlineLvl w:val="2"/>
      </w:pPr>
      <w:r>
        <w:rPr>
          <w:rFonts w:ascii="黑体" w:hAnsi="黑体" w:eastAsia="黑体"/>
          <w:sz w:val="32"/>
        </w:rPr>
        <w:t>一、收入支出决算总体情况说明</w:t>
      </w:r>
    </w:p>
    <w:p w14:paraId="5661798D">
      <w:pPr>
        <w:spacing w:line="580" w:lineRule="exact"/>
        <w:ind w:firstLine="640"/>
        <w:jc w:val="both"/>
      </w:pPr>
      <w:r>
        <w:rPr>
          <w:rFonts w:ascii="仿宋_GB2312" w:hAnsi="仿宋_GB2312" w:eastAsia="仿宋_GB2312"/>
          <w:b/>
          <w:sz w:val="32"/>
        </w:rPr>
        <w:t>2024年度收入总计207.21万元，</w:t>
      </w:r>
      <w:r>
        <w:rPr>
          <w:rFonts w:ascii="仿宋_GB2312" w:hAnsi="仿宋_GB2312" w:eastAsia="仿宋_GB2312"/>
          <w:b w:val="0"/>
          <w:sz w:val="32"/>
        </w:rPr>
        <w:t>其中：本年收入合计207.21万元，使用非财政拨款结余（含专用结余）0.00万元，年初结转和结余0.00万元。</w:t>
      </w:r>
    </w:p>
    <w:p w14:paraId="4F4EE676">
      <w:pPr>
        <w:spacing w:line="580" w:lineRule="exact"/>
        <w:ind w:firstLine="640"/>
        <w:jc w:val="both"/>
      </w:pPr>
      <w:r>
        <w:rPr>
          <w:rFonts w:ascii="仿宋_GB2312" w:hAnsi="仿宋_GB2312" w:eastAsia="仿宋_GB2312"/>
          <w:b/>
          <w:sz w:val="32"/>
        </w:rPr>
        <w:t>2024年度支出总计207.21万元，</w:t>
      </w:r>
      <w:r>
        <w:rPr>
          <w:rFonts w:ascii="仿宋_GB2312" w:hAnsi="仿宋_GB2312" w:eastAsia="仿宋_GB2312"/>
          <w:b w:val="0"/>
          <w:sz w:val="32"/>
        </w:rPr>
        <w:t>其中：本年支出合计207.21万元，结余分配0.00万元，年末结转和结余0.00万元。</w:t>
      </w:r>
    </w:p>
    <w:p w14:paraId="32D7E0B3">
      <w:pPr>
        <w:spacing w:line="580" w:lineRule="exact"/>
        <w:ind w:firstLine="640"/>
        <w:jc w:val="both"/>
      </w:pPr>
      <w:r>
        <w:rPr>
          <w:rFonts w:ascii="仿宋_GB2312" w:hAnsi="仿宋_GB2312" w:eastAsia="仿宋_GB2312"/>
          <w:b w:val="0"/>
          <w:sz w:val="32"/>
        </w:rPr>
        <w:t>收入支出总体与上年相比，减少149.10万元，下降41.85%，主要原因是：因机构改革原因，项目经费由各县市财政承担，本年减少英吉沙县克孜勒乡16村农村环境整治项目、2022年重点生态功能区县域、农村生态环境监测、农村饮用水</w:t>
      </w:r>
      <w:r>
        <w:rPr>
          <w:rFonts w:hint="eastAsia" w:ascii="仿宋_GB2312" w:hAnsi="仿宋_GB2312" w:eastAsia="仿宋_GB2312"/>
          <w:b w:val="0"/>
          <w:sz w:val="32"/>
          <w:lang w:eastAsia="zh-CN"/>
        </w:rPr>
        <w:t>及</w:t>
      </w:r>
      <w:r>
        <w:rPr>
          <w:rFonts w:ascii="仿宋_GB2312" w:hAnsi="仿宋_GB2312" w:eastAsia="仿宋_GB2312"/>
          <w:b w:val="0"/>
          <w:sz w:val="32"/>
        </w:rPr>
        <w:t>农田灌溉水质监测购买服务费项目、英吉沙县工业园区环境空气质量自动监测站建设项目、英吉沙县“</w:t>
      </w:r>
      <w:r>
        <w:rPr>
          <w:rFonts w:hint="eastAsia" w:ascii="仿宋_GB2312" w:hAnsi="仿宋_GB2312" w:eastAsia="仿宋_GB2312"/>
          <w:b w:val="0"/>
          <w:sz w:val="32"/>
          <w:lang w:eastAsia="zh-CN"/>
        </w:rPr>
        <w:t>六五</w:t>
      </w:r>
      <w:r>
        <w:rPr>
          <w:rFonts w:ascii="仿宋_GB2312" w:hAnsi="仿宋_GB2312" w:eastAsia="仿宋_GB2312"/>
          <w:b w:val="0"/>
          <w:sz w:val="32"/>
        </w:rPr>
        <w:t>”世界环境宣传月宣传手册采购项目、第二轮中央生态环境保护督察反馈意见整改工作领导小组办公经费。</w:t>
      </w:r>
    </w:p>
    <w:p w14:paraId="3557C298">
      <w:pPr>
        <w:spacing w:line="640" w:lineRule="exact"/>
        <w:ind w:firstLine="640"/>
        <w:jc w:val="both"/>
        <w:outlineLvl w:val="2"/>
      </w:pPr>
      <w:r>
        <w:rPr>
          <w:rFonts w:ascii="黑体" w:hAnsi="黑体" w:eastAsia="黑体"/>
          <w:sz w:val="32"/>
        </w:rPr>
        <w:t>二、收入决算情况说明</w:t>
      </w:r>
    </w:p>
    <w:p w14:paraId="4DD5A3E6">
      <w:pPr>
        <w:spacing w:line="580" w:lineRule="exact"/>
        <w:ind w:firstLine="640"/>
        <w:jc w:val="both"/>
      </w:pPr>
      <w:r>
        <w:rPr>
          <w:rFonts w:ascii="仿宋_GB2312" w:hAnsi="仿宋_GB2312" w:eastAsia="仿宋_GB2312"/>
          <w:b/>
          <w:sz w:val="32"/>
        </w:rPr>
        <w:t>本年收入207.21万元，</w:t>
      </w:r>
      <w:r>
        <w:rPr>
          <w:rFonts w:ascii="仿宋_GB2312" w:hAnsi="仿宋_GB2312" w:eastAsia="仿宋_GB2312"/>
          <w:b w:val="0"/>
          <w:sz w:val="32"/>
        </w:rPr>
        <w:t>其中：财政拨款收入207.21万元，占100.00%；上级补助收入0.00万元，占0.00%；事业收入0.00万元，占0.00%；经营收入0.00万元，占0.00%；附属单位上缴收入0.00万元，占0.00%；其他收入0.00万元，占0.00%。</w:t>
      </w:r>
    </w:p>
    <w:p w14:paraId="551F1962">
      <w:pPr>
        <w:spacing w:line="640" w:lineRule="exact"/>
        <w:ind w:firstLine="640"/>
        <w:jc w:val="both"/>
        <w:outlineLvl w:val="2"/>
      </w:pPr>
      <w:r>
        <w:rPr>
          <w:rFonts w:ascii="黑体" w:hAnsi="黑体" w:eastAsia="黑体"/>
          <w:sz w:val="32"/>
        </w:rPr>
        <w:t>三、支出决算情况说明</w:t>
      </w:r>
    </w:p>
    <w:p w14:paraId="1145C534">
      <w:pPr>
        <w:spacing w:line="580" w:lineRule="exact"/>
        <w:ind w:firstLine="640"/>
        <w:jc w:val="both"/>
      </w:pPr>
      <w:r>
        <w:rPr>
          <w:rFonts w:ascii="仿宋_GB2312" w:hAnsi="仿宋_GB2312" w:eastAsia="仿宋_GB2312"/>
          <w:b/>
          <w:sz w:val="32"/>
        </w:rPr>
        <w:t>本年支出207.21万元，</w:t>
      </w:r>
      <w:r>
        <w:rPr>
          <w:rFonts w:ascii="仿宋_GB2312" w:hAnsi="仿宋_GB2312" w:eastAsia="仿宋_GB2312"/>
          <w:b w:val="0"/>
          <w:sz w:val="32"/>
        </w:rPr>
        <w:t>其中：基本支出207.21万元，占100.00%；项目支出0.00万元，占0.00%；上缴上级支出0.00万元，占0.00%；经营支出0.00万元，占0.00%；对附属单位补助支出0.00万元，占0.00%。</w:t>
      </w:r>
    </w:p>
    <w:p w14:paraId="0EAC9679">
      <w:pPr>
        <w:spacing w:line="640" w:lineRule="exact"/>
        <w:ind w:firstLine="640"/>
        <w:jc w:val="both"/>
        <w:outlineLvl w:val="2"/>
      </w:pPr>
      <w:r>
        <w:rPr>
          <w:rFonts w:ascii="黑体" w:hAnsi="黑体" w:eastAsia="黑体"/>
          <w:sz w:val="32"/>
        </w:rPr>
        <w:t>四、财政拨款收入支出决算总体情况说明</w:t>
      </w:r>
    </w:p>
    <w:p w14:paraId="532D5940">
      <w:pPr>
        <w:spacing w:line="580" w:lineRule="exact"/>
        <w:ind w:firstLine="640"/>
        <w:jc w:val="both"/>
      </w:pPr>
      <w:r>
        <w:rPr>
          <w:rFonts w:ascii="仿宋_GB2312" w:hAnsi="仿宋_GB2312" w:eastAsia="仿宋_GB2312"/>
          <w:b/>
          <w:sz w:val="32"/>
        </w:rPr>
        <w:t>2024年度财政拨款收入总计207.21万元，</w:t>
      </w:r>
      <w:r>
        <w:rPr>
          <w:rFonts w:ascii="仿宋_GB2312" w:hAnsi="仿宋_GB2312" w:eastAsia="仿宋_GB2312"/>
          <w:b w:val="0"/>
          <w:sz w:val="32"/>
        </w:rPr>
        <w:t>其中：年初财政拨款结转和结余0.00万元，本年财政拨款收入207.21万元。</w:t>
      </w:r>
      <w:r>
        <w:rPr>
          <w:rFonts w:ascii="仿宋_GB2312" w:hAnsi="仿宋_GB2312" w:eastAsia="仿宋_GB2312"/>
          <w:b/>
          <w:sz w:val="32"/>
        </w:rPr>
        <w:t>财政拨款支出总计207.21万元，</w:t>
      </w:r>
      <w:r>
        <w:rPr>
          <w:rFonts w:ascii="仿宋_GB2312" w:hAnsi="仿宋_GB2312" w:eastAsia="仿宋_GB2312"/>
          <w:b w:val="0"/>
          <w:sz w:val="32"/>
        </w:rPr>
        <w:t>其中：年末财政拨款结转和结余0.00万元，本年财政拨款支出207.21万元。</w:t>
      </w:r>
    </w:p>
    <w:p w14:paraId="24F70D7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减少149.10万元，下降41.85%，主要原因是：因机构改革原因，项目经费由各县市财政承担，本年减少英吉沙县克孜勒乡16村农村环境整治项目、2022年重点生态功能区县域、农村生态环境监测、农村饮用水</w:t>
      </w:r>
      <w:r>
        <w:rPr>
          <w:rFonts w:hint="eastAsia" w:ascii="仿宋_GB2312" w:hAnsi="仿宋_GB2312" w:eastAsia="仿宋_GB2312"/>
          <w:b w:val="0"/>
          <w:sz w:val="32"/>
          <w:lang w:eastAsia="zh-CN"/>
        </w:rPr>
        <w:t>及</w:t>
      </w:r>
      <w:r>
        <w:rPr>
          <w:rFonts w:ascii="仿宋_GB2312" w:hAnsi="仿宋_GB2312" w:eastAsia="仿宋_GB2312"/>
          <w:b w:val="0"/>
          <w:sz w:val="32"/>
        </w:rPr>
        <w:t>农田灌溉水质监测购买服务费项目、英吉沙县工业园区环境空气质量自动监测站建设项目、英吉沙县“</w:t>
      </w:r>
      <w:r>
        <w:rPr>
          <w:rFonts w:hint="eastAsia" w:ascii="仿宋_GB2312" w:hAnsi="仿宋_GB2312" w:eastAsia="仿宋_GB2312"/>
          <w:b w:val="0"/>
          <w:sz w:val="32"/>
          <w:lang w:eastAsia="zh-CN"/>
        </w:rPr>
        <w:t>六五</w:t>
      </w:r>
      <w:r>
        <w:rPr>
          <w:rFonts w:ascii="仿宋_GB2312" w:hAnsi="仿宋_GB2312" w:eastAsia="仿宋_GB2312"/>
          <w:b w:val="0"/>
          <w:sz w:val="32"/>
        </w:rPr>
        <w:t>”世界环境宣传月宣传手册采购项目、第二轮中央生态环境保护督察反馈意见整改工作领导小组办公经费。</w:t>
      </w:r>
      <w:r>
        <w:rPr>
          <w:rFonts w:ascii="仿宋_GB2312" w:hAnsi="仿宋_GB2312" w:eastAsia="仿宋_GB2312"/>
          <w:b/>
          <w:sz w:val="32"/>
        </w:rPr>
        <w:t>与年初预算相比，</w:t>
      </w:r>
      <w:r>
        <w:rPr>
          <w:rFonts w:ascii="仿宋_GB2312" w:hAnsi="仿宋_GB2312" w:eastAsia="仿宋_GB2312"/>
          <w:b w:val="0"/>
          <w:sz w:val="32"/>
        </w:rPr>
        <w:t>年初预算数235.04万元，决算数207.21万元，预决算差异率-11.84%，主要原因是：2024年3月因人员调整，在职人员调入调出，人员职级不同，工资基数不同，年中调减人员经费，英吉沙县工业园区环境空气质量自动监测站建设项目</w:t>
      </w:r>
      <w:r>
        <w:rPr>
          <w:rFonts w:hint="eastAsia" w:ascii="仿宋_GB2312" w:hAnsi="仿宋_GB2312" w:eastAsia="仿宋_GB2312"/>
          <w:b w:val="0"/>
          <w:sz w:val="32"/>
          <w:lang w:val="en-US" w:eastAsia="zh-CN"/>
        </w:rPr>
        <w:t>资金，</w:t>
      </w:r>
      <w:r>
        <w:rPr>
          <w:rFonts w:ascii="仿宋_GB2312" w:hAnsi="仿宋_GB2312" w:eastAsia="仿宋_GB2312"/>
          <w:b w:val="0"/>
          <w:sz w:val="32"/>
        </w:rPr>
        <w:t>导致预决算存在差异。</w:t>
      </w:r>
    </w:p>
    <w:p w14:paraId="684312C8">
      <w:pPr>
        <w:spacing w:line="640" w:lineRule="exact"/>
        <w:ind w:firstLine="640"/>
        <w:jc w:val="both"/>
        <w:outlineLvl w:val="2"/>
      </w:pPr>
      <w:r>
        <w:rPr>
          <w:rFonts w:ascii="黑体" w:hAnsi="黑体" w:eastAsia="黑体"/>
          <w:sz w:val="32"/>
        </w:rPr>
        <w:t>五、一般公共预算财政拨款支出决算情况说明</w:t>
      </w:r>
    </w:p>
    <w:p w14:paraId="406A260B">
      <w:pPr>
        <w:spacing w:line="640" w:lineRule="exact"/>
        <w:ind w:firstLine="640"/>
        <w:jc w:val="both"/>
        <w:outlineLvl w:val="3"/>
      </w:pPr>
      <w:r>
        <w:rPr>
          <w:rFonts w:ascii="楷体_GB2312" w:hAnsi="楷体_GB2312" w:eastAsia="楷体_GB2312"/>
          <w:b/>
          <w:sz w:val="32"/>
        </w:rPr>
        <w:t>（一）一般公共预算财政拨款支出决算总体情况</w:t>
      </w:r>
    </w:p>
    <w:p w14:paraId="6A52A125">
      <w:pPr>
        <w:spacing w:line="580" w:lineRule="exact"/>
        <w:ind w:firstLine="640"/>
        <w:jc w:val="both"/>
      </w:pPr>
      <w:r>
        <w:rPr>
          <w:rFonts w:ascii="仿宋_GB2312" w:hAnsi="仿宋_GB2312" w:eastAsia="仿宋_GB2312"/>
          <w:b/>
          <w:sz w:val="32"/>
        </w:rPr>
        <w:t>2024年度一般公共预算财政拨款支出207.21万元，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减少149.10万元，下降41.85%，主要原因是：因机构改革原因，项目经费由各县市财政承担，本年减少英吉沙县克孜勒乡16村农村环境整治项目、2022年重点生态功能区县域、农村生态环境监测、农村饮用水</w:t>
      </w:r>
      <w:r>
        <w:rPr>
          <w:rFonts w:hint="eastAsia" w:ascii="仿宋_GB2312" w:hAnsi="仿宋_GB2312" w:eastAsia="仿宋_GB2312"/>
          <w:b w:val="0"/>
          <w:sz w:val="32"/>
          <w:lang w:eastAsia="zh-CN"/>
        </w:rPr>
        <w:t>及</w:t>
      </w:r>
      <w:r>
        <w:rPr>
          <w:rFonts w:ascii="仿宋_GB2312" w:hAnsi="仿宋_GB2312" w:eastAsia="仿宋_GB2312"/>
          <w:b w:val="0"/>
          <w:sz w:val="32"/>
        </w:rPr>
        <w:t>农田灌溉水质监测购买服务费项目、英吉沙县工业园区环境空气质量自动监测站建设项目、英吉沙县“</w:t>
      </w:r>
      <w:r>
        <w:rPr>
          <w:rFonts w:hint="eastAsia" w:ascii="仿宋_GB2312" w:hAnsi="仿宋_GB2312" w:eastAsia="仿宋_GB2312"/>
          <w:b w:val="0"/>
          <w:sz w:val="32"/>
          <w:lang w:eastAsia="zh-CN"/>
        </w:rPr>
        <w:t>六五</w:t>
      </w:r>
      <w:r>
        <w:rPr>
          <w:rFonts w:ascii="仿宋_GB2312" w:hAnsi="仿宋_GB2312" w:eastAsia="仿宋_GB2312"/>
          <w:b w:val="0"/>
          <w:sz w:val="32"/>
        </w:rPr>
        <w:t>”世界环境宣传月宣传手册采购项目、第二轮中央生态环境保护督察反馈意见整改工作领导小组办公经费。</w:t>
      </w:r>
      <w:r>
        <w:rPr>
          <w:rFonts w:ascii="仿宋_GB2312" w:hAnsi="仿宋_GB2312" w:eastAsia="仿宋_GB2312"/>
          <w:b/>
          <w:sz w:val="32"/>
        </w:rPr>
        <w:t>与年初预算相比,</w:t>
      </w:r>
      <w:r>
        <w:rPr>
          <w:rFonts w:ascii="仿宋_GB2312" w:hAnsi="仿宋_GB2312" w:eastAsia="仿宋_GB2312"/>
          <w:b w:val="0"/>
          <w:sz w:val="32"/>
        </w:rPr>
        <w:t>年初预算数235.04万元，决算数207.21万元，预决算差异率-11.84%，主要原因是：2024年3月因人员调整，在职人员调入调出，人员职级不同，工资基数不同，年中调减人员经费，英吉沙县工业园区环境空气质量自动监测站建设项目</w:t>
      </w:r>
      <w:r>
        <w:rPr>
          <w:rFonts w:hint="eastAsia" w:ascii="仿宋_GB2312" w:hAnsi="仿宋_GB2312" w:eastAsia="仿宋_GB2312"/>
          <w:b w:val="0"/>
          <w:sz w:val="32"/>
          <w:lang w:val="en-US" w:eastAsia="zh-CN"/>
        </w:rPr>
        <w:t>资金，</w:t>
      </w:r>
      <w:r>
        <w:rPr>
          <w:rFonts w:ascii="仿宋_GB2312" w:hAnsi="仿宋_GB2312" w:eastAsia="仿宋_GB2312"/>
          <w:b w:val="0"/>
          <w:sz w:val="32"/>
        </w:rPr>
        <w:t>导致预决算存在差异。</w:t>
      </w:r>
    </w:p>
    <w:p w14:paraId="6DCB63D4">
      <w:pPr>
        <w:spacing w:line="640" w:lineRule="exact"/>
        <w:ind w:firstLine="640"/>
        <w:jc w:val="both"/>
        <w:outlineLvl w:val="3"/>
      </w:pPr>
      <w:r>
        <w:rPr>
          <w:rFonts w:ascii="楷体_GB2312" w:hAnsi="楷体_GB2312" w:eastAsia="楷体_GB2312"/>
          <w:b/>
          <w:sz w:val="32"/>
        </w:rPr>
        <w:t>（二）一般公共预算财政拨款支出决算结构情况</w:t>
      </w:r>
    </w:p>
    <w:p w14:paraId="13A737A9">
      <w:pPr>
        <w:spacing w:line="580" w:lineRule="exact"/>
        <w:ind w:firstLine="640"/>
        <w:jc w:val="both"/>
      </w:pPr>
      <w:r>
        <w:rPr>
          <w:rFonts w:ascii="仿宋_GB2312" w:hAnsi="仿宋_GB2312" w:eastAsia="仿宋_GB2312"/>
          <w:b w:val="0"/>
          <w:sz w:val="32"/>
        </w:rPr>
        <w:t>1.社会保障和就业支出(类)20.32万元,占9.81%。</w:t>
      </w:r>
    </w:p>
    <w:p w14:paraId="493C413D">
      <w:pPr>
        <w:spacing w:line="580" w:lineRule="exact"/>
        <w:ind w:firstLine="640"/>
        <w:jc w:val="both"/>
      </w:pPr>
      <w:r>
        <w:rPr>
          <w:rFonts w:ascii="仿宋_GB2312" w:hAnsi="仿宋_GB2312" w:eastAsia="仿宋_GB2312"/>
          <w:b w:val="0"/>
          <w:sz w:val="32"/>
        </w:rPr>
        <w:t>2.卫生健康支出(类)10.79万元,占5.21%。</w:t>
      </w:r>
    </w:p>
    <w:p w14:paraId="2704799C">
      <w:pPr>
        <w:spacing w:line="580" w:lineRule="exact"/>
        <w:ind w:firstLine="640"/>
        <w:jc w:val="both"/>
      </w:pPr>
      <w:r>
        <w:rPr>
          <w:rFonts w:ascii="仿宋_GB2312" w:hAnsi="仿宋_GB2312" w:eastAsia="仿宋_GB2312"/>
          <w:b w:val="0"/>
          <w:sz w:val="32"/>
        </w:rPr>
        <w:t>3.节能环保支出(类)159.38万元,占76.92%。</w:t>
      </w:r>
    </w:p>
    <w:p w14:paraId="13021614">
      <w:pPr>
        <w:spacing w:line="580" w:lineRule="exact"/>
        <w:ind w:firstLine="640"/>
        <w:jc w:val="both"/>
      </w:pPr>
      <w:r>
        <w:rPr>
          <w:rFonts w:ascii="仿宋_GB2312" w:hAnsi="仿宋_GB2312" w:eastAsia="仿宋_GB2312"/>
          <w:b w:val="0"/>
          <w:sz w:val="32"/>
        </w:rPr>
        <w:t>4.住房保障支出(类)16.72万元,占8.07%。</w:t>
      </w:r>
    </w:p>
    <w:p w14:paraId="67F99689">
      <w:pPr>
        <w:spacing w:line="640" w:lineRule="exact"/>
        <w:ind w:firstLine="640"/>
        <w:jc w:val="both"/>
        <w:outlineLvl w:val="3"/>
      </w:pPr>
      <w:r>
        <w:rPr>
          <w:rFonts w:ascii="楷体_GB2312" w:hAnsi="楷体_GB2312" w:eastAsia="楷体_GB2312"/>
          <w:b/>
          <w:sz w:val="32"/>
        </w:rPr>
        <w:t>（三）一般公共预算财政拨款支出决算具体情况</w:t>
      </w:r>
    </w:p>
    <w:p w14:paraId="2F871227">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0.00万元，比上年决算减少5.01万元，下降100.00%,主要原因是：因机构改革原因，2024年1月之前退休人员相关费用已全部归各县市财政承担</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导致经费减少</w:t>
      </w:r>
      <w:r>
        <w:rPr>
          <w:rFonts w:ascii="仿宋_GB2312" w:hAnsi="仿宋_GB2312" w:eastAsia="仿宋_GB2312"/>
          <w:b w:val="0"/>
          <w:sz w:val="32"/>
        </w:rPr>
        <w:t>。</w:t>
      </w:r>
    </w:p>
    <w:p w14:paraId="7FA20E3F">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20.32万元，比上年决算增加0.30万元，增长1.50%,主要原因是：本年在职人员工资基数调增，养老缴费基数上涨，相应支出增加。</w:t>
      </w:r>
    </w:p>
    <w:p w14:paraId="2A62A7B9">
      <w:pPr>
        <w:spacing w:line="580" w:lineRule="exact"/>
        <w:ind w:firstLine="640"/>
        <w:jc w:val="both"/>
      </w:pPr>
      <w:r>
        <w:rPr>
          <w:rFonts w:ascii="仿宋_GB2312" w:hAnsi="仿宋_GB2312" w:eastAsia="仿宋_GB2312"/>
          <w:b w:val="0"/>
          <w:sz w:val="32"/>
        </w:rPr>
        <w:t>3.卫生健康支出(类)行政事业单位医疗(款)行政单位医疗(项):支出决算数为8.64万元，比上年决算减少0.08万元，下降0.92%,主要原因是：在职人员调入调出，人员职级不同，缴费基数不同，导致行政单位医疗经费较上年减少。</w:t>
      </w:r>
    </w:p>
    <w:p w14:paraId="5048A96C">
      <w:pPr>
        <w:spacing w:line="580" w:lineRule="exact"/>
        <w:ind w:firstLine="640"/>
        <w:jc w:val="both"/>
      </w:pPr>
      <w:r>
        <w:rPr>
          <w:rFonts w:ascii="仿宋_GB2312" w:hAnsi="仿宋_GB2312" w:eastAsia="仿宋_GB2312"/>
          <w:b w:val="0"/>
          <w:sz w:val="32"/>
        </w:rPr>
        <w:t>4.卫生健康支出(类)行政事业单位医疗(款)公务员医疗补助(项):支出决算数为2.15万元，比上年决算减少0.09万元，下降4.02%,主要原因是：本年在职人员调入调出，人员职级不同，缴费基数不同，导致公务员医疗补助较上年减少。</w:t>
      </w:r>
    </w:p>
    <w:p w14:paraId="324D5FC3">
      <w:pPr>
        <w:spacing w:line="580" w:lineRule="exact"/>
        <w:ind w:firstLine="640"/>
        <w:jc w:val="both"/>
      </w:pPr>
      <w:r>
        <w:rPr>
          <w:rFonts w:ascii="仿宋_GB2312" w:hAnsi="仿宋_GB2312" w:eastAsia="仿宋_GB2312"/>
          <w:b w:val="0"/>
          <w:sz w:val="32"/>
        </w:rPr>
        <w:t>5.节能环保支出(类)环境保护管理事务(款)行政运行(项):支出决算数为159.38万元，比上年决算减少2.89万元，下降1.78%,主要原因是：本年在职人员调入调出，人员职级不同，工资基数不同，导致人员经费较上年减少。</w:t>
      </w:r>
    </w:p>
    <w:p w14:paraId="5630BCA8">
      <w:pPr>
        <w:spacing w:line="580" w:lineRule="exact"/>
        <w:ind w:firstLine="640"/>
        <w:jc w:val="both"/>
      </w:pPr>
      <w:r>
        <w:rPr>
          <w:rFonts w:ascii="仿宋_GB2312" w:hAnsi="仿宋_GB2312" w:eastAsia="仿宋_GB2312"/>
          <w:b w:val="0"/>
          <w:sz w:val="32"/>
        </w:rPr>
        <w:t>6.节能环保支出(类)环境保护管理事务(款)生态环境保护宣传(项):支出决算数为0.00万元，比上年决算减少4.34万元，下降100.00%,主要原因是：本年度因机构改革原因，本年减少英吉沙县“六·五”世界环境宣传月宣传手册采购项目、第二轮中央生态环境保护督察反馈意见整改工作领导小组办公经费。</w:t>
      </w:r>
    </w:p>
    <w:p w14:paraId="137B325C">
      <w:pPr>
        <w:spacing w:line="580" w:lineRule="exact"/>
        <w:ind w:firstLine="640"/>
        <w:jc w:val="both"/>
      </w:pPr>
      <w:r>
        <w:rPr>
          <w:rFonts w:ascii="仿宋_GB2312" w:hAnsi="仿宋_GB2312" w:eastAsia="仿宋_GB2312"/>
          <w:b w:val="0"/>
          <w:sz w:val="32"/>
        </w:rPr>
        <w:t>7.节能环保支出(类)环境监测与监察(款)其他环境监测与监察支出(项):支出决算数为0.00万元，比上年决算减少71.40万元，下降100.00%,主要原因是：本年度因机构改革原因，本年减少英吉沙县工业园区环境空气质量自动监测站建设项目。</w:t>
      </w:r>
    </w:p>
    <w:p w14:paraId="348774CE">
      <w:pPr>
        <w:spacing w:line="580" w:lineRule="exact"/>
        <w:ind w:firstLine="640"/>
        <w:jc w:val="both"/>
      </w:pPr>
      <w:r>
        <w:rPr>
          <w:rFonts w:ascii="仿宋_GB2312" w:hAnsi="仿宋_GB2312" w:eastAsia="仿宋_GB2312"/>
          <w:b w:val="0"/>
          <w:sz w:val="32"/>
        </w:rPr>
        <w:t>8.节能环保支出(类)污染防治(款)其他污染防治支出(项):支出决算数为0.00万元，比上年决算减少43.00万元，下降100.00%,主要原因是：本年因机构改革原因，本年减少2022年重点生态功能区县域、农村生态环境监测、农村饮用水</w:t>
      </w:r>
      <w:r>
        <w:rPr>
          <w:rFonts w:hint="eastAsia" w:ascii="仿宋_GB2312" w:hAnsi="仿宋_GB2312" w:eastAsia="仿宋_GB2312"/>
          <w:b w:val="0"/>
          <w:sz w:val="32"/>
          <w:lang w:eastAsia="zh-CN"/>
        </w:rPr>
        <w:t>及</w:t>
      </w:r>
      <w:r>
        <w:rPr>
          <w:rFonts w:ascii="仿宋_GB2312" w:hAnsi="仿宋_GB2312" w:eastAsia="仿宋_GB2312"/>
          <w:b w:val="0"/>
          <w:sz w:val="32"/>
        </w:rPr>
        <w:t>农田灌溉水质监测购买服务费项目。</w:t>
      </w:r>
    </w:p>
    <w:p w14:paraId="4CAD1E77">
      <w:pPr>
        <w:spacing w:line="580" w:lineRule="exact"/>
        <w:ind w:firstLine="640"/>
        <w:jc w:val="both"/>
      </w:pPr>
      <w:r>
        <w:rPr>
          <w:rFonts w:ascii="仿宋_GB2312" w:hAnsi="仿宋_GB2312" w:eastAsia="仿宋_GB2312"/>
          <w:b w:val="0"/>
          <w:sz w:val="32"/>
        </w:rPr>
        <w:t>9.节能环保支出(类)自然生态保护(款)农村环境保护(项):支出决算数为0.00万元，比上年决算减少22.60万元，下降100.00%,主要原因是：本年因机构改革原因，本年减少英吉沙县克孜勒乡16村农村环境整治项目。</w:t>
      </w:r>
    </w:p>
    <w:p w14:paraId="624F1EBC">
      <w:pPr>
        <w:spacing w:line="580" w:lineRule="exact"/>
        <w:ind w:firstLine="640"/>
        <w:jc w:val="both"/>
      </w:pPr>
      <w:r>
        <w:rPr>
          <w:rFonts w:ascii="仿宋_GB2312" w:hAnsi="仿宋_GB2312" w:eastAsia="仿宋_GB2312"/>
          <w:b w:val="0"/>
          <w:sz w:val="32"/>
        </w:rPr>
        <w:t>10.住房保障支出(类)住房改革支出(款)住房公积金(项):支出决算数为16.72万元，比上年决算增加0.01万元，增长0.06%,主要原因是：在职人员工资基数调增，公积金缴费基数上涨，相应支出增加。</w:t>
      </w:r>
    </w:p>
    <w:p w14:paraId="7353F4D3">
      <w:pPr>
        <w:spacing w:line="640" w:lineRule="exact"/>
        <w:ind w:firstLine="640"/>
        <w:jc w:val="both"/>
        <w:outlineLvl w:val="2"/>
      </w:pPr>
      <w:r>
        <w:rPr>
          <w:rFonts w:ascii="黑体" w:hAnsi="黑体" w:eastAsia="黑体"/>
          <w:sz w:val="32"/>
        </w:rPr>
        <w:t>六、一般公共预算财政拨款基本支出决算情况说明</w:t>
      </w:r>
    </w:p>
    <w:p w14:paraId="4E7C5F4D">
      <w:pPr>
        <w:spacing w:line="580" w:lineRule="exact"/>
        <w:ind w:firstLine="640"/>
        <w:jc w:val="both"/>
      </w:pPr>
      <w:r>
        <w:rPr>
          <w:rFonts w:ascii="仿宋_GB2312" w:hAnsi="仿宋_GB2312" w:eastAsia="仿宋_GB2312"/>
          <w:b w:val="0"/>
          <w:sz w:val="32"/>
        </w:rPr>
        <w:t>2024年度一般公共预算财政拨款基本支出207.21万元，其中：</w:t>
      </w:r>
      <w:r>
        <w:rPr>
          <w:rFonts w:ascii="仿宋_GB2312" w:hAnsi="仿宋_GB2312" w:eastAsia="仿宋_GB2312"/>
          <w:b/>
          <w:sz w:val="32"/>
        </w:rPr>
        <w:t>人员经费187.49万元，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w:t>
      </w:r>
    </w:p>
    <w:p w14:paraId="55FEF6F8">
      <w:pPr>
        <w:spacing w:line="580" w:lineRule="exact"/>
        <w:ind w:firstLine="640"/>
        <w:jc w:val="both"/>
      </w:pPr>
      <w:r>
        <w:rPr>
          <w:rFonts w:ascii="仿宋_GB2312" w:hAnsi="仿宋_GB2312" w:eastAsia="仿宋_GB2312"/>
          <w:b/>
          <w:sz w:val="32"/>
        </w:rPr>
        <w:t>公用经费19.72万元，</w:t>
      </w:r>
      <w:r>
        <w:rPr>
          <w:rFonts w:ascii="仿宋_GB2312" w:hAnsi="仿宋_GB2312" w:eastAsia="仿宋_GB2312"/>
          <w:b w:val="0"/>
          <w:sz w:val="32"/>
        </w:rPr>
        <w:t>包括：办公费、电费、邮电费、取暖费、差旅费、专用材料费、委托业务费、工会经费、公务用车运行维护费。</w:t>
      </w:r>
    </w:p>
    <w:p w14:paraId="70967BC9">
      <w:pPr>
        <w:spacing w:line="640" w:lineRule="exact"/>
        <w:ind w:firstLine="640"/>
        <w:jc w:val="both"/>
        <w:outlineLvl w:val="2"/>
      </w:pPr>
      <w:r>
        <w:rPr>
          <w:rFonts w:ascii="黑体" w:hAnsi="黑体" w:eastAsia="黑体"/>
          <w:sz w:val="32"/>
        </w:rPr>
        <w:t>七、政府性基金预算财政拨款收入支出决算情况说明</w:t>
      </w:r>
    </w:p>
    <w:p w14:paraId="46842DF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0A06312">
      <w:pPr>
        <w:spacing w:line="640" w:lineRule="exact"/>
        <w:ind w:firstLine="640"/>
        <w:jc w:val="both"/>
        <w:outlineLvl w:val="2"/>
      </w:pPr>
      <w:r>
        <w:rPr>
          <w:rFonts w:ascii="黑体" w:hAnsi="黑体" w:eastAsia="黑体"/>
          <w:sz w:val="32"/>
        </w:rPr>
        <w:t>八、国有资本经营预算财政拨款收入支出决算情况说明</w:t>
      </w:r>
    </w:p>
    <w:p w14:paraId="64F5BBE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B369E57">
      <w:pPr>
        <w:spacing w:line="640" w:lineRule="exact"/>
        <w:ind w:firstLine="640"/>
        <w:jc w:val="both"/>
        <w:outlineLvl w:val="2"/>
      </w:pPr>
      <w:r>
        <w:rPr>
          <w:rFonts w:ascii="黑体" w:hAnsi="黑体" w:eastAsia="黑体"/>
          <w:sz w:val="32"/>
        </w:rPr>
        <w:t>九、财政拨款“三公”经费支出决算情况说明</w:t>
      </w:r>
    </w:p>
    <w:p w14:paraId="2C20C7CB">
      <w:pPr>
        <w:spacing w:line="580" w:lineRule="exact"/>
        <w:ind w:firstLine="640"/>
        <w:jc w:val="both"/>
      </w:pPr>
      <w:r>
        <w:rPr>
          <w:rFonts w:ascii="仿宋_GB2312" w:hAnsi="仿宋_GB2312" w:eastAsia="仿宋_GB2312"/>
          <w:b/>
          <w:sz w:val="32"/>
        </w:rPr>
        <w:t>2024年度财政拨款“三公”经费支出1.50万元，</w:t>
      </w:r>
      <w:r>
        <w:rPr>
          <w:rFonts w:ascii="仿宋_GB2312" w:hAnsi="仿宋_GB2312" w:eastAsia="仿宋_GB2312"/>
          <w:b w:val="0"/>
          <w:sz w:val="32"/>
        </w:rPr>
        <w:t>比上年减少0.30万元，下降16.67%，主要原因是：本年业务量相对减少，车辆使用次数减少，导致车辆燃油费及相关维修保养费用减少。其中：因公出国（境）费支出0.00万元，占0.00%，比上年增加0.00万元，增长0.00%，主要原因是：2023年与2024年均未安排因公出国（境）费支出。公务用车购置及运行维护费支出1.50万元，占100.00%，比上年减少0.30万元，下降16.67%，主要原因是：本年业务量相对减少，车辆使用次数减少，导致车辆燃油费及相关维修保养费用减少。公务接待费支出0.00万元，占0.00%，比上年增加0.00万元，增长0.00%，主要原因是：2023年与2024年均未安排公务接待费支出。</w:t>
      </w:r>
    </w:p>
    <w:p w14:paraId="78C73DFC">
      <w:pPr>
        <w:spacing w:line="580" w:lineRule="exact"/>
        <w:ind w:firstLine="640"/>
        <w:jc w:val="both"/>
      </w:pPr>
      <w:r>
        <w:rPr>
          <w:rFonts w:ascii="仿宋_GB2312" w:hAnsi="仿宋_GB2312" w:eastAsia="仿宋_GB2312"/>
          <w:b/>
          <w:sz w:val="32"/>
        </w:rPr>
        <w:t>具体情况如下：</w:t>
      </w:r>
    </w:p>
    <w:p w14:paraId="7C59E42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BD3A383">
      <w:pPr>
        <w:spacing w:line="580" w:lineRule="exact"/>
        <w:ind w:firstLine="640"/>
        <w:jc w:val="both"/>
      </w:pPr>
      <w:r>
        <w:rPr>
          <w:rFonts w:ascii="仿宋_GB2312" w:hAnsi="仿宋_GB2312" w:eastAsia="仿宋_GB2312"/>
          <w:b w:val="0"/>
          <w:sz w:val="32"/>
        </w:rPr>
        <w:t>公务用车购置及运行维护费1.50万元，其中：公务用车购置费0.00万元，公务用车运行维护费1.50万元。公务用车运行维护费开支内容包括车辆燃油费、车辆维修费、车辆保险费。公务用车购置数0辆，公务用车保有量1辆。国有资产占用情况中固定资产车辆11辆，与公务用车保有量差异原因是：差异车辆为一般业务用车，预算未安排公务用车运行维护费，车辆费用由使用单位支付。</w:t>
      </w:r>
    </w:p>
    <w:p w14:paraId="3B7240E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0D1966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万元，决算数1.50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万元，决算数1.50万元，预决算差异率0.00%，主要原因是：严格按照预算执行，预决算无差异。公务接待费全年预算数0.00万元，决算数0.00万元，预决算差异率0.00%，主要原因是：本单位无公务接待费。</w:t>
      </w:r>
    </w:p>
    <w:p w14:paraId="35667B68">
      <w:pPr>
        <w:spacing w:line="640" w:lineRule="exact"/>
        <w:ind w:firstLine="640"/>
        <w:jc w:val="both"/>
        <w:outlineLvl w:val="2"/>
      </w:pPr>
      <w:r>
        <w:rPr>
          <w:rFonts w:ascii="黑体" w:hAnsi="黑体" w:eastAsia="黑体"/>
          <w:sz w:val="32"/>
        </w:rPr>
        <w:t>十、其他重要事项的情况说明</w:t>
      </w:r>
    </w:p>
    <w:p w14:paraId="43896E3E">
      <w:pPr>
        <w:spacing w:line="640" w:lineRule="exact"/>
        <w:ind w:firstLine="640"/>
        <w:jc w:val="both"/>
        <w:outlineLvl w:val="3"/>
      </w:pPr>
      <w:r>
        <w:rPr>
          <w:rFonts w:ascii="楷体_GB2312" w:hAnsi="楷体_GB2312" w:eastAsia="楷体_GB2312"/>
          <w:b/>
          <w:sz w:val="32"/>
        </w:rPr>
        <w:t>（一）机关运行经费及公用经费支出情况</w:t>
      </w:r>
    </w:p>
    <w:p w14:paraId="17124B8D">
      <w:pPr>
        <w:spacing w:line="580" w:lineRule="exact"/>
        <w:ind w:firstLine="640"/>
        <w:jc w:val="both"/>
      </w:pPr>
      <w:r>
        <w:rPr>
          <w:rFonts w:ascii="仿宋_GB2312" w:hAnsi="仿宋_GB2312" w:eastAsia="仿宋_GB2312"/>
          <w:b w:val="0"/>
          <w:sz w:val="32"/>
        </w:rPr>
        <w:t>2024年度喀什地区生态环境局英吉沙县分局（行政单位和参照公务员法管理事业单位）机关运行经费支出19.72万元，比上年增加7.81万元，增长65.58%，主要原因是：本年增加办公费、电费、取暖费、邮电费</w:t>
      </w:r>
      <w:r>
        <w:rPr>
          <w:rFonts w:hint="eastAsia" w:ascii="仿宋_GB2312" w:hAnsi="仿宋_GB2312" w:eastAsia="仿宋_GB2312"/>
          <w:b w:val="0"/>
          <w:sz w:val="32"/>
          <w:lang w:val="en-US" w:eastAsia="zh-CN"/>
        </w:rPr>
        <w:t>支出</w:t>
      </w:r>
      <w:r>
        <w:rPr>
          <w:rFonts w:ascii="仿宋_GB2312" w:hAnsi="仿宋_GB2312" w:eastAsia="仿宋_GB2312"/>
          <w:b w:val="0"/>
          <w:sz w:val="32"/>
        </w:rPr>
        <w:t>，导致机关运行经费增加。</w:t>
      </w:r>
    </w:p>
    <w:p w14:paraId="6C2A44F4">
      <w:pPr>
        <w:spacing w:line="640" w:lineRule="exact"/>
        <w:ind w:firstLine="640"/>
        <w:jc w:val="both"/>
        <w:outlineLvl w:val="3"/>
      </w:pPr>
      <w:r>
        <w:rPr>
          <w:rFonts w:ascii="楷体_GB2312" w:hAnsi="楷体_GB2312" w:eastAsia="楷体_GB2312"/>
          <w:b/>
          <w:sz w:val="32"/>
        </w:rPr>
        <w:t>（二）政府采购情况</w:t>
      </w:r>
    </w:p>
    <w:p w14:paraId="1FB5488A">
      <w:pPr>
        <w:spacing w:line="580" w:lineRule="exact"/>
        <w:ind w:firstLine="640"/>
        <w:jc w:val="both"/>
      </w:pPr>
      <w:r>
        <w:rPr>
          <w:rFonts w:ascii="仿宋_GB2312" w:hAnsi="仿宋_GB2312" w:eastAsia="仿宋_GB2312"/>
          <w:b w:val="0"/>
          <w:sz w:val="32"/>
        </w:rPr>
        <w:t>2024年度政府采购支出总额7.46万元，其中：政府采购货物支出6.90万元、政府采购工程支出0.00万元、政府采购服务支出0.57万元。</w:t>
      </w:r>
    </w:p>
    <w:p w14:paraId="31970231">
      <w:pPr>
        <w:spacing w:line="580" w:lineRule="exact"/>
        <w:ind w:firstLine="640"/>
        <w:jc w:val="both"/>
      </w:pPr>
      <w:r>
        <w:rPr>
          <w:rFonts w:ascii="仿宋_GB2312" w:hAnsi="仿宋_GB2312" w:eastAsia="仿宋_GB2312"/>
          <w:b w:val="0"/>
          <w:sz w:val="32"/>
        </w:rPr>
        <w:t>授予中小企业合同金额6.87万元，占政府采购支出总额的92.09%，其中：授予小微企业合同金额4.56万元，占政府采购支出总额的61.13%。</w:t>
      </w:r>
    </w:p>
    <w:p w14:paraId="456B6B55">
      <w:pPr>
        <w:spacing w:line="640" w:lineRule="exact"/>
        <w:ind w:firstLine="640"/>
        <w:jc w:val="both"/>
        <w:outlineLvl w:val="3"/>
      </w:pPr>
      <w:r>
        <w:rPr>
          <w:rFonts w:ascii="楷体_GB2312" w:hAnsi="楷体_GB2312" w:eastAsia="楷体_GB2312"/>
          <w:b/>
          <w:sz w:val="32"/>
        </w:rPr>
        <w:t>（三）国有资产占用情况说明</w:t>
      </w:r>
    </w:p>
    <w:p w14:paraId="622C2E00">
      <w:pPr>
        <w:spacing w:line="580" w:lineRule="exact"/>
        <w:ind w:firstLine="640"/>
        <w:jc w:val="both"/>
      </w:pPr>
      <w:r>
        <w:rPr>
          <w:rFonts w:ascii="仿宋_GB2312" w:hAnsi="仿宋_GB2312" w:eastAsia="仿宋_GB2312"/>
          <w:b w:val="0"/>
          <w:sz w:val="32"/>
        </w:rPr>
        <w:t>截至2024年12月31日，房屋3,335.20平方米，价值565.93万元。车辆11辆，价值186.04万元，其中：副部（省）级及以上领导用车0辆、主要负责人用车0辆、机要通信用车0辆、应急保障用车0辆、执法执勤用车1辆、特种专业技术用车6辆、离退休干部服务用车0辆、其他用车4辆，其他用车主要是：一般公务用车。单价100万元（含）以上设备（不含车辆）0台（套）。</w:t>
      </w:r>
    </w:p>
    <w:p w14:paraId="3F3B27B4">
      <w:pPr>
        <w:spacing w:line="640" w:lineRule="exact"/>
        <w:ind w:firstLine="640"/>
        <w:jc w:val="both"/>
        <w:outlineLvl w:val="2"/>
      </w:pPr>
      <w:r>
        <w:rPr>
          <w:rFonts w:ascii="黑体" w:hAnsi="黑体" w:eastAsia="黑体"/>
          <w:sz w:val="32"/>
        </w:rPr>
        <w:t>十一、预算绩效的情况说明</w:t>
      </w:r>
    </w:p>
    <w:p w14:paraId="6CEFAB4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207.21万元，实际执行总额207.21万元；预算绩效评价项目0个，全年预算数0.00万元，全年执行数0.00万元。预算绩效管理取得的成效：一是强化了单位职能为核心；二是全面提升了</w:t>
      </w:r>
      <w:r>
        <w:rPr>
          <w:rFonts w:hint="eastAsia" w:ascii="仿宋_GB2312" w:hAnsi="仿宋_GB2312" w:eastAsia="仿宋_GB2312"/>
          <w:b w:val="0"/>
          <w:sz w:val="32"/>
          <w:lang w:eastAsia="zh-CN"/>
        </w:rPr>
        <w:t>本单位</w:t>
      </w:r>
      <w:bookmarkStart w:id="0" w:name="_GoBack"/>
      <w:bookmarkEnd w:id="0"/>
      <w:r>
        <w:rPr>
          <w:rFonts w:ascii="仿宋_GB2312" w:hAnsi="仿宋_GB2312" w:eastAsia="仿宋_GB2312"/>
          <w:b w:val="0"/>
          <w:sz w:val="32"/>
        </w:rPr>
        <w:t>公共服务水平。发现的问题及原因：一是未能健全事前绩效目标编审体系；二是未能开展事中绩效运行跟踪；三是未能构建事后预算绩效评价体系。预算绩效观念不强，工作质量待提高；绩效管理专业人员匮乏。下一步改进措施：加大绩效工作宣传力度，强化绩效理念。完善绩效指标，提高整体绩效目标质量。提升预算精细化管理水平。加大预算绩效管理的学习，吸取成功单位的绩效管理经验，从申报项目的规范要求到过程管理直至最后项目的绩效评价，形成整套的系统流程。加强对专项资金的检查力度。成立专项资金检查小组，定期抽查各项目资金的使用情况；重大项目要求必须选取第三方对项目资金使用进行审核。加强项目实施进度督查。加速推进项目建设，对目前项目实施没有达到预定进度、资金管理、档案管理欠佳的项目，予以重点督查。继续完善预算绩效管理相关工作制度，建立全过程预算绩效管理链条，有效贯彻落实全面实施绩效管理的精神。具体附整体支出绩效自评表。</w:t>
      </w:r>
    </w:p>
    <w:p w14:paraId="0EFB490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2F02FE7">
        <w:tblPrEx>
          <w:tblCellMar>
            <w:top w:w="0" w:type="dxa"/>
            <w:left w:w="108" w:type="dxa"/>
            <w:bottom w:w="0" w:type="dxa"/>
            <w:right w:w="108" w:type="dxa"/>
          </w:tblCellMar>
        </w:tblPrEx>
        <w:tc>
          <w:tcPr>
            <w:tcW w:w="8847" w:type="dxa"/>
            <w:gridSpan w:val="9"/>
            <w:vAlign w:val="center"/>
          </w:tcPr>
          <w:p w14:paraId="3D7B5A62">
            <w:pPr>
              <w:jc w:val="center"/>
            </w:pPr>
            <w:r>
              <w:rPr>
                <w:rFonts w:ascii="宋体" w:hAnsi="宋体" w:eastAsia="宋体"/>
                <w:sz w:val="24"/>
              </w:rPr>
              <w:t>单位整体支出绩效自评表</w:t>
            </w:r>
          </w:p>
        </w:tc>
      </w:tr>
      <w:tr w14:paraId="54F5E1A6">
        <w:tblPrEx>
          <w:tblCellMar>
            <w:top w:w="0" w:type="dxa"/>
            <w:left w:w="108" w:type="dxa"/>
            <w:bottom w:w="0" w:type="dxa"/>
            <w:right w:w="108" w:type="dxa"/>
          </w:tblCellMar>
        </w:tblPrEx>
        <w:tc>
          <w:tcPr>
            <w:tcW w:w="8847" w:type="dxa"/>
            <w:gridSpan w:val="9"/>
            <w:vAlign w:val="center"/>
          </w:tcPr>
          <w:p w14:paraId="2D2651E6">
            <w:pPr>
              <w:jc w:val="center"/>
            </w:pPr>
            <w:r>
              <w:rPr>
                <w:rFonts w:ascii="宋体" w:hAnsi="宋体" w:eastAsia="宋体"/>
                <w:sz w:val="24"/>
              </w:rPr>
              <w:t>（2024年度）</w:t>
            </w:r>
          </w:p>
        </w:tc>
      </w:tr>
      <w:tr w14:paraId="155593E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5F9F0">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889F448">
            <w:pPr>
              <w:jc w:val="center"/>
            </w:pPr>
            <w:r>
              <w:rPr>
                <w:rFonts w:ascii="宋体" w:hAnsi="宋体" w:eastAsia="宋体"/>
                <w:sz w:val="16"/>
              </w:rPr>
              <w:t>喀什地区生态环境局英吉沙县分局</w:t>
            </w:r>
          </w:p>
        </w:tc>
      </w:tr>
      <w:tr w14:paraId="0DAA623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38D52">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12B02">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387C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00BC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27084">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6157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92B27">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73A84">
            <w:pPr>
              <w:jc w:val="center"/>
            </w:pPr>
            <w:r>
              <w:rPr>
                <w:rFonts w:ascii="宋体" w:hAnsi="宋体" w:eastAsia="宋体"/>
                <w:sz w:val="16"/>
              </w:rPr>
              <w:t>得分</w:t>
            </w:r>
          </w:p>
        </w:tc>
      </w:tr>
      <w:tr w14:paraId="37C037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DB75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B5D46">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10812">
            <w:pPr>
              <w:jc w:val="center"/>
            </w:pPr>
            <w:r>
              <w:rPr>
                <w:rFonts w:ascii="宋体" w:hAnsi="宋体" w:eastAsia="宋体"/>
                <w:sz w:val="16"/>
              </w:rPr>
              <w:t>235.04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17927">
            <w:pPr>
              <w:jc w:val="center"/>
            </w:pPr>
            <w:r>
              <w:rPr>
                <w:rFonts w:ascii="宋体" w:hAnsi="宋体" w:eastAsia="宋体"/>
                <w:sz w:val="16"/>
              </w:rPr>
              <w:t>207.21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7A5B9">
            <w:pPr>
              <w:jc w:val="center"/>
            </w:pPr>
            <w:r>
              <w:rPr>
                <w:rFonts w:ascii="宋体" w:hAnsi="宋体" w:eastAsia="宋体"/>
                <w:sz w:val="16"/>
              </w:rPr>
              <w:t>207.21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767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7A399">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D1A86">
            <w:pPr>
              <w:jc w:val="center"/>
            </w:pPr>
            <w:r>
              <w:rPr>
                <w:rFonts w:ascii="宋体" w:hAnsi="宋体" w:eastAsia="宋体"/>
                <w:sz w:val="16"/>
              </w:rPr>
              <w:t>10</w:t>
            </w:r>
          </w:p>
        </w:tc>
      </w:tr>
      <w:tr w14:paraId="754371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39DA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9FB62">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7A46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422EA">
            <w:pPr>
              <w:jc w:val="center"/>
            </w:pPr>
            <w:r>
              <w:rPr>
                <w:rFonts w:ascii="宋体" w:hAnsi="宋体" w:eastAsia="宋体"/>
                <w:sz w:val="16"/>
              </w:rPr>
              <w:t>5.13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614ED">
            <w:pPr>
              <w:jc w:val="center"/>
            </w:pPr>
            <w:r>
              <w:rPr>
                <w:rFonts w:ascii="宋体" w:hAnsi="宋体" w:eastAsia="宋体"/>
                <w:sz w:val="16"/>
              </w:rPr>
              <w:t>5.13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D13E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8E3B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4C726">
            <w:pPr>
              <w:jc w:val="center"/>
            </w:pPr>
            <w:r>
              <w:rPr>
                <w:rFonts w:ascii="宋体" w:hAnsi="宋体" w:eastAsia="宋体"/>
                <w:sz w:val="16"/>
              </w:rPr>
              <w:t>—</w:t>
            </w:r>
          </w:p>
        </w:tc>
      </w:tr>
      <w:tr w14:paraId="7EE8F5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B6BB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2DF2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736E2">
            <w:pPr>
              <w:jc w:val="center"/>
            </w:pPr>
            <w:r>
              <w:rPr>
                <w:rFonts w:ascii="宋体" w:hAnsi="宋体" w:eastAsia="宋体"/>
                <w:sz w:val="16"/>
              </w:rPr>
              <w:t>235.04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C936F">
            <w:pPr>
              <w:jc w:val="center"/>
            </w:pPr>
            <w:r>
              <w:rPr>
                <w:rFonts w:ascii="宋体" w:hAnsi="宋体" w:eastAsia="宋体"/>
                <w:sz w:val="16"/>
              </w:rPr>
              <w:t>202.08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6BE05">
            <w:pPr>
              <w:jc w:val="center"/>
            </w:pPr>
            <w:r>
              <w:rPr>
                <w:rFonts w:ascii="宋体" w:hAnsi="宋体" w:eastAsia="宋体"/>
                <w:sz w:val="16"/>
              </w:rPr>
              <w:t>202.08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2C60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F291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533C4">
            <w:pPr>
              <w:jc w:val="center"/>
            </w:pPr>
            <w:r>
              <w:rPr>
                <w:rFonts w:ascii="宋体" w:hAnsi="宋体" w:eastAsia="宋体"/>
                <w:sz w:val="16"/>
              </w:rPr>
              <w:t>—</w:t>
            </w:r>
          </w:p>
        </w:tc>
      </w:tr>
      <w:tr w14:paraId="5E6493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7534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BBB8D">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FBA4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E380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3314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F4CC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D150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82FFC">
            <w:pPr>
              <w:jc w:val="center"/>
            </w:pPr>
            <w:r>
              <w:rPr>
                <w:rFonts w:ascii="宋体" w:hAnsi="宋体" w:eastAsia="宋体"/>
                <w:sz w:val="16"/>
              </w:rPr>
              <w:t>—</w:t>
            </w:r>
          </w:p>
        </w:tc>
      </w:tr>
      <w:tr w14:paraId="486DBB3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19784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91AA6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71F858">
            <w:pPr>
              <w:jc w:val="center"/>
            </w:pPr>
            <w:r>
              <w:rPr>
                <w:rFonts w:ascii="宋体" w:hAnsi="宋体" w:eastAsia="宋体"/>
                <w:sz w:val="16"/>
              </w:rPr>
              <w:t>实际完成情况</w:t>
            </w:r>
          </w:p>
        </w:tc>
      </w:tr>
      <w:tr w14:paraId="7F2A27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37463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03EF2D">
            <w:pPr>
              <w:jc w:val="both"/>
            </w:pPr>
            <w:r>
              <w:rPr>
                <w:rFonts w:ascii="宋体" w:hAnsi="宋体" w:eastAsia="宋体"/>
                <w:sz w:val="16"/>
              </w:rPr>
              <w:t>2024年城市空气质量优良率达45%以上。地表水水质--库山河、依格孜牙河水域水质保持三类及以上标准，地表水重点控制区不增加新的排污口。县域土壤环境质量保持</w:t>
            </w:r>
            <w:r>
              <w:rPr>
                <w:rFonts w:hint="eastAsia" w:ascii="宋体" w:hAnsi="宋体"/>
                <w:sz w:val="16"/>
                <w:lang w:eastAsia="zh-CN"/>
              </w:rPr>
              <w:t>不变</w:t>
            </w:r>
            <w:r>
              <w:rPr>
                <w:rFonts w:ascii="宋体" w:hAnsi="宋体" w:eastAsia="宋体"/>
                <w:sz w:val="16"/>
              </w:rPr>
              <w:t>，不出现新的重金属污染地块。县域内主要污染物总量排放控制在自治区核定的排放总量之内。辖区生态环境信访接待率、处理率、结案率达100%，无越级重复上访事件发生。社会公众对辖区生态环境保护工作满意度达到90%以上。辖区内无重大环境污染事件、生态破坏事件和核辐射安全事故发生。</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DCF78E">
            <w:pPr>
              <w:jc w:val="both"/>
            </w:pPr>
            <w:r>
              <w:rPr>
                <w:rFonts w:ascii="宋体" w:hAnsi="宋体" w:eastAsia="宋体"/>
                <w:sz w:val="16"/>
              </w:rPr>
              <w:t>本年度，我县县域空气质量优良率达39.</w:t>
            </w:r>
            <w:r>
              <w:rPr>
                <w:rFonts w:hint="eastAsia" w:ascii="宋体" w:hAnsi="宋体"/>
                <w:sz w:val="16"/>
                <w:lang w:eastAsia="zh-CN"/>
              </w:rPr>
              <w:t>3%</w:t>
            </w:r>
            <w:r>
              <w:rPr>
                <w:rFonts w:ascii="宋体" w:hAnsi="宋体" w:eastAsia="宋体"/>
                <w:sz w:val="16"/>
              </w:rPr>
              <w:t>以上，空气质量监测数据有效天数为359天，优良天数141天，数据有效率98.1%，有效督促我县城市和农村饮用水水源地水环境质量达到国家</w:t>
            </w:r>
            <w:r>
              <w:rPr>
                <w:rFonts w:hint="eastAsia" w:ascii="宋体" w:hAnsi="宋体"/>
                <w:sz w:val="16"/>
                <w:lang w:eastAsia="zh-CN"/>
              </w:rPr>
              <w:t>Ⅱ类</w:t>
            </w:r>
            <w:r>
              <w:rPr>
                <w:rFonts w:ascii="宋体" w:hAnsi="宋体" w:eastAsia="宋体"/>
                <w:sz w:val="16"/>
              </w:rPr>
              <w:t>标准。全县未发生放射源辐射事故。土壤环境质量保持优良水平，未发生土壤污染事故。辖区生态环境信访接待3起，处理率、结案率达100%，无越级重复上访事件发生。辖区内无重大环境污染事件、生态破坏事件和核辐射安全事故发生。</w:t>
            </w:r>
          </w:p>
        </w:tc>
      </w:tr>
      <w:tr w14:paraId="4C9C9DC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7179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05E7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5172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6866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65D8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CBCB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B9C2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CF61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147B1">
            <w:pPr>
              <w:jc w:val="center"/>
            </w:pPr>
            <w:r>
              <w:rPr>
                <w:rFonts w:ascii="宋体" w:hAnsi="宋体" w:eastAsia="宋体"/>
                <w:sz w:val="16"/>
              </w:rPr>
              <w:t>得分</w:t>
            </w:r>
          </w:p>
        </w:tc>
      </w:tr>
      <w:tr w14:paraId="68CBB94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52AC2">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96239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367A3">
            <w:pPr>
              <w:jc w:val="center"/>
            </w:pPr>
            <w:r>
              <w:rPr>
                <w:rFonts w:ascii="宋体" w:hAnsi="宋体" w:eastAsia="宋体"/>
                <w:sz w:val="16"/>
              </w:rPr>
              <w:t>英吉沙县全年空气质量优良天数比率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F89DA">
            <w:pPr>
              <w:jc w:val="center"/>
            </w:pPr>
            <w:r>
              <w:rPr>
                <w:rFonts w:ascii="宋体" w:hAnsi="宋体" w:eastAsia="宋体"/>
                <w:sz w:val="16"/>
              </w:rPr>
              <w:t>&gt;=45%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B587C">
            <w:pPr>
              <w:jc w:val="center"/>
            </w:pPr>
            <w:r>
              <w:rPr>
                <w:rFonts w:ascii="宋体" w:hAnsi="宋体" w:eastAsia="宋体"/>
                <w:sz w:val="16"/>
              </w:rPr>
              <w:t>喀什地区生态环境局英吉沙县分局2024年工作计划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CC12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2974A">
            <w:pPr>
              <w:jc w:val="center"/>
            </w:pPr>
            <w:r>
              <w:rPr>
                <w:rFonts w:ascii="宋体" w:hAnsi="宋体" w:eastAsia="宋体"/>
                <w:sz w:val="16"/>
              </w:rPr>
              <w:t>39.3%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27FE8">
            <w:pPr>
              <w:jc w:val="center"/>
            </w:pPr>
            <w:r>
              <w:rPr>
                <w:rFonts w:ascii="宋体" w:hAnsi="宋体" w:eastAsia="宋体"/>
                <w:sz w:val="16"/>
              </w:rPr>
              <w:t>87.33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2B51B">
            <w:pPr>
              <w:jc w:val="center"/>
            </w:pPr>
            <w:r>
              <w:rPr>
                <w:rFonts w:ascii="宋体" w:hAnsi="宋体" w:eastAsia="宋体"/>
                <w:sz w:val="16"/>
              </w:rPr>
              <w:t>17.47</w:t>
            </w:r>
          </w:p>
        </w:tc>
      </w:tr>
      <w:tr w14:paraId="4640EA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8CC61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FB09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82FA6">
            <w:pPr>
              <w:jc w:val="center"/>
            </w:pPr>
            <w:r>
              <w:rPr>
                <w:rFonts w:ascii="宋体" w:hAnsi="宋体" w:eastAsia="宋体"/>
                <w:sz w:val="16"/>
              </w:rPr>
              <w:t>辖区生态环境信访接待率、处理率、结案率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BD5C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F11A4">
            <w:pPr>
              <w:jc w:val="center"/>
            </w:pPr>
            <w:r>
              <w:rPr>
                <w:rFonts w:ascii="宋体" w:hAnsi="宋体" w:eastAsia="宋体"/>
                <w:sz w:val="16"/>
              </w:rPr>
              <w:t>喀什地区生态环境局英吉沙县分局2024年工作计划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D7CF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AB86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877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FE884">
            <w:pPr>
              <w:jc w:val="center"/>
            </w:pPr>
            <w:r>
              <w:rPr>
                <w:rFonts w:ascii="宋体" w:hAnsi="宋体" w:eastAsia="宋体"/>
                <w:sz w:val="16"/>
              </w:rPr>
              <w:t>20</w:t>
            </w:r>
          </w:p>
        </w:tc>
      </w:tr>
      <w:tr w14:paraId="678B4A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ED84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81A8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B614E">
            <w:pPr>
              <w:jc w:val="center"/>
            </w:pPr>
            <w:r>
              <w:rPr>
                <w:rFonts w:ascii="宋体" w:hAnsi="宋体" w:eastAsia="宋体"/>
                <w:sz w:val="16"/>
              </w:rPr>
              <w:t>库山河、依格孜牙河水域水质保持Ⅲ类水体比例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CFB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66252">
            <w:pPr>
              <w:jc w:val="center"/>
            </w:pPr>
            <w:r>
              <w:rPr>
                <w:rFonts w:ascii="宋体" w:hAnsi="宋体" w:eastAsia="宋体"/>
                <w:sz w:val="16"/>
              </w:rPr>
              <w:t>喀什地区生态环境局英吉沙县分局2024年工作计划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789B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17A9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421F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0D1ED">
            <w:pPr>
              <w:jc w:val="center"/>
            </w:pPr>
            <w:r>
              <w:rPr>
                <w:rFonts w:ascii="宋体" w:hAnsi="宋体" w:eastAsia="宋体"/>
                <w:sz w:val="16"/>
              </w:rPr>
              <w:t>20</w:t>
            </w:r>
          </w:p>
        </w:tc>
      </w:tr>
      <w:tr w14:paraId="7EAD4D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7B9E8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59E88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64619">
            <w:pPr>
              <w:jc w:val="center"/>
            </w:pPr>
            <w:r>
              <w:rPr>
                <w:rFonts w:ascii="宋体" w:hAnsi="宋体" w:eastAsia="宋体"/>
                <w:sz w:val="16"/>
              </w:rPr>
              <w:t>完成第二轮中央生态环境保护督察反馈问题整改任务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B2C51">
            <w:pPr>
              <w:jc w:val="center"/>
            </w:pPr>
            <w:r>
              <w:rPr>
                <w:rFonts w:ascii="宋体" w:hAnsi="宋体" w:eastAsia="宋体"/>
                <w:sz w:val="16"/>
              </w:rPr>
              <w:t>&gt;=70%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23E9D">
            <w:pPr>
              <w:jc w:val="center"/>
            </w:pPr>
            <w:r>
              <w:rPr>
                <w:rFonts w:ascii="宋体" w:hAnsi="宋体" w:eastAsia="宋体"/>
                <w:sz w:val="16"/>
              </w:rPr>
              <w:t>喀什地区生态环境局英吉沙县分局2024年工作计划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C3BD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4E2C6">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860D6">
            <w:pPr>
              <w:jc w:val="center"/>
            </w:pPr>
            <w:r>
              <w:rPr>
                <w:rFonts w:ascii="宋体" w:hAnsi="宋体" w:eastAsia="宋体"/>
                <w:sz w:val="16"/>
              </w:rPr>
              <w:t>114.29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E4024">
            <w:pPr>
              <w:jc w:val="center"/>
            </w:pPr>
            <w:r>
              <w:rPr>
                <w:rFonts w:ascii="宋体" w:hAnsi="宋体" w:eastAsia="宋体"/>
                <w:sz w:val="16"/>
              </w:rPr>
              <w:t>20</w:t>
            </w:r>
          </w:p>
        </w:tc>
      </w:tr>
      <w:tr w14:paraId="33BA87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B175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02BF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1B651">
            <w:pPr>
              <w:jc w:val="center"/>
            </w:pPr>
            <w:r>
              <w:rPr>
                <w:rFonts w:ascii="宋体" w:hAnsi="宋体" w:eastAsia="宋体"/>
                <w:sz w:val="16"/>
              </w:rPr>
              <w:t>英吉沙县全年重污染天数比率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BC3F7">
            <w:pPr>
              <w:jc w:val="center"/>
            </w:pPr>
            <w:r>
              <w:rPr>
                <w:rFonts w:ascii="宋体" w:hAnsi="宋体" w:eastAsia="宋体"/>
                <w:sz w:val="16"/>
              </w:rPr>
              <w:t>&lt;=3.20%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DBF38">
            <w:pPr>
              <w:jc w:val="center"/>
            </w:pPr>
            <w:r>
              <w:rPr>
                <w:rFonts w:ascii="宋体" w:hAnsi="宋体" w:eastAsia="宋体"/>
                <w:sz w:val="16"/>
              </w:rPr>
              <w:t>喀什地区生态环境局英吉沙县分局2024年工作计划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7BA3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519AB">
            <w:pPr>
              <w:jc w:val="center"/>
            </w:pPr>
            <w:r>
              <w:rPr>
                <w:rFonts w:ascii="宋体" w:hAnsi="宋体" w:eastAsia="宋体"/>
                <w:sz w:val="16"/>
              </w:rPr>
              <w:t>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726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EBC8B">
            <w:pPr>
              <w:jc w:val="center"/>
            </w:pPr>
            <w:r>
              <w:rPr>
                <w:rFonts w:ascii="宋体" w:hAnsi="宋体" w:eastAsia="宋体"/>
                <w:sz w:val="16"/>
              </w:rPr>
              <w:t>10</w:t>
            </w:r>
          </w:p>
        </w:tc>
      </w:tr>
    </w:tbl>
    <w:p w14:paraId="541A846B">
      <w:r>
        <w:br w:type="page"/>
      </w:r>
    </w:p>
    <w:p w14:paraId="45DEE298">
      <w:pPr>
        <w:spacing w:line="640" w:lineRule="exact"/>
        <w:ind w:firstLine="640"/>
        <w:jc w:val="both"/>
        <w:outlineLvl w:val="2"/>
      </w:pPr>
      <w:r>
        <w:rPr>
          <w:rFonts w:ascii="黑体" w:hAnsi="黑体" w:eastAsia="黑体"/>
          <w:sz w:val="32"/>
        </w:rPr>
        <w:t>十二、其他需说明的事项</w:t>
      </w:r>
    </w:p>
    <w:p w14:paraId="6ABA8DF4">
      <w:pPr>
        <w:spacing w:line="580" w:lineRule="exact"/>
        <w:ind w:firstLine="640"/>
        <w:jc w:val="both"/>
      </w:pPr>
      <w:r>
        <w:rPr>
          <w:rFonts w:ascii="仿宋_GB2312" w:hAnsi="仿宋_GB2312" w:eastAsia="仿宋_GB2312"/>
          <w:b w:val="0"/>
          <w:sz w:val="32"/>
        </w:rPr>
        <w:t>本单位无其他需说明的事项。</w:t>
      </w:r>
    </w:p>
    <w:p w14:paraId="468C2855">
      <w:r>
        <w:br w:type="page"/>
      </w:r>
    </w:p>
    <w:p w14:paraId="5F266CD1">
      <w:pPr>
        <w:spacing w:line="240" w:lineRule="auto"/>
        <w:jc w:val="center"/>
        <w:outlineLvl w:val="1"/>
      </w:pPr>
      <w:r>
        <w:rPr>
          <w:rFonts w:ascii="黑体" w:hAnsi="黑体" w:eastAsia="黑体"/>
          <w:sz w:val="32"/>
        </w:rPr>
        <w:t>第三部分 专业名词解释</w:t>
      </w:r>
    </w:p>
    <w:p w14:paraId="062A1C4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168C8F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9BDA3B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D1B776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50F9F6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99E247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151404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E55511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E6B414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8A733C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8401A3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B7CB01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435A53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A71B8B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E9352C3">
      <w:r>
        <w:br w:type="page"/>
      </w:r>
    </w:p>
    <w:p w14:paraId="342EAEDF">
      <w:pPr>
        <w:spacing w:line="240" w:lineRule="auto"/>
        <w:jc w:val="center"/>
        <w:outlineLvl w:val="1"/>
      </w:pPr>
      <w:r>
        <w:rPr>
          <w:rFonts w:ascii="黑体" w:hAnsi="黑体" w:eastAsia="黑体"/>
          <w:sz w:val="32"/>
        </w:rPr>
        <w:t>第四部分 部门决算报表（见附表）</w:t>
      </w:r>
    </w:p>
    <w:p w14:paraId="2ADFB9B8">
      <w:pPr>
        <w:spacing w:line="240" w:lineRule="auto"/>
        <w:ind w:firstLine="640"/>
        <w:jc w:val="both"/>
      </w:pPr>
      <w:r>
        <w:rPr>
          <w:rFonts w:ascii="仿宋_GB2312" w:hAnsi="仿宋_GB2312" w:eastAsia="仿宋_GB2312"/>
          <w:b w:val="0"/>
          <w:sz w:val="32"/>
        </w:rPr>
        <w:t>一、《收入支出决算总表》</w:t>
      </w:r>
    </w:p>
    <w:p w14:paraId="22807E73">
      <w:pPr>
        <w:spacing w:line="240" w:lineRule="auto"/>
        <w:ind w:firstLine="640"/>
        <w:jc w:val="both"/>
      </w:pPr>
      <w:r>
        <w:rPr>
          <w:rFonts w:ascii="仿宋_GB2312" w:hAnsi="仿宋_GB2312" w:eastAsia="仿宋_GB2312"/>
          <w:b w:val="0"/>
          <w:sz w:val="32"/>
        </w:rPr>
        <w:t>二、《收入决算表》</w:t>
      </w:r>
    </w:p>
    <w:p w14:paraId="606A15BA">
      <w:pPr>
        <w:spacing w:line="240" w:lineRule="auto"/>
        <w:ind w:firstLine="640"/>
        <w:jc w:val="both"/>
      </w:pPr>
      <w:r>
        <w:rPr>
          <w:rFonts w:ascii="仿宋_GB2312" w:hAnsi="仿宋_GB2312" w:eastAsia="仿宋_GB2312"/>
          <w:b w:val="0"/>
          <w:sz w:val="32"/>
        </w:rPr>
        <w:t>三、《支出决算表》</w:t>
      </w:r>
    </w:p>
    <w:p w14:paraId="79C6D8DE">
      <w:pPr>
        <w:spacing w:line="240" w:lineRule="auto"/>
        <w:ind w:firstLine="640"/>
        <w:jc w:val="both"/>
      </w:pPr>
      <w:r>
        <w:rPr>
          <w:rFonts w:ascii="仿宋_GB2312" w:hAnsi="仿宋_GB2312" w:eastAsia="仿宋_GB2312"/>
          <w:b w:val="0"/>
          <w:sz w:val="32"/>
        </w:rPr>
        <w:t>四、《财政拨款收入支出决算总表》</w:t>
      </w:r>
    </w:p>
    <w:p w14:paraId="3AEAE91E">
      <w:pPr>
        <w:spacing w:line="240" w:lineRule="auto"/>
        <w:ind w:firstLine="640"/>
        <w:jc w:val="both"/>
      </w:pPr>
      <w:r>
        <w:rPr>
          <w:rFonts w:ascii="仿宋_GB2312" w:hAnsi="仿宋_GB2312" w:eastAsia="仿宋_GB2312"/>
          <w:b w:val="0"/>
          <w:sz w:val="32"/>
        </w:rPr>
        <w:t>五、《一般公共预算财政拨款支出决算表》</w:t>
      </w:r>
    </w:p>
    <w:p w14:paraId="5EE84B6B">
      <w:pPr>
        <w:spacing w:line="240" w:lineRule="auto"/>
        <w:ind w:firstLine="640"/>
        <w:jc w:val="both"/>
      </w:pPr>
      <w:r>
        <w:rPr>
          <w:rFonts w:ascii="仿宋_GB2312" w:hAnsi="仿宋_GB2312" w:eastAsia="仿宋_GB2312"/>
          <w:b w:val="0"/>
          <w:sz w:val="32"/>
        </w:rPr>
        <w:t>六、《一般公共预算财政拨款基本支出决算表》</w:t>
      </w:r>
    </w:p>
    <w:p w14:paraId="1C40314F">
      <w:pPr>
        <w:spacing w:line="240" w:lineRule="auto"/>
        <w:ind w:firstLine="640"/>
        <w:jc w:val="both"/>
      </w:pPr>
      <w:r>
        <w:rPr>
          <w:rFonts w:ascii="仿宋_GB2312" w:hAnsi="仿宋_GB2312" w:eastAsia="仿宋_GB2312"/>
          <w:b w:val="0"/>
          <w:sz w:val="32"/>
        </w:rPr>
        <w:t>七、《政府性基金预算财政拨款收入支出决算表》</w:t>
      </w:r>
    </w:p>
    <w:p w14:paraId="0FB155B0">
      <w:pPr>
        <w:spacing w:line="240" w:lineRule="auto"/>
        <w:ind w:firstLine="640"/>
        <w:jc w:val="both"/>
      </w:pPr>
      <w:r>
        <w:rPr>
          <w:rFonts w:ascii="仿宋_GB2312" w:hAnsi="仿宋_GB2312" w:eastAsia="仿宋_GB2312"/>
          <w:b w:val="0"/>
          <w:sz w:val="32"/>
        </w:rPr>
        <w:t>八、《国有资本经营预算财政拨款收入支出决算表》</w:t>
      </w:r>
    </w:p>
    <w:p w14:paraId="186816EA">
      <w:pPr>
        <w:spacing w:line="240" w:lineRule="auto"/>
        <w:ind w:firstLine="640"/>
        <w:jc w:val="both"/>
      </w:pPr>
      <w:r>
        <w:rPr>
          <w:rFonts w:ascii="仿宋_GB2312" w:hAnsi="仿宋_GB2312" w:eastAsia="仿宋_GB2312"/>
          <w:b w:val="0"/>
          <w:sz w:val="32"/>
        </w:rPr>
        <w:t>九、《财政拨款“三公”经费支出决算表》</w:t>
      </w:r>
    </w:p>
    <w:p w14:paraId="5F08BEDA">
      <w:pPr>
        <w:spacing w:line="240" w:lineRule="auto"/>
        <w:ind w:firstLine="640"/>
        <w:jc w:val="both"/>
      </w:pPr>
    </w:p>
    <w:p w14:paraId="78DD18F8">
      <w:pPr>
        <w:spacing w:line="240" w:lineRule="auto"/>
        <w:ind w:firstLine="640"/>
        <w:jc w:val="both"/>
      </w:pPr>
    </w:p>
    <w:p w14:paraId="0A11A41E">
      <w:pPr>
        <w:spacing w:line="240" w:lineRule="auto"/>
        <w:ind w:firstLine="640"/>
        <w:jc w:val="both"/>
      </w:pPr>
    </w:p>
    <w:p w14:paraId="280FEE7F">
      <w:pPr>
        <w:spacing w:line="240" w:lineRule="auto"/>
        <w:ind w:firstLine="640"/>
        <w:jc w:val="both"/>
      </w:pPr>
    </w:p>
    <w:p w14:paraId="4DAFFC3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297EEDB-BBDD-477C-A2AD-AA37ABEA892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BFDFEC4-4F9B-4DFC-91AF-CD6A7929C573}"/>
  </w:font>
  <w:font w:name="仿宋_GB2312">
    <w:altName w:val="仿宋"/>
    <w:panose1 w:val="02010609030101010101"/>
    <w:charset w:val="86"/>
    <w:family w:val="modern"/>
    <w:pitch w:val="default"/>
    <w:sig w:usb0="00000000" w:usb1="00000000" w:usb2="00000000" w:usb3="00000000" w:csb0="00040000" w:csb1="00000000"/>
    <w:embedRegular r:id="rId3" w:fontKey="{2E8CDB55-E0C1-42AE-921E-DE70EDCFDCBA}"/>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D9EC8077-75C4-468E-8C28-6014940BB56D}"/>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0A5685"/>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A517F8"/>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5507</Words>
  <Characters>6215</Characters>
  <Lines>0</Lines>
  <Paragraphs>0</Paragraphs>
  <TotalTime>4</TotalTime>
  <ScaleCrop>false</ScaleCrop>
  <LinksUpToDate>false</LinksUpToDate>
  <CharactersWithSpaces>6223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2025-09-03T11:43:08Z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