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9D92BF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喀什地区生态环境局莎车县分局2024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B613B03">
      <w:r>
        <w:br w:type="page"/>
      </w:r>
    </w:p>
    <w:p w14:paraId="3E455D45">
      <w:pPr>
        <w:spacing w:line="640" w:lineRule="exact"/>
        <w:jc w:val="center"/>
        <w:outlineLvl w:val="1"/>
      </w:pPr>
      <w:r>
        <w:rPr>
          <w:rFonts w:ascii="黑体" w:hAnsi="黑体" w:eastAsia="黑体"/>
          <w:sz w:val="32"/>
        </w:rPr>
        <w:t>第一部分 单位概况</w:t>
      </w:r>
    </w:p>
    <w:p w14:paraId="27C135D8">
      <w:pPr>
        <w:spacing w:line="640" w:lineRule="exact"/>
        <w:ind w:firstLine="640"/>
        <w:jc w:val="both"/>
        <w:outlineLvl w:val="2"/>
      </w:pPr>
      <w:r>
        <w:rPr>
          <w:rFonts w:ascii="黑体" w:hAnsi="黑体" w:eastAsia="黑体"/>
          <w:sz w:val="32"/>
        </w:rPr>
        <w:t>一、主要职能</w:t>
      </w:r>
    </w:p>
    <w:p w14:paraId="31C00711">
      <w:pPr>
        <w:spacing w:line="580" w:lineRule="exact"/>
        <w:ind w:firstLine="640"/>
        <w:jc w:val="both"/>
      </w:pPr>
      <w:r>
        <w:rPr>
          <w:rFonts w:ascii="仿宋_GB2312" w:hAnsi="仿宋_GB2312" w:eastAsia="仿宋_GB2312"/>
          <w:sz w:val="32"/>
        </w:rPr>
        <w:t>（一）负责建立健全生态环境制度。贯彻执行国家和自治区、地区生态环境政策、规划。</w:t>
      </w:r>
    </w:p>
    <w:p w14:paraId="69BBAD3B">
      <w:pPr>
        <w:spacing w:line="580" w:lineRule="exact"/>
        <w:ind w:firstLine="640"/>
        <w:jc w:val="both"/>
      </w:pPr>
      <w:r>
        <w:rPr>
          <w:rFonts w:ascii="仿宋_GB2312" w:hAnsi="仿宋_GB2312" w:eastAsia="仿宋_GB2312"/>
          <w:sz w:val="32"/>
        </w:rPr>
        <w:t>（二）负责重大生态环境问题的统筹协调和监督管理。牵头协调环境污染事故和生态破坏事件的调查处理，指导协调辖区范围内突发生态环境事件的应急、预警工作，牵头指导实施生态环境损害赔偿制度，协调解决有关跨区域环境污染纠纷，统筹协调重点区域、流域生态环境保护工作。</w:t>
      </w:r>
    </w:p>
    <w:p w14:paraId="5FCDBAE8">
      <w:pPr>
        <w:spacing w:line="580" w:lineRule="exact"/>
        <w:ind w:firstLine="640"/>
        <w:jc w:val="both"/>
      </w:pPr>
      <w:r>
        <w:rPr>
          <w:rFonts w:ascii="仿宋_GB2312" w:hAnsi="仿宋_GB2312" w:eastAsia="仿宋_GB2312"/>
          <w:sz w:val="32"/>
        </w:rPr>
        <w:t>（三）负责监督管理自治区减排目标的落实。贯彻落实国家、自治区、地区污染物排放总量控制、排污许可制度并监督实施。拟订县总量控制计划并监督实施，实施生态环境保护目标责任制。</w:t>
      </w:r>
    </w:p>
    <w:p w14:paraId="586AC466">
      <w:pPr>
        <w:spacing w:line="580" w:lineRule="exact"/>
        <w:ind w:firstLine="640"/>
        <w:jc w:val="both"/>
      </w:pPr>
      <w:r>
        <w:rPr>
          <w:rFonts w:ascii="仿宋_GB2312" w:hAnsi="仿宋_GB2312" w:eastAsia="仿宋_GB2312"/>
          <w:sz w:val="32"/>
        </w:rPr>
        <w:t>（四）负责环境污染防治的监督管理。根据国家、自治区和地区大气、水、土壤、噪声、光、恶臭、固体废物、化学品、机动车等的污染防治管理制度，拟订县污染防治管理制度并监督实施。会同有关部门监督管理饮用水水源地生态环境保护工作，组织指导城乡生态环境综合整治工作，监督指导农业面源污染治理工作。监督指导区域大气环境保护工作，监督重点区域大气污染联防联控协作机制的实施。</w:t>
      </w:r>
    </w:p>
    <w:p w14:paraId="37C0324F">
      <w:pPr>
        <w:spacing w:line="580" w:lineRule="exact"/>
        <w:ind w:firstLine="640"/>
        <w:jc w:val="both"/>
      </w:pPr>
      <w:r>
        <w:rPr>
          <w:rFonts w:ascii="仿宋_GB2312" w:hAnsi="仿宋_GB2312" w:eastAsia="仿宋_GB2312"/>
          <w:sz w:val="32"/>
        </w:rPr>
        <w:t>（五）指导协调和监督生态保护修复工作。组织编制县生态保护规划，监督对生态环境有影响的自然资源开发利用活动、重要生态环境建设和生态破坏恢复工作。组织制定各类自然保护地生态环境监管制度并监督执法。</w:t>
      </w:r>
    </w:p>
    <w:p w14:paraId="7E991153">
      <w:pPr>
        <w:spacing w:line="580" w:lineRule="exact"/>
        <w:ind w:firstLine="640"/>
        <w:jc w:val="both"/>
      </w:pPr>
      <w:r>
        <w:rPr>
          <w:rFonts w:ascii="仿宋_GB2312" w:hAnsi="仿宋_GB2312" w:eastAsia="仿宋_GB2312"/>
          <w:sz w:val="32"/>
        </w:rPr>
        <w:t>（六）负责核与辐射安全的监督管理。根据国家、自治区和地区有关核与辐射安全政策、规划、标准参与核事故应急处理，组织实施辐射环境事故应急处理工作，监督管理放射源安全和核技术应用、电磁辐射、伴有放射性矿产资源开发利用中的污染防治。</w:t>
      </w:r>
    </w:p>
    <w:p w14:paraId="0EBF5504">
      <w:pPr>
        <w:spacing w:line="580" w:lineRule="exact"/>
        <w:ind w:firstLine="640"/>
        <w:jc w:val="both"/>
      </w:pPr>
      <w:r>
        <w:rPr>
          <w:rFonts w:ascii="仿宋_GB2312" w:hAnsi="仿宋_GB2312" w:eastAsia="仿宋_GB2312"/>
          <w:sz w:val="32"/>
        </w:rPr>
        <w:t>（七）负责生态环境准入的监督管理。受地区生态环境局委托按照国家、自治区和地区规定，负责规划环境影响评价、政策环境影响评价审查和项目环境影响评价审批。实施生态环境准入清单。</w:t>
      </w:r>
    </w:p>
    <w:p w14:paraId="2DA4485E">
      <w:pPr>
        <w:spacing w:line="580" w:lineRule="exact"/>
        <w:ind w:firstLine="640"/>
        <w:jc w:val="both"/>
      </w:pPr>
      <w:r>
        <w:rPr>
          <w:rFonts w:ascii="仿宋_GB2312" w:hAnsi="仿宋_GB2312" w:eastAsia="仿宋_GB2312"/>
          <w:sz w:val="32"/>
        </w:rPr>
        <w:t>（八）负责生态环境监测工作。会同有关部门统一规划县生态环境质量监测站点设置，组织实施生态环境监测、生态环境质量状况调查评价、考核、预警预测。执行生态环境质量公告制度，统一发布县生态环境综合性报告和生态环境信息。</w:t>
      </w:r>
    </w:p>
    <w:p w14:paraId="671196F1">
      <w:pPr>
        <w:spacing w:line="580" w:lineRule="exact"/>
        <w:ind w:firstLine="640"/>
        <w:jc w:val="both"/>
      </w:pPr>
      <w:r>
        <w:rPr>
          <w:rFonts w:ascii="仿宋_GB2312" w:hAnsi="仿宋_GB2312" w:eastAsia="仿宋_GB2312"/>
          <w:sz w:val="32"/>
        </w:rPr>
        <w:t>（九）负责应对气候变化工作。组织协调实施应对气候变化及温室气体减排的规划和政策措施。协调组织应对气候变化对外合作和能力建设。</w:t>
      </w:r>
    </w:p>
    <w:p w14:paraId="1FB9B59D">
      <w:pPr>
        <w:spacing w:line="580" w:lineRule="exact"/>
        <w:ind w:firstLine="640"/>
        <w:jc w:val="both"/>
      </w:pPr>
      <w:r>
        <w:rPr>
          <w:rFonts w:ascii="仿宋_GB2312" w:hAnsi="仿宋_GB2312" w:eastAsia="仿宋_GB2312"/>
          <w:sz w:val="32"/>
        </w:rPr>
        <w:t>（十）负责生态环境监察工作。建立健全</w:t>
      </w:r>
      <w:r>
        <w:rPr>
          <w:rFonts w:hint="eastAsia" w:ascii="仿宋_GB2312" w:hAnsi="仿宋_GB2312" w:eastAsia="仿宋_GB2312"/>
          <w:sz w:val="32"/>
          <w:lang w:eastAsia="zh-CN"/>
        </w:rPr>
        <w:t>生态环境保护督察</w:t>
      </w:r>
      <w:r>
        <w:rPr>
          <w:rFonts w:ascii="仿宋_GB2312" w:hAnsi="仿宋_GB2312" w:eastAsia="仿宋_GB2312"/>
          <w:sz w:val="32"/>
        </w:rPr>
        <w:t>制度，根据授权对贯彻落实中央生态环境保护决策部署、自治区和地区工作要求情况进行监察问责。组织协调生态环境保护督察工作。</w:t>
      </w:r>
    </w:p>
    <w:p w14:paraId="47ED718C">
      <w:pPr>
        <w:spacing w:line="580" w:lineRule="exact"/>
        <w:ind w:firstLine="640"/>
        <w:jc w:val="both"/>
      </w:pPr>
      <w:r>
        <w:rPr>
          <w:rFonts w:ascii="仿宋_GB2312" w:hAnsi="仿宋_GB2312" w:eastAsia="仿宋_GB2312"/>
          <w:sz w:val="32"/>
        </w:rPr>
        <w:t>（十一）统一负责生态环境监督执法。组织开展生态环境保护执法检查活动，查处生态环境违法案件。负责环境信访投诉案件的办理。指导生态环境保护综合执法队伍建设和业务工作。</w:t>
      </w:r>
    </w:p>
    <w:p w14:paraId="5EC30841">
      <w:pPr>
        <w:spacing w:line="580" w:lineRule="exact"/>
        <w:ind w:firstLine="640"/>
        <w:jc w:val="both"/>
      </w:pPr>
      <w:r>
        <w:rPr>
          <w:rFonts w:ascii="仿宋_GB2312" w:hAnsi="仿宋_GB2312" w:eastAsia="仿宋_GB2312"/>
          <w:sz w:val="32"/>
        </w:rPr>
        <w:t>（十二）组织指导和协调生态环境保护宣传教育工作，制定并组织实施生态环境保护宣传教育规划，推动社会组织和公众参与生态环境保护。</w:t>
      </w:r>
    </w:p>
    <w:p w14:paraId="4CFA22CC">
      <w:pPr>
        <w:spacing w:line="580" w:lineRule="exact"/>
        <w:ind w:firstLine="640"/>
        <w:jc w:val="both"/>
      </w:pPr>
      <w:r>
        <w:rPr>
          <w:rFonts w:ascii="仿宋_GB2312" w:hAnsi="仿宋_GB2312" w:eastAsia="仿宋_GB2312"/>
          <w:sz w:val="32"/>
        </w:rPr>
        <w:t>（十三）完成县委、县政府及地区生态环境局交办的其他工作任务。</w:t>
      </w:r>
    </w:p>
    <w:p w14:paraId="37A95212">
      <w:pPr>
        <w:spacing w:line="640" w:lineRule="exact"/>
        <w:ind w:firstLine="640"/>
        <w:jc w:val="both"/>
        <w:outlineLvl w:val="2"/>
      </w:pPr>
      <w:r>
        <w:rPr>
          <w:rFonts w:ascii="黑体" w:hAnsi="黑体" w:eastAsia="黑体"/>
          <w:sz w:val="32"/>
        </w:rPr>
        <w:t>二、机构设置及人员情况</w:t>
      </w:r>
    </w:p>
    <w:p w14:paraId="53675F9D">
      <w:pPr>
        <w:spacing w:line="580" w:lineRule="exact"/>
        <w:ind w:firstLine="640"/>
        <w:jc w:val="both"/>
      </w:pPr>
      <w:r>
        <w:rPr>
          <w:rFonts w:ascii="仿宋_GB2312" w:hAnsi="仿宋_GB2312" w:eastAsia="仿宋_GB2312"/>
          <w:sz w:val="32"/>
        </w:rPr>
        <w:t>喀什地区生态环境局莎车县分局2024年度，实有人数16人，其中：在职人员16人，减少3人；离休人员0人，增加0人；退休人员0人,减少9人。</w:t>
      </w:r>
    </w:p>
    <w:p w14:paraId="51FF1CAC">
      <w:pPr>
        <w:spacing w:line="580" w:lineRule="exact"/>
        <w:ind w:firstLine="640"/>
        <w:jc w:val="both"/>
      </w:pPr>
      <w:r>
        <w:rPr>
          <w:rFonts w:ascii="仿宋_GB2312" w:hAnsi="仿宋_GB2312" w:eastAsia="仿宋_GB2312"/>
          <w:sz w:val="32"/>
        </w:rPr>
        <w:t>喀什地区生态环境局莎车县分局无下属预算单位，下设2个科室，分别是：办公室、综合业务室。</w:t>
      </w:r>
    </w:p>
    <w:p w14:paraId="6F91F3FB">
      <w:r>
        <w:br w:type="page"/>
      </w:r>
    </w:p>
    <w:p w14:paraId="1D8BF8E1">
      <w:pPr>
        <w:spacing w:line="240" w:lineRule="auto"/>
        <w:jc w:val="center"/>
        <w:outlineLvl w:val="1"/>
      </w:pPr>
      <w:r>
        <w:rPr>
          <w:rFonts w:ascii="黑体" w:hAnsi="黑体" w:eastAsia="黑体"/>
          <w:sz w:val="32"/>
        </w:rPr>
        <w:t>第二部分 部门决算情况说明</w:t>
      </w:r>
    </w:p>
    <w:p w14:paraId="79FE7C78">
      <w:pPr>
        <w:spacing w:line="640" w:lineRule="exact"/>
        <w:ind w:firstLine="640"/>
        <w:jc w:val="both"/>
        <w:outlineLvl w:val="2"/>
      </w:pPr>
      <w:r>
        <w:rPr>
          <w:rFonts w:ascii="黑体" w:hAnsi="黑体" w:eastAsia="黑体"/>
          <w:sz w:val="32"/>
        </w:rPr>
        <w:t>一、收入支出决算总体情况说明</w:t>
      </w:r>
    </w:p>
    <w:p w14:paraId="1B8226D3">
      <w:pPr>
        <w:spacing w:line="580" w:lineRule="exact"/>
        <w:ind w:firstLine="640"/>
        <w:jc w:val="both"/>
      </w:pPr>
      <w:r>
        <w:rPr>
          <w:rFonts w:ascii="仿宋_GB2312" w:hAnsi="仿宋_GB2312" w:eastAsia="仿宋_GB2312"/>
          <w:b/>
          <w:sz w:val="32"/>
        </w:rPr>
        <w:t>2024年度收入总计485.39万元，</w:t>
      </w:r>
      <w:r>
        <w:rPr>
          <w:rFonts w:ascii="仿宋_GB2312" w:hAnsi="仿宋_GB2312" w:eastAsia="仿宋_GB2312"/>
          <w:b w:val="0"/>
          <w:sz w:val="32"/>
        </w:rPr>
        <w:t>其中：本年收入合计485.39万元，使用非财政拨款结余（含专用结余）0.00万元，年初结转和结余0.00万元。</w:t>
      </w:r>
    </w:p>
    <w:p w14:paraId="0E5DB050">
      <w:pPr>
        <w:spacing w:line="580" w:lineRule="exact"/>
        <w:ind w:firstLine="640"/>
        <w:jc w:val="both"/>
      </w:pPr>
      <w:r>
        <w:rPr>
          <w:rFonts w:ascii="仿宋_GB2312" w:hAnsi="仿宋_GB2312" w:eastAsia="仿宋_GB2312"/>
          <w:b/>
          <w:sz w:val="32"/>
        </w:rPr>
        <w:t>2024年度支出总计485.39万元，</w:t>
      </w:r>
      <w:r>
        <w:rPr>
          <w:rFonts w:ascii="仿宋_GB2312" w:hAnsi="仿宋_GB2312" w:eastAsia="仿宋_GB2312"/>
          <w:b w:val="0"/>
          <w:sz w:val="32"/>
        </w:rPr>
        <w:t>其中：本年支出合计485.39万元，结余分配0.00万元，年末结转和结余0.00万元。</w:t>
      </w:r>
    </w:p>
    <w:p w14:paraId="75E812FD">
      <w:pPr>
        <w:spacing w:line="580" w:lineRule="exact"/>
        <w:ind w:firstLine="640"/>
        <w:jc w:val="both"/>
      </w:pPr>
      <w:r>
        <w:rPr>
          <w:rFonts w:ascii="仿宋_GB2312" w:hAnsi="仿宋_GB2312" w:eastAsia="仿宋_GB2312"/>
          <w:b w:val="0"/>
          <w:sz w:val="32"/>
        </w:rPr>
        <w:t>收入支出总体与上年相比，减少189.77万元，下降28.11%，主要原因是：1.本年在职人员减少，相关人员经费较上年减少；2.本年减少农村环境整治伊什库力乡排水管网，农村环境整治佰什坎特镇排水管网项目等。</w:t>
      </w:r>
    </w:p>
    <w:p w14:paraId="47E34E4B">
      <w:pPr>
        <w:spacing w:line="640" w:lineRule="exact"/>
        <w:ind w:firstLine="640"/>
        <w:jc w:val="both"/>
        <w:outlineLvl w:val="2"/>
      </w:pPr>
      <w:r>
        <w:rPr>
          <w:rFonts w:ascii="黑体" w:hAnsi="黑体" w:eastAsia="黑体"/>
          <w:sz w:val="32"/>
        </w:rPr>
        <w:t>二、收入决算情况说明</w:t>
      </w:r>
    </w:p>
    <w:p w14:paraId="352B3B72">
      <w:pPr>
        <w:spacing w:line="580" w:lineRule="exact"/>
        <w:ind w:firstLine="640"/>
        <w:jc w:val="both"/>
      </w:pPr>
      <w:r>
        <w:rPr>
          <w:rFonts w:ascii="仿宋_GB2312" w:hAnsi="仿宋_GB2312" w:eastAsia="仿宋_GB2312"/>
          <w:b/>
          <w:sz w:val="32"/>
        </w:rPr>
        <w:t>本年收入485.39万元，</w:t>
      </w:r>
      <w:r>
        <w:rPr>
          <w:rFonts w:ascii="仿宋_GB2312" w:hAnsi="仿宋_GB2312" w:eastAsia="仿宋_GB2312"/>
          <w:b w:val="0"/>
          <w:sz w:val="32"/>
        </w:rPr>
        <w:t>其中：财政拨款收入432.89万元，占89.18%；上级补助收入0.00万元，占0.00%；事业收入0.00万元，占0.00%；经营收入0.00万元，占0.00%；附属单位上缴收入0.00万元，占0.00%；其他收入52.50万元，占10.82%。</w:t>
      </w:r>
    </w:p>
    <w:p w14:paraId="604BFCBE">
      <w:pPr>
        <w:spacing w:line="640" w:lineRule="exact"/>
        <w:ind w:firstLine="640"/>
        <w:jc w:val="both"/>
        <w:outlineLvl w:val="2"/>
      </w:pPr>
      <w:r>
        <w:rPr>
          <w:rFonts w:ascii="黑体" w:hAnsi="黑体" w:eastAsia="黑体"/>
          <w:sz w:val="32"/>
        </w:rPr>
        <w:t>三、支出决算情况说明</w:t>
      </w:r>
    </w:p>
    <w:p w14:paraId="0A79651C">
      <w:pPr>
        <w:spacing w:line="580" w:lineRule="exact"/>
        <w:ind w:firstLine="640"/>
        <w:jc w:val="both"/>
      </w:pPr>
      <w:r>
        <w:rPr>
          <w:rFonts w:ascii="仿宋_GB2312" w:hAnsi="仿宋_GB2312" w:eastAsia="仿宋_GB2312"/>
          <w:b/>
          <w:sz w:val="32"/>
        </w:rPr>
        <w:t>本年支出485.39万元，</w:t>
      </w:r>
      <w:r>
        <w:rPr>
          <w:rFonts w:ascii="仿宋_GB2312" w:hAnsi="仿宋_GB2312" w:eastAsia="仿宋_GB2312"/>
          <w:b w:val="0"/>
          <w:sz w:val="32"/>
        </w:rPr>
        <w:t>其中：基本支出432.89万元，占89.18%；项目支出52.50万元，占10.82%；上缴上级支出0.00万元，占0.00%；经营支出0.00万元，占0.00%；对附属单位补助支出0.00万元，占0.00%。</w:t>
      </w:r>
    </w:p>
    <w:p w14:paraId="209390ED">
      <w:pPr>
        <w:spacing w:line="640" w:lineRule="exact"/>
        <w:ind w:firstLine="640"/>
        <w:jc w:val="both"/>
        <w:outlineLvl w:val="2"/>
      </w:pPr>
      <w:r>
        <w:rPr>
          <w:rFonts w:ascii="黑体" w:hAnsi="黑体" w:eastAsia="黑体"/>
          <w:sz w:val="32"/>
        </w:rPr>
        <w:t>四、财政拨款收入支出决算总体情况说明</w:t>
      </w:r>
    </w:p>
    <w:p w14:paraId="64586B96">
      <w:pPr>
        <w:spacing w:line="580" w:lineRule="exact"/>
        <w:ind w:firstLine="640"/>
        <w:jc w:val="both"/>
      </w:pPr>
      <w:r>
        <w:rPr>
          <w:rFonts w:ascii="仿宋_GB2312" w:hAnsi="仿宋_GB2312" w:eastAsia="仿宋_GB2312"/>
          <w:b/>
          <w:sz w:val="32"/>
        </w:rPr>
        <w:t>2024年度财政拨款收入总计432.89万元，</w:t>
      </w:r>
      <w:r>
        <w:rPr>
          <w:rFonts w:ascii="仿宋_GB2312" w:hAnsi="仿宋_GB2312" w:eastAsia="仿宋_GB2312"/>
          <w:b w:val="0"/>
          <w:sz w:val="32"/>
        </w:rPr>
        <w:t>其中：年初财政拨款结转和结余0.00万元，本年财政拨款收入432.89万元。</w:t>
      </w:r>
      <w:r>
        <w:rPr>
          <w:rFonts w:ascii="仿宋_GB2312" w:hAnsi="仿宋_GB2312" w:eastAsia="仿宋_GB2312"/>
          <w:b/>
          <w:sz w:val="32"/>
        </w:rPr>
        <w:t>财政拨款支出总计432.89万元，</w:t>
      </w:r>
      <w:r>
        <w:rPr>
          <w:rFonts w:ascii="仿宋_GB2312" w:hAnsi="仿宋_GB2312" w:eastAsia="仿宋_GB2312"/>
          <w:b w:val="0"/>
          <w:sz w:val="32"/>
        </w:rPr>
        <w:t>其中：年末财政拨款结转和结余0.00万元，本年财政拨款支出432.89万元。</w:t>
      </w:r>
    </w:p>
    <w:p w14:paraId="5C7604B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减少242.27万元，下降35.88%，主要原因是：1.本年在职人员减少，相关人员经费较上年减少；2.本年减少农村环境整治伊什库力乡排水管网，农村环境整治佰什坎特镇排水管网</w:t>
      </w:r>
      <w:r>
        <w:rPr>
          <w:rFonts w:hint="eastAsia" w:ascii="仿宋_GB2312" w:hAnsi="仿宋_GB2312" w:eastAsia="仿宋_GB2312"/>
          <w:b w:val="0"/>
          <w:sz w:val="32"/>
          <w:lang w:eastAsia="zh-CN"/>
        </w:rPr>
        <w:t>等项目</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年初预算数432.29万元，决算数432.89万元，预决算差异率0.14%，主要原因是：年中追加人员工资、社保、公积金基数调增部分资金，导致预决算存在差异。</w:t>
      </w:r>
    </w:p>
    <w:p w14:paraId="11DD1ED7">
      <w:pPr>
        <w:spacing w:line="640" w:lineRule="exact"/>
        <w:ind w:firstLine="640"/>
        <w:jc w:val="both"/>
        <w:outlineLvl w:val="2"/>
      </w:pPr>
      <w:r>
        <w:rPr>
          <w:rFonts w:ascii="黑体" w:hAnsi="黑体" w:eastAsia="黑体"/>
          <w:sz w:val="32"/>
        </w:rPr>
        <w:t>五、一般公共预算财政拨款支出决算情况说明</w:t>
      </w:r>
    </w:p>
    <w:p w14:paraId="104C6CAA">
      <w:pPr>
        <w:spacing w:line="640" w:lineRule="exact"/>
        <w:ind w:firstLine="640"/>
        <w:jc w:val="both"/>
        <w:outlineLvl w:val="3"/>
      </w:pPr>
      <w:r>
        <w:rPr>
          <w:rFonts w:ascii="楷体_GB2312" w:hAnsi="楷体_GB2312" w:eastAsia="楷体_GB2312"/>
          <w:b/>
          <w:sz w:val="32"/>
        </w:rPr>
        <w:t>（一）一般公共预算财政拨款支出决算总体情况</w:t>
      </w:r>
    </w:p>
    <w:p w14:paraId="5D948C38">
      <w:pPr>
        <w:spacing w:line="580" w:lineRule="exact"/>
        <w:ind w:firstLine="640"/>
        <w:jc w:val="both"/>
      </w:pPr>
      <w:r>
        <w:rPr>
          <w:rFonts w:ascii="仿宋_GB2312" w:hAnsi="仿宋_GB2312" w:eastAsia="仿宋_GB2312"/>
          <w:b/>
          <w:sz w:val="32"/>
        </w:rPr>
        <w:t>2024年度一般公共预算财政拨款支出432.89万元，</w:t>
      </w:r>
      <w:r>
        <w:rPr>
          <w:rFonts w:ascii="仿宋_GB2312" w:hAnsi="仿宋_GB2312" w:eastAsia="仿宋_GB2312"/>
          <w:b w:val="0"/>
          <w:sz w:val="32"/>
        </w:rPr>
        <w:t>占本年支出合计的89.18%。</w:t>
      </w:r>
      <w:r>
        <w:rPr>
          <w:rFonts w:ascii="仿宋_GB2312" w:hAnsi="仿宋_GB2312" w:eastAsia="仿宋_GB2312"/>
          <w:b/>
          <w:sz w:val="32"/>
        </w:rPr>
        <w:t>与上年相比，</w:t>
      </w:r>
      <w:r>
        <w:rPr>
          <w:rFonts w:ascii="仿宋_GB2312" w:hAnsi="仿宋_GB2312" w:eastAsia="仿宋_GB2312"/>
          <w:b w:val="0"/>
          <w:sz w:val="32"/>
        </w:rPr>
        <w:t>减少241.97万元，下降35.85%，主要原因是：1.本年在职人员减少，相关人员经费较上年减少；2.本年减少农村环境整治伊什库力乡排水管网，农村环境整治佰什坎特镇排水管网</w:t>
      </w:r>
      <w:r>
        <w:rPr>
          <w:rFonts w:hint="eastAsia" w:ascii="仿宋_GB2312" w:hAnsi="仿宋_GB2312" w:eastAsia="仿宋_GB2312"/>
          <w:b w:val="0"/>
          <w:sz w:val="32"/>
          <w:lang w:eastAsia="zh-CN"/>
        </w:rPr>
        <w:t>等项目</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年初预算数432.29万元，决算数432.89万元，预决算差异率0.14%，主要原因是：年中追加人员工资、社保、公积金基数调增部分资金，导致预决算存在差异。</w:t>
      </w:r>
    </w:p>
    <w:p w14:paraId="4345F433">
      <w:pPr>
        <w:spacing w:line="640" w:lineRule="exact"/>
        <w:ind w:firstLine="640"/>
        <w:jc w:val="both"/>
        <w:outlineLvl w:val="3"/>
      </w:pPr>
      <w:r>
        <w:rPr>
          <w:rFonts w:ascii="楷体_GB2312" w:hAnsi="楷体_GB2312" w:eastAsia="楷体_GB2312"/>
          <w:b/>
          <w:sz w:val="32"/>
        </w:rPr>
        <w:t>（二）一般公共预算财政拨款支出决算结构情况</w:t>
      </w:r>
    </w:p>
    <w:p w14:paraId="08972F7A">
      <w:pPr>
        <w:spacing w:line="580" w:lineRule="exact"/>
        <w:ind w:firstLine="640"/>
        <w:jc w:val="both"/>
      </w:pPr>
      <w:r>
        <w:rPr>
          <w:rFonts w:ascii="仿宋_GB2312" w:hAnsi="仿宋_GB2312" w:eastAsia="仿宋_GB2312"/>
          <w:b w:val="0"/>
          <w:sz w:val="32"/>
        </w:rPr>
        <w:t>1.社会保障和就业支出(类)79.27万元,占18.31%。</w:t>
      </w:r>
    </w:p>
    <w:p w14:paraId="725A7649">
      <w:pPr>
        <w:spacing w:line="580" w:lineRule="exact"/>
        <w:ind w:firstLine="640"/>
        <w:jc w:val="both"/>
      </w:pPr>
      <w:r>
        <w:rPr>
          <w:rFonts w:ascii="仿宋_GB2312" w:hAnsi="仿宋_GB2312" w:eastAsia="仿宋_GB2312"/>
          <w:b w:val="0"/>
          <w:sz w:val="32"/>
        </w:rPr>
        <w:t>2.卫生健康支出(类)21.01万元,占4.85%。</w:t>
      </w:r>
    </w:p>
    <w:p w14:paraId="2D0FA42E">
      <w:pPr>
        <w:spacing w:line="580" w:lineRule="exact"/>
        <w:ind w:firstLine="640"/>
        <w:jc w:val="both"/>
      </w:pPr>
      <w:r>
        <w:rPr>
          <w:rFonts w:ascii="仿宋_GB2312" w:hAnsi="仿宋_GB2312" w:eastAsia="仿宋_GB2312"/>
          <w:b w:val="0"/>
          <w:sz w:val="32"/>
        </w:rPr>
        <w:t>3.节能环保支出(类)301.93万元,占69.75%。</w:t>
      </w:r>
    </w:p>
    <w:p w14:paraId="3CF0909B">
      <w:pPr>
        <w:spacing w:line="580" w:lineRule="exact"/>
        <w:ind w:firstLine="640"/>
        <w:jc w:val="both"/>
      </w:pPr>
      <w:r>
        <w:rPr>
          <w:rFonts w:ascii="仿宋_GB2312" w:hAnsi="仿宋_GB2312" w:eastAsia="仿宋_GB2312"/>
          <w:b w:val="0"/>
          <w:sz w:val="32"/>
        </w:rPr>
        <w:t>4.住房保障支出(类)30.68万元,占7.09%。</w:t>
      </w:r>
    </w:p>
    <w:p w14:paraId="046DCD65">
      <w:pPr>
        <w:spacing w:line="640" w:lineRule="exact"/>
        <w:ind w:firstLine="640"/>
        <w:jc w:val="both"/>
        <w:outlineLvl w:val="3"/>
      </w:pPr>
      <w:r>
        <w:rPr>
          <w:rFonts w:ascii="楷体_GB2312" w:hAnsi="楷体_GB2312" w:eastAsia="楷体_GB2312"/>
          <w:b/>
          <w:sz w:val="32"/>
        </w:rPr>
        <w:t>（三）一般公共预算财政拨款支出决算具体情况</w:t>
      </w:r>
    </w:p>
    <w:p w14:paraId="1A47B037">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1.社会保障和就业支出(类)行政事业单位养老支出(款)行政单位离退休(项):支出决算数为0.00万元，比上年决算减少10.41万元，下降100.00%,主要原因是：机构改革，退休人员调出，本年无退休人员。</w:t>
      </w:r>
    </w:p>
    <w:p w14:paraId="445C804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38.59万元，比上年决算增加4.54万元，增长13.33%,主要原因是：本年在职人员工资基数调增，养老缴费基数上涨，相应支出增加。</w:t>
      </w:r>
    </w:p>
    <w:p w14:paraId="5958DFA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3.社会保障和就业支出(类)行政事业单位养老支出(款)机关事业单位职业年金缴费支出(项):支出决算数为0.87万元，比上年决算减少8.77万元，下降90.98%,主要原因是：本年无退休人员，职业年金缴费较上年减少。</w:t>
      </w:r>
    </w:p>
    <w:p w14:paraId="60BE944B">
      <w:pPr>
        <w:spacing w:line="580" w:lineRule="exact"/>
        <w:ind w:firstLine="640"/>
        <w:jc w:val="both"/>
      </w:pPr>
      <w:r>
        <w:rPr>
          <w:rFonts w:ascii="仿宋_GB2312" w:hAnsi="仿宋_GB2312" w:eastAsia="仿宋_GB2312"/>
          <w:b w:val="0"/>
          <w:sz w:val="32"/>
        </w:rPr>
        <w:t>4.社会保障和就业支出(类)抚恤(款)死亡抚恤(项):支出决算数为39.81万元，比上年决算增加39.81万元，增长100.00%,主要原因是：本年新增死亡人员，死亡抚恤支出增加。</w:t>
      </w:r>
    </w:p>
    <w:p w14:paraId="67F943F7">
      <w:pPr>
        <w:spacing w:line="580" w:lineRule="exact"/>
        <w:ind w:firstLine="640"/>
        <w:jc w:val="both"/>
      </w:pPr>
      <w:r>
        <w:rPr>
          <w:rFonts w:ascii="仿宋_GB2312" w:hAnsi="仿宋_GB2312" w:eastAsia="仿宋_GB2312"/>
          <w:b w:val="0"/>
          <w:sz w:val="32"/>
        </w:rPr>
        <w:t>5.卫生健康支出(类)行政事业单位医疗(款)行政单位医疗(项):支出决算数为16.40万元，比上年决算增加1.81万元，增长12.41%,主要原因是：本年在职人员工资基数调增，医疗缴费基数上涨，相应支出增加。</w:t>
      </w:r>
    </w:p>
    <w:p w14:paraId="6BDE2D73">
      <w:pPr>
        <w:spacing w:line="580" w:lineRule="exact"/>
        <w:ind w:firstLine="640"/>
        <w:jc w:val="both"/>
      </w:pPr>
      <w:r>
        <w:rPr>
          <w:rFonts w:ascii="仿宋_GB2312" w:hAnsi="仿宋_GB2312" w:eastAsia="仿宋_GB2312"/>
          <w:b w:val="0"/>
          <w:sz w:val="32"/>
        </w:rPr>
        <w:t>6.卫生健康支出(类)行政事业单位医疗(款)公务员医疗补助(项):支出决算数为4.61万元，比上年决算增加0.53万元，增长12.99%,主要原因是：本年在职人员工资基数调增，医疗缴费基数上涨，相应支出增加。</w:t>
      </w:r>
    </w:p>
    <w:p w14:paraId="1A875239">
      <w:pPr>
        <w:spacing w:line="580" w:lineRule="exact"/>
        <w:ind w:firstLine="640"/>
        <w:jc w:val="both"/>
      </w:pPr>
      <w:r>
        <w:rPr>
          <w:rFonts w:ascii="仿宋_GB2312" w:hAnsi="仿宋_GB2312" w:eastAsia="仿宋_GB2312"/>
          <w:b w:val="0"/>
          <w:sz w:val="32"/>
        </w:rPr>
        <w:t>7.节能环保支出(类)环境保护管理事务(款)行政运行(项):支出决算数为301.93万元，比上年决算减少47.31万元，下降13.55%,主要原因是：本年在职人员减少，相应人员经费较上年减少。</w:t>
      </w:r>
    </w:p>
    <w:p w14:paraId="05DE66C8">
      <w:pPr>
        <w:spacing w:line="580" w:lineRule="exact"/>
        <w:ind w:firstLine="640"/>
        <w:jc w:val="both"/>
      </w:pPr>
      <w:r>
        <w:rPr>
          <w:rFonts w:ascii="仿宋_GB2312" w:hAnsi="仿宋_GB2312" w:eastAsia="仿宋_GB2312"/>
          <w:b w:val="0"/>
          <w:sz w:val="32"/>
        </w:rPr>
        <w:t>8.节能环保支出(类)环境保护管理事务(款)一般行政管理事务(项):支出决算数为0.00万元，比上年决算减少3.38万元，下降100.00%,主要原因是：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减少执法人员执法制服费用。</w:t>
      </w:r>
    </w:p>
    <w:p w14:paraId="7B79D2D5">
      <w:pPr>
        <w:spacing w:line="580" w:lineRule="exact"/>
        <w:ind w:firstLine="640"/>
        <w:jc w:val="both"/>
      </w:pPr>
      <w:r>
        <w:rPr>
          <w:rFonts w:ascii="仿宋_GB2312" w:hAnsi="仿宋_GB2312" w:eastAsia="仿宋_GB2312"/>
          <w:b w:val="0"/>
          <w:sz w:val="32"/>
        </w:rPr>
        <w:t>9.节能环保支出(类)自然生态保护(款)农村环境保护(项):支出决算数为0.00万元，比上年决算减少217.80万元，下降100.00%,主要原因是：本年减少农村环境整治伊什库力乡排水管网，农村环境整治佰什坎特镇排水管网</w:t>
      </w:r>
      <w:r>
        <w:rPr>
          <w:rFonts w:hint="eastAsia" w:ascii="仿宋_GB2312" w:hAnsi="仿宋_GB2312" w:eastAsia="仿宋_GB2312"/>
          <w:b w:val="0"/>
          <w:sz w:val="32"/>
          <w:lang w:eastAsia="zh-CN"/>
        </w:rPr>
        <w:t>等项目</w:t>
      </w:r>
      <w:r>
        <w:rPr>
          <w:rFonts w:ascii="仿宋_GB2312" w:hAnsi="仿宋_GB2312" w:eastAsia="仿宋_GB2312"/>
          <w:b w:val="0"/>
          <w:sz w:val="32"/>
        </w:rPr>
        <w:t>。</w:t>
      </w:r>
    </w:p>
    <w:p w14:paraId="0F32FD75">
      <w:pPr>
        <w:spacing w:line="580" w:lineRule="exact"/>
        <w:ind w:firstLine="640"/>
        <w:jc w:val="both"/>
      </w:pPr>
      <w:r>
        <w:rPr>
          <w:rFonts w:ascii="仿宋_GB2312" w:hAnsi="仿宋_GB2312" w:eastAsia="仿宋_GB2312"/>
          <w:b w:val="0"/>
          <w:sz w:val="32"/>
        </w:rPr>
        <w:t>10.农林水支出(类)其他农林水支出(款)其他农林水支出(项):支出决算数为0.00万元，比上年决算减少3.05万元，下降100.00%,主要原因是：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减少吸污车购置费用。</w:t>
      </w:r>
    </w:p>
    <w:p w14:paraId="5189733B">
      <w:pPr>
        <w:spacing w:line="580" w:lineRule="exact"/>
        <w:ind w:firstLine="640"/>
        <w:jc w:val="both"/>
      </w:pPr>
      <w:r>
        <w:rPr>
          <w:rFonts w:ascii="仿宋_GB2312" w:hAnsi="仿宋_GB2312" w:eastAsia="仿宋_GB2312"/>
          <w:b w:val="0"/>
          <w:sz w:val="32"/>
        </w:rPr>
        <w:t>11.住房保障支出(类)住房改革支出(款)住房公积金(项):支出决算数为30.68万元，比上年决算增加2.06万元，增长7.20%,主要原因是：本年在职人员工资基数调增，公积金缴费基数上涨，相应支出增加。</w:t>
      </w:r>
    </w:p>
    <w:p w14:paraId="00418EAC">
      <w:pPr>
        <w:spacing w:line="640" w:lineRule="exact"/>
        <w:ind w:firstLine="640"/>
        <w:jc w:val="both"/>
        <w:outlineLvl w:val="2"/>
      </w:pPr>
      <w:r>
        <w:rPr>
          <w:rFonts w:ascii="黑体" w:hAnsi="黑体" w:eastAsia="黑体"/>
          <w:sz w:val="32"/>
        </w:rPr>
        <w:t>六、一般公共预算财政拨款基本支出决算情况说明</w:t>
      </w:r>
    </w:p>
    <w:p w14:paraId="4EFEDBE2">
      <w:pPr>
        <w:spacing w:line="580" w:lineRule="exact"/>
        <w:ind w:firstLine="640"/>
        <w:jc w:val="both"/>
      </w:pPr>
      <w:r>
        <w:rPr>
          <w:rFonts w:ascii="仿宋_GB2312" w:hAnsi="仿宋_GB2312" w:eastAsia="仿宋_GB2312"/>
          <w:b w:val="0"/>
          <w:sz w:val="32"/>
        </w:rPr>
        <w:t>2024年度一般公共预算财政拨款基本支出432.89万元，其中：</w:t>
      </w:r>
      <w:r>
        <w:rPr>
          <w:rFonts w:ascii="仿宋_GB2312" w:hAnsi="仿宋_GB2312" w:eastAsia="仿宋_GB2312"/>
          <w:b/>
          <w:sz w:val="32"/>
        </w:rPr>
        <w:t>人员经费401.85万元，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包括：基本工资、津贴补贴、奖金、机关事业单位基本养老保险缴费、职业年金缴费、职工基本医疗保险缴费、公务员医疗补助缴费、其他社会保障缴费、住房公积金、抚恤金。</w:t>
      </w:r>
    </w:p>
    <w:p w14:paraId="4EC7F798">
      <w:pPr>
        <w:spacing w:line="580" w:lineRule="exact"/>
        <w:ind w:firstLine="640"/>
        <w:jc w:val="both"/>
      </w:pPr>
      <w:r>
        <w:rPr>
          <w:rFonts w:ascii="仿宋_GB2312" w:hAnsi="仿宋_GB2312" w:eastAsia="仿宋_GB2312"/>
          <w:b/>
          <w:sz w:val="32"/>
        </w:rPr>
        <w:t>公用经费31.04万元，</w:t>
      </w:r>
      <w:r>
        <w:rPr>
          <w:rFonts w:ascii="仿宋_GB2312" w:hAnsi="仿宋_GB2312" w:eastAsia="仿宋_GB2312"/>
          <w:b w:val="0"/>
          <w:sz w:val="32"/>
        </w:rPr>
        <w:t>包括：办公费、水费、电费、邮电费、取暖费、差旅费、专用材料费、委托业务费、工会经费、公务用车运行维护费。</w:t>
      </w:r>
    </w:p>
    <w:p w14:paraId="5CAE784A">
      <w:pPr>
        <w:spacing w:line="640" w:lineRule="exact"/>
        <w:ind w:firstLine="640"/>
        <w:jc w:val="both"/>
        <w:outlineLvl w:val="2"/>
      </w:pPr>
      <w:r>
        <w:rPr>
          <w:rFonts w:ascii="黑体" w:hAnsi="黑体" w:eastAsia="黑体"/>
          <w:sz w:val="32"/>
        </w:rPr>
        <w:t>七、政府性基金预算财政拨款收入支出决算情况说明</w:t>
      </w:r>
    </w:p>
    <w:p w14:paraId="6303053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C641B82">
      <w:pPr>
        <w:spacing w:line="640" w:lineRule="exact"/>
        <w:ind w:firstLine="640"/>
        <w:jc w:val="both"/>
        <w:outlineLvl w:val="2"/>
      </w:pPr>
      <w:r>
        <w:rPr>
          <w:rFonts w:ascii="黑体" w:hAnsi="黑体" w:eastAsia="黑体"/>
          <w:sz w:val="32"/>
        </w:rPr>
        <w:t>八、国有资本经营预算财政拨款收入支出决算情况说明</w:t>
      </w:r>
    </w:p>
    <w:p w14:paraId="17B969F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24270DA">
      <w:pPr>
        <w:spacing w:line="640" w:lineRule="exact"/>
        <w:ind w:firstLine="640"/>
        <w:jc w:val="both"/>
        <w:outlineLvl w:val="2"/>
      </w:pPr>
      <w:r>
        <w:rPr>
          <w:rFonts w:ascii="黑体" w:hAnsi="黑体" w:eastAsia="黑体"/>
          <w:sz w:val="32"/>
        </w:rPr>
        <w:t>九、财政拨款“三公”经费支出决算情况说明</w:t>
      </w:r>
    </w:p>
    <w:p w14:paraId="4AC5C018">
      <w:pPr>
        <w:spacing w:line="580" w:lineRule="exact"/>
        <w:ind w:firstLine="640"/>
        <w:jc w:val="both"/>
      </w:pPr>
      <w:r>
        <w:rPr>
          <w:rFonts w:ascii="仿宋_GB2312" w:hAnsi="仿宋_GB2312" w:eastAsia="仿宋_GB2312"/>
          <w:b/>
          <w:sz w:val="32"/>
        </w:rPr>
        <w:t>2024年度财政拨款“三公”经费支出7.50万元，</w:t>
      </w:r>
      <w:r>
        <w:rPr>
          <w:rFonts w:ascii="仿宋_GB2312" w:hAnsi="仿宋_GB2312" w:eastAsia="仿宋_GB2312"/>
          <w:b w:val="0"/>
          <w:sz w:val="32"/>
        </w:rPr>
        <w:t>比上年减少3.00万元，下降28.57%，主要原因是：严格落实</w:t>
      </w:r>
      <w:bookmarkStart w:id="0" w:name="_GoBack"/>
      <w:r>
        <w:rPr>
          <w:rFonts w:ascii="仿宋_GB2312" w:hAnsi="仿宋_GB2312" w:eastAsia="仿宋_GB2312"/>
          <w:b w:val="0"/>
          <w:sz w:val="32"/>
        </w:rPr>
        <w:t>中央</w:t>
      </w:r>
      <w:bookmarkEnd w:id="0"/>
      <w:r>
        <w:rPr>
          <w:rFonts w:ascii="仿宋_GB2312" w:hAnsi="仿宋_GB2312" w:eastAsia="仿宋_GB2312"/>
          <w:b w:val="0"/>
          <w:sz w:val="32"/>
        </w:rPr>
        <w:t>八项规定精神，厉行节约，减少公务用车运行维护费。其中：因公出国（境）费支出0.00万元，占0.00%，比上年增加0.00万元，增长0.00%，主要原因是：2023年与2024年均未安排因公出国（境）费支出。公务用车购置及运行维护费支出7.50万元，占100.00%，比上年减少3.00万元，下降28.57%，主要原因是：严格落实中央八项规定精神，厉行节约，减少公务用车运行维护费。公务接待费支出0.00万元，占0.00%，比上年增加0.00万元，增长0.00%，主要原因是：2023年与2024年均未安排公务接待费支出。</w:t>
      </w:r>
    </w:p>
    <w:p w14:paraId="1ED0E99B">
      <w:pPr>
        <w:spacing w:line="580" w:lineRule="exact"/>
        <w:ind w:firstLine="640"/>
        <w:jc w:val="both"/>
      </w:pPr>
      <w:r>
        <w:rPr>
          <w:rFonts w:ascii="仿宋_GB2312" w:hAnsi="仿宋_GB2312" w:eastAsia="仿宋_GB2312"/>
          <w:b/>
          <w:sz w:val="32"/>
        </w:rPr>
        <w:t>具体情况如下：</w:t>
      </w:r>
    </w:p>
    <w:p w14:paraId="2350931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88FDCD3">
      <w:pPr>
        <w:spacing w:line="580" w:lineRule="exact"/>
        <w:ind w:firstLine="640"/>
        <w:jc w:val="both"/>
      </w:pPr>
      <w:r>
        <w:rPr>
          <w:rFonts w:ascii="仿宋_GB2312" w:hAnsi="仿宋_GB2312" w:eastAsia="仿宋_GB2312"/>
          <w:b w:val="0"/>
          <w:sz w:val="32"/>
        </w:rPr>
        <w:t>公务用车购置及运行维护费7.50万元，其中：公务用车购置费0.00万元，公务用车运行维护费7.50万元。公务用车运行维护费开支内容包括车辆加油费、维修费、保险费、审车费、过路费等。公务用车购置数0辆，公务用车保有量1辆。国有资产占用情况中固定资产车辆5辆，与公务用车保有量差异原因是：差异车辆为一般业务用车，预算未安排公务用车运行维护费。</w:t>
      </w:r>
    </w:p>
    <w:p w14:paraId="6FB672A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70573B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7.50万元，决算数7.50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7.50万元，决算数7.50万元，预决算差异率0.00%，主要原因是：严格按照预算执行，预决算无差异。公务接待费全年预算数0.00万元，决算数0.00万元，预决算差异率0.00%，主要原因是：本单位无公务接待费。</w:t>
      </w:r>
    </w:p>
    <w:p w14:paraId="3E3CAEC7">
      <w:pPr>
        <w:spacing w:line="640" w:lineRule="exact"/>
        <w:ind w:firstLine="640"/>
        <w:jc w:val="both"/>
        <w:outlineLvl w:val="2"/>
      </w:pPr>
      <w:r>
        <w:rPr>
          <w:rFonts w:ascii="黑体" w:hAnsi="黑体" w:eastAsia="黑体"/>
          <w:sz w:val="32"/>
        </w:rPr>
        <w:t>十、其他重要事项的情况说明</w:t>
      </w:r>
    </w:p>
    <w:p w14:paraId="5320AF64">
      <w:pPr>
        <w:spacing w:line="640" w:lineRule="exact"/>
        <w:ind w:firstLine="640"/>
        <w:jc w:val="both"/>
        <w:outlineLvl w:val="3"/>
      </w:pPr>
      <w:r>
        <w:rPr>
          <w:rFonts w:ascii="楷体_GB2312" w:hAnsi="楷体_GB2312" w:eastAsia="楷体_GB2312"/>
          <w:b/>
          <w:sz w:val="32"/>
        </w:rPr>
        <w:t>（一）机关运行经费及公用经费支出情况</w:t>
      </w:r>
    </w:p>
    <w:p w14:paraId="72BFCA69">
      <w:pPr>
        <w:spacing w:line="580" w:lineRule="exact"/>
        <w:ind w:firstLine="640"/>
        <w:jc w:val="both"/>
      </w:pPr>
      <w:r>
        <w:rPr>
          <w:rFonts w:ascii="仿宋_GB2312" w:hAnsi="仿宋_GB2312" w:eastAsia="仿宋_GB2312"/>
          <w:b w:val="0"/>
          <w:sz w:val="32"/>
        </w:rPr>
        <w:t>2024年度喀什地区生态环境局莎车县分局（行政单位和参照公务员法管理事业单位）机关运行经费支出31.04万元，比上年增加8.89万元，增长40.14%，主要原因是：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生态环境执法业务量加大，经费相应增加，使机关运行经费支出增加。</w:t>
      </w:r>
    </w:p>
    <w:p w14:paraId="6EDBCA80">
      <w:pPr>
        <w:spacing w:line="640" w:lineRule="exact"/>
        <w:ind w:firstLine="640"/>
        <w:jc w:val="both"/>
        <w:outlineLvl w:val="3"/>
      </w:pPr>
      <w:r>
        <w:rPr>
          <w:rFonts w:ascii="楷体_GB2312" w:hAnsi="楷体_GB2312" w:eastAsia="楷体_GB2312"/>
          <w:b/>
          <w:sz w:val="32"/>
        </w:rPr>
        <w:t>（二）政府采购情况</w:t>
      </w:r>
    </w:p>
    <w:p w14:paraId="1A9A1B33">
      <w:pPr>
        <w:spacing w:line="580" w:lineRule="exact"/>
        <w:ind w:firstLine="640"/>
        <w:jc w:val="both"/>
      </w:pPr>
      <w:r>
        <w:rPr>
          <w:rFonts w:ascii="仿宋_GB2312" w:hAnsi="仿宋_GB2312" w:eastAsia="仿宋_GB2312"/>
          <w:b w:val="0"/>
          <w:sz w:val="32"/>
        </w:rPr>
        <w:t>2024年度政府采购支出总额61.38万元，其中：政府采购货物支出5.88万元、政府采购工程支出0.00万元、政府采购服务支出55.50万元。</w:t>
      </w:r>
    </w:p>
    <w:p w14:paraId="61BACF1C">
      <w:pPr>
        <w:spacing w:line="580" w:lineRule="exact"/>
        <w:ind w:firstLine="640"/>
        <w:jc w:val="both"/>
      </w:pPr>
      <w:r>
        <w:rPr>
          <w:rFonts w:ascii="仿宋_GB2312" w:hAnsi="仿宋_GB2312" w:eastAsia="仿宋_GB2312"/>
          <w:b w:val="0"/>
          <w:sz w:val="32"/>
        </w:rPr>
        <w:t>授予中小企业合同金额56.90万元，占政府采购支出总额的92.70%，其中：授予小微企业合同金额54.62万元，占政府采购支出总额的88.99%。</w:t>
      </w:r>
    </w:p>
    <w:p w14:paraId="0D51E14E">
      <w:pPr>
        <w:spacing w:line="640" w:lineRule="exact"/>
        <w:ind w:firstLine="640"/>
        <w:jc w:val="both"/>
        <w:outlineLvl w:val="3"/>
      </w:pPr>
      <w:r>
        <w:rPr>
          <w:rFonts w:ascii="楷体_GB2312" w:hAnsi="楷体_GB2312" w:eastAsia="楷体_GB2312"/>
          <w:b/>
          <w:sz w:val="32"/>
        </w:rPr>
        <w:t>（三）国有资产占用情况说明</w:t>
      </w:r>
    </w:p>
    <w:p w14:paraId="281B9C89">
      <w:pPr>
        <w:spacing w:line="580" w:lineRule="exact"/>
        <w:ind w:firstLine="640"/>
        <w:jc w:val="both"/>
      </w:pPr>
      <w:r>
        <w:rPr>
          <w:rFonts w:ascii="仿宋_GB2312" w:hAnsi="仿宋_GB2312" w:eastAsia="仿宋_GB2312"/>
          <w:b w:val="0"/>
          <w:sz w:val="32"/>
        </w:rPr>
        <w:t>截至2024年12月31日，房屋4,232.85平方米，价值767.53万元。车辆5辆，价值87.03万元，其中：副部（省）级及以上领导用车0辆、主要负责人用车0辆、机要通信用车0辆、应急保障用车0辆、执法执勤用车4辆、特种专业技术用车0辆、离退休干部服务用车0辆、其他用车1辆，其他用车主要是：一般公务用车。单价100万元（含）以上设备（不含车辆）1台（套）。</w:t>
      </w:r>
    </w:p>
    <w:p w14:paraId="566458EB">
      <w:pPr>
        <w:spacing w:line="640" w:lineRule="exact"/>
        <w:ind w:firstLine="640"/>
        <w:jc w:val="both"/>
        <w:outlineLvl w:val="2"/>
      </w:pPr>
      <w:r>
        <w:rPr>
          <w:rFonts w:ascii="黑体" w:hAnsi="黑体" w:eastAsia="黑体"/>
          <w:sz w:val="32"/>
        </w:rPr>
        <w:t>十一、预算绩效的情况说明</w:t>
      </w:r>
    </w:p>
    <w:p w14:paraId="79C62B3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487.89万元，实际执行总额485.39万元；预算绩效评价项目1个，全年预算数55.00万元，全年执行数52.50万元。预算绩效管理取得的成效：一是提升日常经费使用效率，杜绝浪费，集中保障核心履职；二是量化履职效能，优化服务质量</w:t>
      </w:r>
      <w:r>
        <w:rPr>
          <w:rFonts w:hint="eastAsia" w:ascii="仿宋_GB2312" w:hAnsi="仿宋_GB2312" w:eastAsia="仿宋_GB2312"/>
          <w:b w:val="0"/>
          <w:sz w:val="32"/>
          <w:lang w:eastAsia="zh-CN"/>
        </w:rPr>
        <w:t>，</w:t>
      </w:r>
      <w:r>
        <w:rPr>
          <w:rFonts w:ascii="仿宋_GB2312" w:hAnsi="仿宋_GB2312" w:eastAsia="仿宋_GB2312"/>
          <w:b w:val="0"/>
          <w:sz w:val="32"/>
        </w:rPr>
        <w:t>缩短办事时长、提高办结率；三是强化责任意识，推动流程优化，降低行政内耗。发现的问题及原因：一是因人员业务能力欠缺，经费支付办理进度缓慢；二是激励约束弱，经费使用与履职成效关联不紧，动力不足。下一步改进措施：一是细化可量化指标，如服务响应时长、群众满意度等，增强考核针对性。二是强化结果应用，将绩效与经费、评优挂钩，压实责任。三是加强培训宣传，提升全员绩效意识，规范日常管理。具体附整体支出绩效自评表，项目支出绩效自评表和评价报告。</w:t>
      </w:r>
    </w:p>
    <w:p w14:paraId="1BDAA82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B418381">
        <w:tblPrEx>
          <w:tblCellMar>
            <w:top w:w="0" w:type="dxa"/>
            <w:left w:w="108" w:type="dxa"/>
            <w:bottom w:w="0" w:type="dxa"/>
            <w:right w:w="108" w:type="dxa"/>
          </w:tblCellMar>
        </w:tblPrEx>
        <w:tc>
          <w:tcPr>
            <w:tcW w:w="8847" w:type="dxa"/>
            <w:gridSpan w:val="9"/>
            <w:vAlign w:val="center"/>
          </w:tcPr>
          <w:p w14:paraId="7585F814">
            <w:pPr>
              <w:jc w:val="center"/>
            </w:pPr>
            <w:r>
              <w:rPr>
                <w:rFonts w:ascii="宋体" w:hAnsi="宋体" w:eastAsia="宋体"/>
                <w:sz w:val="24"/>
              </w:rPr>
              <w:t>单位整体支出绩效自评表</w:t>
            </w:r>
          </w:p>
        </w:tc>
      </w:tr>
      <w:tr w14:paraId="58D10C39">
        <w:tblPrEx>
          <w:tblCellMar>
            <w:top w:w="0" w:type="dxa"/>
            <w:left w:w="108" w:type="dxa"/>
            <w:bottom w:w="0" w:type="dxa"/>
            <w:right w:w="108" w:type="dxa"/>
          </w:tblCellMar>
        </w:tblPrEx>
        <w:tc>
          <w:tcPr>
            <w:tcW w:w="8847" w:type="dxa"/>
            <w:gridSpan w:val="9"/>
            <w:vAlign w:val="center"/>
          </w:tcPr>
          <w:p w14:paraId="7A08BBD5">
            <w:pPr>
              <w:jc w:val="center"/>
            </w:pPr>
            <w:r>
              <w:rPr>
                <w:rFonts w:ascii="宋体" w:hAnsi="宋体" w:eastAsia="宋体"/>
                <w:sz w:val="24"/>
              </w:rPr>
              <w:t>（2024年度）</w:t>
            </w:r>
          </w:p>
        </w:tc>
      </w:tr>
      <w:tr w14:paraId="6EB2F1D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A507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1791DFA">
            <w:pPr>
              <w:jc w:val="center"/>
            </w:pPr>
            <w:r>
              <w:rPr>
                <w:rFonts w:ascii="宋体" w:hAnsi="宋体" w:eastAsia="宋体"/>
                <w:sz w:val="16"/>
              </w:rPr>
              <w:t>喀什地区生态环境局莎车县分局</w:t>
            </w:r>
          </w:p>
        </w:tc>
      </w:tr>
      <w:tr w14:paraId="1F9B49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B4903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A468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4951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83CD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70BF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4100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9B48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8DF24">
            <w:pPr>
              <w:jc w:val="center"/>
            </w:pPr>
            <w:r>
              <w:rPr>
                <w:rFonts w:ascii="宋体" w:hAnsi="宋体" w:eastAsia="宋体"/>
                <w:sz w:val="16"/>
              </w:rPr>
              <w:t>得分</w:t>
            </w:r>
          </w:p>
        </w:tc>
      </w:tr>
      <w:tr w14:paraId="46AB22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6B82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4506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46538">
            <w:pPr>
              <w:jc w:val="center"/>
            </w:pPr>
            <w:r>
              <w:rPr>
                <w:rFonts w:ascii="宋体" w:hAnsi="宋体" w:eastAsia="宋体"/>
                <w:sz w:val="16"/>
              </w:rPr>
              <w:t>432.29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537A1">
            <w:pPr>
              <w:jc w:val="center"/>
            </w:pPr>
            <w:r>
              <w:rPr>
                <w:rFonts w:ascii="宋体" w:hAnsi="宋体" w:eastAsia="宋体"/>
                <w:sz w:val="16"/>
              </w:rPr>
              <w:t>487.89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07CE9">
            <w:pPr>
              <w:jc w:val="center"/>
            </w:pPr>
            <w:r>
              <w:rPr>
                <w:rFonts w:ascii="宋体" w:hAnsi="宋体" w:eastAsia="宋体"/>
                <w:sz w:val="16"/>
              </w:rPr>
              <w:t>485.39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8EA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B282E">
            <w:pPr>
              <w:jc w:val="center"/>
            </w:pPr>
            <w:r>
              <w:rPr>
                <w:rFonts w:ascii="宋体" w:hAnsi="宋体" w:eastAsia="宋体"/>
                <w:sz w:val="16"/>
              </w:rPr>
              <w:t>99.49%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5BE5F">
            <w:pPr>
              <w:jc w:val="center"/>
            </w:pPr>
            <w:r>
              <w:rPr>
                <w:rFonts w:ascii="宋体" w:hAnsi="宋体" w:eastAsia="宋体"/>
                <w:sz w:val="16"/>
              </w:rPr>
              <w:t>9.95</w:t>
            </w:r>
          </w:p>
        </w:tc>
      </w:tr>
      <w:tr w14:paraId="346E67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24E5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C108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B414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E352A">
            <w:pPr>
              <w:jc w:val="center"/>
            </w:pPr>
            <w:r>
              <w:rPr>
                <w:rFonts w:ascii="宋体" w:hAnsi="宋体" w:eastAsia="宋体"/>
                <w:sz w:val="16"/>
              </w:rPr>
              <w:t>5.12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BB099">
            <w:pPr>
              <w:jc w:val="center"/>
            </w:pPr>
            <w:r>
              <w:rPr>
                <w:rFonts w:ascii="宋体" w:hAnsi="宋体" w:eastAsia="宋体"/>
                <w:sz w:val="16"/>
              </w:rPr>
              <w:t>5.12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280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B6DC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467DF">
            <w:pPr>
              <w:jc w:val="center"/>
            </w:pPr>
            <w:r>
              <w:rPr>
                <w:rFonts w:ascii="宋体" w:hAnsi="宋体" w:eastAsia="宋体"/>
                <w:sz w:val="16"/>
              </w:rPr>
              <w:t>—</w:t>
            </w:r>
          </w:p>
        </w:tc>
      </w:tr>
      <w:tr w14:paraId="72EE71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B12C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CF7D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3EC53">
            <w:pPr>
              <w:jc w:val="center"/>
            </w:pPr>
            <w:r>
              <w:rPr>
                <w:rFonts w:ascii="宋体" w:hAnsi="宋体" w:eastAsia="宋体"/>
                <w:sz w:val="16"/>
              </w:rPr>
              <w:t>432.29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DA31E">
            <w:pPr>
              <w:jc w:val="center"/>
            </w:pPr>
            <w:r>
              <w:rPr>
                <w:rFonts w:ascii="宋体" w:hAnsi="宋体" w:eastAsia="宋体"/>
                <w:sz w:val="16"/>
              </w:rPr>
              <w:t>427.77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1AD60">
            <w:pPr>
              <w:jc w:val="center"/>
            </w:pPr>
            <w:r>
              <w:rPr>
                <w:rFonts w:ascii="宋体" w:hAnsi="宋体" w:eastAsia="宋体"/>
                <w:sz w:val="16"/>
              </w:rPr>
              <w:t>427.77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252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602E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5FAA2">
            <w:pPr>
              <w:jc w:val="center"/>
            </w:pPr>
            <w:r>
              <w:rPr>
                <w:rFonts w:ascii="宋体" w:hAnsi="宋体" w:eastAsia="宋体"/>
                <w:sz w:val="16"/>
              </w:rPr>
              <w:t>—</w:t>
            </w:r>
          </w:p>
        </w:tc>
      </w:tr>
      <w:tr w14:paraId="10C7BF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8126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F51D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08D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EB554">
            <w:pPr>
              <w:jc w:val="center"/>
            </w:pPr>
            <w:r>
              <w:rPr>
                <w:rFonts w:ascii="宋体" w:hAnsi="宋体" w:eastAsia="宋体"/>
                <w:sz w:val="16"/>
              </w:rPr>
              <w:t>55.00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BD270">
            <w:pPr>
              <w:jc w:val="center"/>
            </w:pPr>
            <w:r>
              <w:rPr>
                <w:rFonts w:ascii="宋体" w:hAnsi="宋体" w:eastAsia="宋体"/>
                <w:sz w:val="16"/>
              </w:rPr>
              <w:t>52.50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0CC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097B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70077">
            <w:pPr>
              <w:jc w:val="center"/>
            </w:pPr>
            <w:r>
              <w:rPr>
                <w:rFonts w:ascii="宋体" w:hAnsi="宋体" w:eastAsia="宋体"/>
                <w:sz w:val="16"/>
              </w:rPr>
              <w:t>—</w:t>
            </w:r>
          </w:p>
        </w:tc>
      </w:tr>
      <w:tr w14:paraId="72832CE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8CF9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3C1DB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B4CA05">
            <w:pPr>
              <w:jc w:val="center"/>
            </w:pPr>
            <w:r>
              <w:rPr>
                <w:rFonts w:ascii="宋体" w:hAnsi="宋体" w:eastAsia="宋体"/>
                <w:sz w:val="16"/>
              </w:rPr>
              <w:t>实际完成情况</w:t>
            </w:r>
          </w:p>
        </w:tc>
      </w:tr>
      <w:tr w14:paraId="1F004D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FEB64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5D2E16">
            <w:pPr>
              <w:jc w:val="both"/>
            </w:pPr>
            <w:r>
              <w:rPr>
                <w:rFonts w:ascii="宋体" w:hAnsi="宋体" w:eastAsia="宋体"/>
                <w:sz w:val="16"/>
              </w:rPr>
              <w:t>以改善环境质量为核心，以解决突出环境问题为重点，扎实推进生态文明和生态环境保护，持续深入打好污染防治攻坚战。做好大气环境质量工作，确保全年空气质量优良天数比率达到33.27%，全县全年PM2.5浓度低于56毫克/立方米。做好水环境质量工作，辖区河流监测断面达到或好于Ⅲ类水体比率达到100%。做好生态环境质量考核工作，按时完成生态环境监测，确保监测完成率达到100%。通过做好大气治理工作、水质监测工作、组织开展环保执法检查工作、开展环保宣传活动等，使得公民环保意识有效提升，区域内生态环境实现逐步有效改善和提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310067">
            <w:pPr>
              <w:jc w:val="both"/>
            </w:pPr>
            <w:r>
              <w:rPr>
                <w:rFonts w:ascii="宋体" w:hAnsi="宋体" w:eastAsia="宋体"/>
                <w:sz w:val="16"/>
              </w:rPr>
              <w:t>截至目前已完成支出485.39万元,，有效监测天数363天，空气优良天数172天，平均优良天数比例为47.4%，与去年相比，平均优良天数比例增加5.9个百分点。全年PM2.5浓度为49微克/立方，全年重污染天数比率为0.3%。强化水资源管理，地表水水质达到Ⅲ类以上，水质优良比例保持；加强城乡饮用水水源地监管，强化水质监测，城乡饮用水水源地水质向好。通过土壤环境监测，农用地土壤达到Ⅱ类土壤标准，全县土壤环境质量总体保持，土壤环境风险得到基本管控。2024年未发生土壤污染、重金属超标事件。全年监测完成率100%。</w:t>
            </w:r>
          </w:p>
        </w:tc>
      </w:tr>
      <w:tr w14:paraId="5779DDD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7775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02C5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5657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0153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1CC1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D3E6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53E4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DFDD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8C3E0">
            <w:pPr>
              <w:jc w:val="center"/>
            </w:pPr>
            <w:r>
              <w:rPr>
                <w:rFonts w:ascii="宋体" w:hAnsi="宋体" w:eastAsia="宋体"/>
                <w:sz w:val="16"/>
              </w:rPr>
              <w:t>得分</w:t>
            </w:r>
          </w:p>
        </w:tc>
      </w:tr>
      <w:tr w14:paraId="763EE6D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4B16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653E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232DC">
            <w:pPr>
              <w:jc w:val="center"/>
            </w:pPr>
            <w:r>
              <w:rPr>
                <w:rFonts w:ascii="宋体" w:hAnsi="宋体" w:eastAsia="宋体"/>
                <w:sz w:val="16"/>
              </w:rPr>
              <w:t>莎车县空气优良天数比率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03C98">
            <w:pPr>
              <w:jc w:val="center"/>
            </w:pPr>
            <w:r>
              <w:rPr>
                <w:rFonts w:ascii="宋体" w:hAnsi="宋体" w:eastAsia="宋体"/>
                <w:sz w:val="16"/>
              </w:rPr>
              <w:t>&gt;=33.27%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07F96">
            <w:pPr>
              <w:jc w:val="center"/>
            </w:pPr>
            <w:r>
              <w:rPr>
                <w:rFonts w:ascii="宋体" w:hAnsi="宋体" w:eastAsia="宋体"/>
                <w:sz w:val="16"/>
              </w:rPr>
              <w:t>《喀什地区生态环境局莎车县分局2024年工作计划》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0389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456E2">
            <w:pPr>
              <w:jc w:val="center"/>
            </w:pPr>
            <w:r>
              <w:rPr>
                <w:rFonts w:ascii="宋体" w:hAnsi="宋体" w:eastAsia="宋体"/>
                <w:sz w:val="16"/>
              </w:rPr>
              <w:t>47.4%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BF4B5">
            <w:pPr>
              <w:jc w:val="center"/>
            </w:pPr>
            <w:r>
              <w:rPr>
                <w:rFonts w:ascii="宋体" w:hAnsi="宋体" w:eastAsia="宋体"/>
                <w:sz w:val="16"/>
              </w:rPr>
              <w:t>142.47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468E3">
            <w:pPr>
              <w:jc w:val="center"/>
            </w:pPr>
            <w:r>
              <w:rPr>
                <w:rFonts w:ascii="宋体" w:hAnsi="宋体" w:eastAsia="宋体"/>
                <w:sz w:val="16"/>
              </w:rPr>
              <w:t>20</w:t>
            </w:r>
          </w:p>
        </w:tc>
      </w:tr>
      <w:tr w14:paraId="42A8BE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0BB6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9C8E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C05E7">
            <w:pPr>
              <w:jc w:val="center"/>
            </w:pPr>
            <w:r>
              <w:rPr>
                <w:rFonts w:ascii="宋体" w:hAnsi="宋体" w:eastAsia="宋体"/>
                <w:sz w:val="16"/>
              </w:rPr>
              <w:t>莎车县全年PM2.5浓度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054AA">
            <w:pPr>
              <w:jc w:val="center"/>
            </w:pPr>
            <w:r>
              <w:rPr>
                <w:rFonts w:ascii="宋体" w:hAnsi="宋体" w:eastAsia="宋体"/>
                <w:sz w:val="16"/>
              </w:rPr>
              <w:t>&lt;=56微克/立方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4C8430">
            <w:pPr>
              <w:jc w:val="center"/>
            </w:pPr>
            <w:r>
              <w:rPr>
                <w:rFonts w:ascii="宋体" w:hAnsi="宋体" w:eastAsia="宋体"/>
                <w:sz w:val="16"/>
              </w:rPr>
              <w:t>《喀什地区生态环境局莎车县分局2024年工作计划》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8622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525A3">
            <w:pPr>
              <w:jc w:val="center"/>
            </w:pPr>
            <w:r>
              <w:rPr>
                <w:rFonts w:ascii="宋体" w:hAnsi="宋体" w:eastAsia="宋体"/>
                <w:sz w:val="16"/>
              </w:rPr>
              <w:t>49微克/立方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68E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5C939">
            <w:pPr>
              <w:jc w:val="center"/>
            </w:pPr>
            <w:r>
              <w:rPr>
                <w:rFonts w:ascii="宋体" w:hAnsi="宋体" w:eastAsia="宋体"/>
                <w:sz w:val="16"/>
              </w:rPr>
              <w:t>20</w:t>
            </w:r>
          </w:p>
        </w:tc>
      </w:tr>
      <w:tr w14:paraId="7AED50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3408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9385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A9D14">
            <w:pPr>
              <w:jc w:val="center"/>
            </w:pPr>
            <w:r>
              <w:rPr>
                <w:rFonts w:ascii="宋体" w:hAnsi="宋体" w:eastAsia="宋体"/>
                <w:sz w:val="16"/>
              </w:rPr>
              <w:t>辖区河流监测断面达到或好于Ⅲ类水体比率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856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9CC29">
            <w:pPr>
              <w:jc w:val="center"/>
            </w:pPr>
            <w:r>
              <w:rPr>
                <w:rFonts w:ascii="宋体" w:hAnsi="宋体" w:eastAsia="宋体"/>
                <w:sz w:val="16"/>
              </w:rPr>
              <w:t>《喀什地区生态环境局莎车县分局2024年工作计划》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D004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2D1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D5D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FCB70">
            <w:pPr>
              <w:jc w:val="center"/>
            </w:pPr>
            <w:r>
              <w:rPr>
                <w:rFonts w:ascii="宋体" w:hAnsi="宋体" w:eastAsia="宋体"/>
                <w:sz w:val="16"/>
              </w:rPr>
              <w:t>20</w:t>
            </w:r>
          </w:p>
        </w:tc>
      </w:tr>
      <w:tr w14:paraId="1BB584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A4E46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D0FF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869A9">
            <w:pPr>
              <w:jc w:val="center"/>
            </w:pPr>
            <w:r>
              <w:rPr>
                <w:rFonts w:ascii="宋体" w:hAnsi="宋体" w:eastAsia="宋体"/>
                <w:sz w:val="16"/>
              </w:rPr>
              <w:t>莎车县全年重污染天数比率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5460A">
            <w:pPr>
              <w:jc w:val="center"/>
            </w:pPr>
            <w:r>
              <w:rPr>
                <w:rFonts w:ascii="宋体" w:hAnsi="宋体" w:eastAsia="宋体"/>
                <w:sz w:val="16"/>
              </w:rPr>
              <w:t>&lt;=0.50%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B6CD9">
            <w:pPr>
              <w:jc w:val="center"/>
            </w:pPr>
            <w:r>
              <w:rPr>
                <w:rFonts w:ascii="宋体" w:hAnsi="宋体" w:eastAsia="宋体"/>
                <w:sz w:val="16"/>
              </w:rPr>
              <w:t>《喀什地区生态环境局莎车县分局2024年工作计划》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0F2B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80628">
            <w:pPr>
              <w:jc w:val="center"/>
            </w:pPr>
            <w:r>
              <w:rPr>
                <w:rFonts w:ascii="宋体" w:hAnsi="宋体" w:eastAsia="宋体"/>
                <w:sz w:val="16"/>
              </w:rPr>
              <w:t>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5B0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2050D">
            <w:pPr>
              <w:jc w:val="center"/>
            </w:pPr>
            <w:r>
              <w:rPr>
                <w:rFonts w:ascii="宋体" w:hAnsi="宋体" w:eastAsia="宋体"/>
                <w:sz w:val="16"/>
              </w:rPr>
              <w:t>15</w:t>
            </w:r>
          </w:p>
        </w:tc>
      </w:tr>
      <w:tr w14:paraId="780C52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3925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124C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C7F51">
            <w:pPr>
              <w:jc w:val="center"/>
            </w:pPr>
            <w:r>
              <w:rPr>
                <w:rFonts w:ascii="宋体" w:hAnsi="宋体" w:eastAsia="宋体"/>
                <w:sz w:val="16"/>
              </w:rPr>
              <w:t>生态环境监测完成率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B5A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5762A">
            <w:pPr>
              <w:jc w:val="center"/>
            </w:pPr>
            <w:r>
              <w:rPr>
                <w:rFonts w:ascii="宋体" w:hAnsi="宋体" w:eastAsia="宋体"/>
                <w:sz w:val="16"/>
              </w:rPr>
              <w:t>《喀什地区生态环境局莎车县分局2024年工作计划》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5BBE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4C5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3E6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231B9">
            <w:pPr>
              <w:jc w:val="center"/>
            </w:pPr>
            <w:r>
              <w:rPr>
                <w:rFonts w:ascii="宋体" w:hAnsi="宋体" w:eastAsia="宋体"/>
                <w:sz w:val="16"/>
              </w:rPr>
              <w:t>15</w:t>
            </w:r>
          </w:p>
        </w:tc>
      </w:tr>
    </w:tbl>
    <w:p w14:paraId="0761466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8F39ED6">
        <w:tblPrEx>
          <w:tblCellMar>
            <w:top w:w="0" w:type="dxa"/>
            <w:left w:w="108" w:type="dxa"/>
            <w:bottom w:w="0" w:type="dxa"/>
            <w:right w:w="108" w:type="dxa"/>
          </w:tblCellMar>
        </w:tblPrEx>
        <w:tc>
          <w:tcPr>
            <w:tcW w:w="8848" w:type="dxa"/>
            <w:gridSpan w:val="14"/>
            <w:vAlign w:val="center"/>
          </w:tcPr>
          <w:p w14:paraId="5FB485AB">
            <w:pPr>
              <w:jc w:val="center"/>
            </w:pPr>
            <w:r>
              <w:rPr>
                <w:rFonts w:ascii="宋体" w:hAnsi="宋体" w:eastAsia="宋体"/>
                <w:sz w:val="24"/>
              </w:rPr>
              <w:t>项目支出绩效自评表</w:t>
            </w:r>
          </w:p>
        </w:tc>
      </w:tr>
      <w:tr w14:paraId="0F7EC766">
        <w:tblPrEx>
          <w:tblCellMar>
            <w:top w:w="0" w:type="dxa"/>
            <w:left w:w="108" w:type="dxa"/>
            <w:bottom w:w="0" w:type="dxa"/>
            <w:right w:w="108" w:type="dxa"/>
          </w:tblCellMar>
        </w:tblPrEx>
        <w:tc>
          <w:tcPr>
            <w:tcW w:w="8848" w:type="dxa"/>
            <w:gridSpan w:val="14"/>
            <w:vAlign w:val="center"/>
          </w:tcPr>
          <w:p w14:paraId="1DDBF6B0">
            <w:pPr>
              <w:jc w:val="center"/>
            </w:pPr>
            <w:r>
              <w:rPr>
                <w:rFonts w:ascii="宋体" w:hAnsi="宋体" w:eastAsia="宋体"/>
                <w:sz w:val="24"/>
              </w:rPr>
              <w:t>(2024年度)</w:t>
            </w:r>
          </w:p>
        </w:tc>
      </w:tr>
      <w:tr w14:paraId="781219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1D1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9CCD30">
            <w:pPr>
              <w:jc w:val="center"/>
            </w:pPr>
            <w:r>
              <w:rPr>
                <w:rFonts w:ascii="宋体" w:hAnsi="宋体" w:eastAsia="宋体"/>
                <w:sz w:val="16"/>
              </w:rPr>
              <w:t>2024年重点生态功能区县域生态环境质量考核监测费项目</w:t>
            </w:r>
          </w:p>
        </w:tc>
      </w:tr>
      <w:tr w14:paraId="31C366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2DBD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861902">
            <w:pPr>
              <w:jc w:val="center"/>
            </w:pPr>
            <w:r>
              <w:rPr>
                <w:rFonts w:ascii="宋体" w:hAnsi="宋体" w:eastAsia="宋体"/>
                <w:sz w:val="16"/>
              </w:rPr>
              <w:t>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B13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E9F3F6">
            <w:pPr>
              <w:jc w:val="center"/>
            </w:pPr>
            <w:r>
              <w:rPr>
                <w:rFonts w:ascii="宋体" w:hAnsi="宋体" w:eastAsia="宋体"/>
                <w:sz w:val="16"/>
              </w:rPr>
              <w:t>喀什地区生态环境局莎车县分局</w:t>
            </w:r>
          </w:p>
        </w:tc>
      </w:tr>
      <w:tr w14:paraId="1AAA4C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E43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9E00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B6D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2050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1504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4111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6412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1AA7">
            <w:pPr>
              <w:jc w:val="center"/>
            </w:pPr>
            <w:r>
              <w:rPr>
                <w:rFonts w:ascii="宋体" w:hAnsi="宋体" w:eastAsia="宋体"/>
                <w:sz w:val="16"/>
              </w:rPr>
              <w:t>得分</w:t>
            </w:r>
          </w:p>
        </w:tc>
      </w:tr>
      <w:tr w14:paraId="27C07C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49B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6142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FCEC3">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82B8D">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88553">
            <w:pPr>
              <w:jc w:val="center"/>
            </w:pPr>
            <w:r>
              <w:rPr>
                <w:rFonts w:ascii="宋体" w:hAnsi="宋体" w:eastAsia="宋体"/>
                <w:sz w:val="16"/>
              </w:rPr>
              <w:t>52.50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9C6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15492">
            <w:pPr>
              <w:jc w:val="center"/>
            </w:pPr>
            <w:r>
              <w:rPr>
                <w:rFonts w:ascii="宋体" w:hAnsi="宋体" w:eastAsia="宋体"/>
                <w:sz w:val="16"/>
              </w:rPr>
              <w:t>95.5%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6B23B">
            <w:pPr>
              <w:jc w:val="center"/>
            </w:pPr>
            <w:r>
              <w:rPr>
                <w:rFonts w:ascii="宋体" w:hAnsi="宋体" w:eastAsia="宋体"/>
                <w:sz w:val="16"/>
              </w:rPr>
              <w:t>8.86分</w:t>
            </w:r>
          </w:p>
        </w:tc>
      </w:tr>
      <w:tr w14:paraId="46958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886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6AC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CBC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6CA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50A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BBD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2A0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4607">
            <w:pPr>
              <w:jc w:val="center"/>
            </w:pPr>
            <w:r>
              <w:rPr>
                <w:rFonts w:ascii="宋体" w:hAnsi="宋体" w:eastAsia="宋体"/>
                <w:sz w:val="16"/>
              </w:rPr>
              <w:t>—</w:t>
            </w:r>
          </w:p>
        </w:tc>
      </w:tr>
      <w:tr w14:paraId="03CA97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4C1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889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F00C2">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87DA8">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5F0CC">
            <w:pPr>
              <w:jc w:val="center"/>
            </w:pPr>
            <w:r>
              <w:rPr>
                <w:rFonts w:ascii="宋体" w:hAnsi="宋体" w:eastAsia="宋体"/>
                <w:sz w:val="16"/>
              </w:rPr>
              <w:t>52.50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459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BDE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E957">
            <w:pPr>
              <w:jc w:val="center"/>
            </w:pPr>
            <w:r>
              <w:rPr>
                <w:rFonts w:ascii="宋体" w:hAnsi="宋体" w:eastAsia="宋体"/>
                <w:sz w:val="16"/>
              </w:rPr>
              <w:t>—</w:t>
            </w:r>
          </w:p>
        </w:tc>
      </w:tr>
      <w:tr w14:paraId="0D94DA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419A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9E24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19022B">
            <w:pPr>
              <w:jc w:val="center"/>
            </w:pPr>
            <w:r>
              <w:rPr>
                <w:rFonts w:ascii="宋体" w:hAnsi="宋体" w:eastAsia="宋体"/>
                <w:sz w:val="16"/>
              </w:rPr>
              <w:t>实际完成情况</w:t>
            </w:r>
          </w:p>
        </w:tc>
      </w:tr>
      <w:tr w14:paraId="792CB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CDD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F624F4">
            <w:pPr>
              <w:jc w:val="both"/>
            </w:pPr>
            <w:r>
              <w:rPr>
                <w:rFonts w:ascii="宋体" w:hAnsi="宋体" w:eastAsia="宋体"/>
                <w:sz w:val="16"/>
              </w:rPr>
              <w:t>项目总额55万元，主要开展2024年重点生态功能区县域生态环境质量、农村环境质量、“千吨万人”饮用水源地及农田灌溉区水质、地表水监测、地下水水位水质监测、莎车县城市声环环境质量监测、城镇饮用水水源地监测、监督性监测、应急监测等，通过对空气、水、土壤等开展监测，有效跟踪环境质量的变化，了解环境质量水平，为环境管理、污染治理等工作提供基础和保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7D8748">
            <w:pPr>
              <w:jc w:val="both"/>
            </w:pPr>
            <w:r>
              <w:rPr>
                <w:rFonts w:ascii="宋体" w:hAnsi="宋体" w:eastAsia="宋体"/>
                <w:sz w:val="16"/>
              </w:rPr>
              <w:t>项目实际支付总额52.5万元，用于开展2024年重点生态功能区县域生态环境质量、农村环境质量、“千吨万人”饮用水源地及农田灌溉区水质、地表水监测、地下水水位水质监测、莎车县城市声环环境质量监测、城镇饮用水水源地监测、监督性监测、应急监测等，全年有效监测天数363天，平均优良天数比例为47.4%，全年PM2.5浓度为49微克/立方，全年重污染天数比率为0.3%。强化水资源管理，地表水水质达到Ⅲ类以上，水质优良比例保持；加强城乡饮用水水源地监管，强化水质监测，城乡饮用水水源地水质向好。通过土壤环境监测，农用地土壤达到Ⅱ类土壤标准，全县土壤环境质量总体保持</w:t>
            </w:r>
            <w:r>
              <w:rPr>
                <w:rFonts w:hint="eastAsia" w:ascii="宋体" w:hAnsi="宋体"/>
                <w:sz w:val="16"/>
                <w:lang w:eastAsia="zh-CN"/>
              </w:rPr>
              <w:t>平稳</w:t>
            </w:r>
            <w:r>
              <w:rPr>
                <w:rFonts w:ascii="宋体" w:hAnsi="宋体" w:eastAsia="宋体"/>
                <w:sz w:val="16"/>
              </w:rPr>
              <w:t>，土壤环境风险得到基本管控。2024年未发生土壤污染、重金属超标事件。全年监测完成率100%。</w:t>
            </w:r>
          </w:p>
        </w:tc>
      </w:tr>
      <w:tr w14:paraId="73A548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784C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C26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CD49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363F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BCD0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F53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BA36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E2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226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6B4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4E0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9C9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39F1B">
            <w:pPr>
              <w:jc w:val="center"/>
            </w:pPr>
            <w:r>
              <w:rPr>
                <w:rFonts w:ascii="宋体" w:hAnsi="宋体" w:eastAsia="宋体"/>
                <w:sz w:val="16"/>
              </w:rPr>
              <w:t>偏差原因分析及改进措施</w:t>
            </w:r>
          </w:p>
        </w:tc>
      </w:tr>
      <w:tr w14:paraId="0FFE23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54A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50E0A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2BA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6C37">
            <w:pPr>
              <w:jc w:val="center"/>
            </w:pPr>
            <w:r>
              <w:rPr>
                <w:rFonts w:ascii="宋体" w:hAnsi="宋体" w:eastAsia="宋体"/>
                <w:sz w:val="16"/>
              </w:rPr>
              <w:t>县域生态环境质量监测（频次）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676E">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E6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01E8">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4923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4A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12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35BD1">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236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CFD6C">
            <w:pPr>
              <w:jc w:val="center"/>
            </w:pPr>
          </w:p>
        </w:tc>
      </w:tr>
      <w:tr w14:paraId="5BC756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D8B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209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F3C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28C95">
            <w:pPr>
              <w:jc w:val="center"/>
            </w:pPr>
            <w:r>
              <w:rPr>
                <w:rFonts w:ascii="宋体" w:hAnsi="宋体" w:eastAsia="宋体"/>
                <w:sz w:val="16"/>
              </w:rPr>
              <w:t>项目监测数据合格率（%）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9C8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95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91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C40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FC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053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D3F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67E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ECED4">
            <w:pPr>
              <w:jc w:val="center"/>
            </w:pPr>
          </w:p>
        </w:tc>
      </w:tr>
      <w:tr w14:paraId="1CFE9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86F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488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8C1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85BE6">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A4C1">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A8A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C4808">
            <w:pPr>
              <w:jc w:val="center"/>
            </w:pPr>
            <w:r>
              <w:rPr>
                <w:rFonts w:ascii="宋体" w:hAnsi="宋体" w:eastAsia="宋体"/>
                <w:sz w:val="16"/>
              </w:rPr>
              <w:t>按时完成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6723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5C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73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28C9C">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EC01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E3B75">
            <w:pPr>
              <w:jc w:val="center"/>
            </w:pPr>
          </w:p>
        </w:tc>
      </w:tr>
      <w:tr w14:paraId="06B3A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BFE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4F3E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83D9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9835">
            <w:pPr>
              <w:jc w:val="center"/>
            </w:pPr>
            <w:r>
              <w:rPr>
                <w:rFonts w:ascii="宋体" w:hAnsi="宋体" w:eastAsia="宋体"/>
                <w:sz w:val="16"/>
              </w:rPr>
              <w:t>2024年重点生态功能区县域生态环境监测（万元）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F4C2">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117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C81E2">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6D3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99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5A6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EFA30">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4C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EBFB8">
            <w:pPr>
              <w:jc w:val="center"/>
            </w:pPr>
          </w:p>
        </w:tc>
      </w:tr>
      <w:tr w14:paraId="5704F0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C71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9F6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908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B4132">
            <w:pPr>
              <w:jc w:val="center"/>
            </w:pPr>
            <w:r>
              <w:rPr>
                <w:rFonts w:ascii="宋体" w:hAnsi="宋体" w:eastAsia="宋体"/>
                <w:sz w:val="16"/>
              </w:rPr>
              <w:t>饮用水源地及农田灌溉区水质监测（万元）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F3021">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86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0277D">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9F9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B05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16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0E675">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9D9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697D6">
            <w:pPr>
              <w:jc w:val="center"/>
            </w:pPr>
          </w:p>
        </w:tc>
      </w:tr>
      <w:tr w14:paraId="7831A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67C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1D6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08C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69607">
            <w:pPr>
              <w:jc w:val="center"/>
            </w:pPr>
            <w:r>
              <w:rPr>
                <w:rFonts w:ascii="宋体" w:hAnsi="宋体" w:eastAsia="宋体"/>
                <w:sz w:val="16"/>
              </w:rPr>
              <w:t>声环境质量监测（万元）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EE9FD">
            <w:pPr>
              <w:jc w:val="center"/>
            </w:pPr>
            <w:r>
              <w:rPr>
                <w:rFonts w:ascii="宋体" w:hAnsi="宋体" w:eastAsia="宋体"/>
                <w:sz w:val="16"/>
              </w:rPr>
              <w:t>&lt;=17万元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AD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D22CC">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618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66F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DED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FEF5">
            <w:pPr>
              <w:jc w:val="center"/>
            </w:pPr>
            <w:r>
              <w:rPr>
                <w:rFonts w:ascii="宋体" w:hAnsi="宋体" w:eastAsia="宋体"/>
                <w:sz w:val="16"/>
              </w:rPr>
              <w: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EEC1">
            <w:pPr>
              <w:jc w:val="center"/>
            </w:pPr>
            <w:r>
              <w:rPr>
                <w:rFonts w:ascii="宋体" w:hAnsi="宋体" w:eastAsia="宋体"/>
                <w:sz w:val="16"/>
              </w:rPr>
              <w:t>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B8F41">
            <w:pPr>
              <w:jc w:val="center"/>
            </w:pPr>
            <w:r>
              <w:rPr>
                <w:rFonts w:ascii="宋体" w:hAnsi="宋体" w:eastAsia="宋体"/>
                <w:sz w:val="16"/>
              </w:rPr>
              <w:t>偏差原因：因进行项目政府采购，节约项目资金。改进措施：加强项目预算编制。</w:t>
            </w:r>
          </w:p>
        </w:tc>
      </w:tr>
      <w:tr w14:paraId="23B47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97F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5297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F73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84F7D">
            <w:pPr>
              <w:jc w:val="center"/>
            </w:pPr>
            <w:r>
              <w:rPr>
                <w:rFonts w:ascii="宋体" w:hAnsi="宋体" w:eastAsia="宋体"/>
                <w:sz w:val="16"/>
              </w:rPr>
              <w:t>有效提供数据依据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3DDD">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29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702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07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346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B3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B243">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72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D4F56">
            <w:pPr>
              <w:jc w:val="center"/>
            </w:pPr>
          </w:p>
        </w:tc>
      </w:tr>
      <w:tr w14:paraId="2E4AD3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36B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A3A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03E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5E70C">
            <w:pPr>
              <w:jc w:val="center"/>
            </w:pPr>
            <w:r>
              <w:rPr>
                <w:rFonts w:ascii="宋体" w:hAnsi="宋体" w:eastAsia="宋体"/>
                <w:sz w:val="16"/>
              </w:rPr>
              <w:t>有效改善人居环境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9919">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3A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11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DDE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94E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6C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F9188">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E1D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E5891">
            <w:pPr>
              <w:jc w:val="center"/>
            </w:pPr>
          </w:p>
        </w:tc>
      </w:tr>
      <w:tr w14:paraId="13DDAE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441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52B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04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4BD4">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B64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E4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50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F5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188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39E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605C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46E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91342">
            <w:pPr>
              <w:jc w:val="center"/>
            </w:pPr>
          </w:p>
        </w:tc>
      </w:tr>
      <w:tr w14:paraId="6D93E5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4E2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DD35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CDC53">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8D7851">
            <w:pPr>
              <w:jc w:val="center"/>
            </w:pPr>
            <w:r>
              <w:rPr>
                <w:rFonts w:ascii="宋体" w:hAnsi="宋体" w:eastAsia="宋体"/>
                <w:sz w:val="16"/>
              </w:rPr>
              <w:t>96.99分</w:t>
            </w:r>
          </w:p>
        </w:tc>
      </w:tr>
    </w:tbl>
    <w:p w14:paraId="447249DC">
      <w:r>
        <w:br w:type="page"/>
      </w:r>
    </w:p>
    <w:p w14:paraId="313E7834">
      <w:pPr>
        <w:spacing w:line="640" w:lineRule="exact"/>
        <w:ind w:firstLine="640"/>
        <w:jc w:val="both"/>
        <w:outlineLvl w:val="2"/>
      </w:pPr>
      <w:r>
        <w:rPr>
          <w:rFonts w:ascii="黑体" w:hAnsi="黑体" w:eastAsia="黑体"/>
          <w:sz w:val="32"/>
        </w:rPr>
        <w:t>十二、其他需说明的事项</w:t>
      </w:r>
    </w:p>
    <w:p w14:paraId="30881866">
      <w:pPr>
        <w:spacing w:line="580" w:lineRule="exact"/>
        <w:ind w:firstLine="640"/>
        <w:jc w:val="both"/>
      </w:pPr>
      <w:r>
        <w:rPr>
          <w:rFonts w:ascii="仿宋_GB2312" w:hAnsi="仿宋_GB2312" w:eastAsia="仿宋_GB2312"/>
          <w:b w:val="0"/>
          <w:sz w:val="32"/>
        </w:rPr>
        <w:t>本单位无其他需说明的事项。</w:t>
      </w:r>
    </w:p>
    <w:p w14:paraId="1A7EF53E">
      <w:r>
        <w:br w:type="page"/>
      </w:r>
    </w:p>
    <w:p w14:paraId="57302CBA">
      <w:pPr>
        <w:spacing w:line="240" w:lineRule="auto"/>
        <w:jc w:val="center"/>
        <w:outlineLvl w:val="1"/>
      </w:pPr>
      <w:r>
        <w:rPr>
          <w:rFonts w:ascii="黑体" w:hAnsi="黑体" w:eastAsia="黑体"/>
          <w:sz w:val="32"/>
        </w:rPr>
        <w:t>第三部分 专业名词解释</w:t>
      </w:r>
    </w:p>
    <w:p w14:paraId="7CC78D1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E8E39C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09FFBC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AE2B5B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3EB139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35F7E0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ACF2B1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050E77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DDA72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D4B2ED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3DAC40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9336C8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51BC09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52EC9C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91AB1EA">
      <w:r>
        <w:br w:type="page"/>
      </w:r>
    </w:p>
    <w:p w14:paraId="6E3DB087">
      <w:pPr>
        <w:spacing w:line="240" w:lineRule="auto"/>
        <w:jc w:val="center"/>
        <w:outlineLvl w:val="1"/>
      </w:pPr>
      <w:r>
        <w:rPr>
          <w:rFonts w:ascii="黑体" w:hAnsi="黑体" w:eastAsia="黑体"/>
          <w:sz w:val="32"/>
        </w:rPr>
        <w:t>第四部分 部门决算报表（见附表）</w:t>
      </w:r>
    </w:p>
    <w:p w14:paraId="4F4F6FDF">
      <w:pPr>
        <w:spacing w:line="240" w:lineRule="auto"/>
        <w:ind w:firstLine="640"/>
        <w:jc w:val="both"/>
      </w:pPr>
      <w:r>
        <w:rPr>
          <w:rFonts w:ascii="仿宋_GB2312" w:hAnsi="仿宋_GB2312" w:eastAsia="仿宋_GB2312"/>
          <w:b w:val="0"/>
          <w:sz w:val="32"/>
        </w:rPr>
        <w:t>一、《收入支出决算总表》</w:t>
      </w:r>
    </w:p>
    <w:p w14:paraId="23AB588F">
      <w:pPr>
        <w:spacing w:line="240" w:lineRule="auto"/>
        <w:ind w:firstLine="640"/>
        <w:jc w:val="both"/>
      </w:pPr>
      <w:r>
        <w:rPr>
          <w:rFonts w:ascii="仿宋_GB2312" w:hAnsi="仿宋_GB2312" w:eastAsia="仿宋_GB2312"/>
          <w:b w:val="0"/>
          <w:sz w:val="32"/>
        </w:rPr>
        <w:t>二、《收入决算表》</w:t>
      </w:r>
    </w:p>
    <w:p w14:paraId="4C9E0A06">
      <w:pPr>
        <w:spacing w:line="240" w:lineRule="auto"/>
        <w:ind w:firstLine="640"/>
        <w:jc w:val="both"/>
      </w:pPr>
      <w:r>
        <w:rPr>
          <w:rFonts w:ascii="仿宋_GB2312" w:hAnsi="仿宋_GB2312" w:eastAsia="仿宋_GB2312"/>
          <w:b w:val="0"/>
          <w:sz w:val="32"/>
        </w:rPr>
        <w:t>三、《支出决算表》</w:t>
      </w:r>
    </w:p>
    <w:p w14:paraId="190E1DD8">
      <w:pPr>
        <w:spacing w:line="240" w:lineRule="auto"/>
        <w:ind w:firstLine="640"/>
        <w:jc w:val="both"/>
      </w:pPr>
      <w:r>
        <w:rPr>
          <w:rFonts w:ascii="仿宋_GB2312" w:hAnsi="仿宋_GB2312" w:eastAsia="仿宋_GB2312"/>
          <w:b w:val="0"/>
          <w:sz w:val="32"/>
        </w:rPr>
        <w:t>四、《财政拨款收入支出决算总表》</w:t>
      </w:r>
    </w:p>
    <w:p w14:paraId="1141CF07">
      <w:pPr>
        <w:spacing w:line="240" w:lineRule="auto"/>
        <w:ind w:firstLine="640"/>
        <w:jc w:val="both"/>
      </w:pPr>
      <w:r>
        <w:rPr>
          <w:rFonts w:ascii="仿宋_GB2312" w:hAnsi="仿宋_GB2312" w:eastAsia="仿宋_GB2312"/>
          <w:b w:val="0"/>
          <w:sz w:val="32"/>
        </w:rPr>
        <w:t>五、《一般公共预算财政拨款支出决算表》</w:t>
      </w:r>
    </w:p>
    <w:p w14:paraId="4F4A9852">
      <w:pPr>
        <w:spacing w:line="240" w:lineRule="auto"/>
        <w:ind w:firstLine="640"/>
        <w:jc w:val="both"/>
      </w:pPr>
      <w:r>
        <w:rPr>
          <w:rFonts w:ascii="仿宋_GB2312" w:hAnsi="仿宋_GB2312" w:eastAsia="仿宋_GB2312"/>
          <w:b w:val="0"/>
          <w:sz w:val="32"/>
        </w:rPr>
        <w:t>六、《一般公共预算财政拨款基本支出决算表》</w:t>
      </w:r>
    </w:p>
    <w:p w14:paraId="38B7BB26">
      <w:pPr>
        <w:spacing w:line="240" w:lineRule="auto"/>
        <w:ind w:firstLine="640"/>
        <w:jc w:val="both"/>
      </w:pPr>
      <w:r>
        <w:rPr>
          <w:rFonts w:ascii="仿宋_GB2312" w:hAnsi="仿宋_GB2312" w:eastAsia="仿宋_GB2312"/>
          <w:b w:val="0"/>
          <w:sz w:val="32"/>
        </w:rPr>
        <w:t>七、《政府性基金预算财政拨款收入支出决算表》</w:t>
      </w:r>
    </w:p>
    <w:p w14:paraId="42226830">
      <w:pPr>
        <w:spacing w:line="240" w:lineRule="auto"/>
        <w:ind w:firstLine="640"/>
        <w:jc w:val="both"/>
      </w:pPr>
      <w:r>
        <w:rPr>
          <w:rFonts w:ascii="仿宋_GB2312" w:hAnsi="仿宋_GB2312" w:eastAsia="仿宋_GB2312"/>
          <w:b w:val="0"/>
          <w:sz w:val="32"/>
        </w:rPr>
        <w:t>八、《国有资本经营预算财政拨款收入支出决算表》</w:t>
      </w:r>
    </w:p>
    <w:p w14:paraId="6EE54F63">
      <w:pPr>
        <w:spacing w:line="240" w:lineRule="auto"/>
        <w:ind w:firstLine="640"/>
        <w:jc w:val="both"/>
      </w:pPr>
      <w:r>
        <w:rPr>
          <w:rFonts w:ascii="仿宋_GB2312" w:hAnsi="仿宋_GB2312" w:eastAsia="仿宋_GB2312"/>
          <w:b w:val="0"/>
          <w:sz w:val="32"/>
        </w:rPr>
        <w:t>九、《财政拨款“三公”经费支出决算表》</w:t>
      </w:r>
    </w:p>
    <w:p w14:paraId="50D54700">
      <w:pPr>
        <w:spacing w:line="240" w:lineRule="auto"/>
        <w:ind w:firstLine="640"/>
        <w:jc w:val="both"/>
      </w:pPr>
    </w:p>
    <w:p w14:paraId="0CF50E97">
      <w:pPr>
        <w:spacing w:line="240" w:lineRule="auto"/>
        <w:ind w:firstLine="640"/>
        <w:jc w:val="both"/>
      </w:pPr>
    </w:p>
    <w:p w14:paraId="17EACDB9">
      <w:pPr>
        <w:spacing w:line="240" w:lineRule="auto"/>
        <w:ind w:firstLine="640"/>
        <w:jc w:val="both"/>
      </w:pPr>
    </w:p>
    <w:p w14:paraId="7B2E9A11">
      <w:pPr>
        <w:spacing w:line="240" w:lineRule="auto"/>
        <w:ind w:firstLine="640"/>
        <w:jc w:val="both"/>
      </w:pPr>
    </w:p>
    <w:p w14:paraId="773290F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BB914EB-F8BF-44E5-982F-C86E49B025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1AD7B9B-8214-4419-B29F-10E68BA24FFB}"/>
  </w:font>
  <w:font w:name="仿宋_GB2312">
    <w:panose1 w:val="02010609030101010101"/>
    <w:charset w:val="86"/>
    <w:family w:val="modern"/>
    <w:pitch w:val="default"/>
    <w:sig w:usb0="00000001" w:usb1="080E0000" w:usb2="00000000" w:usb3="00000000" w:csb0="00040000" w:csb1="00000000"/>
    <w:embedRegular r:id="rId3" w:fontKey="{876C6CD0-7690-4F0C-9DCC-CBF4D326C441}"/>
  </w:font>
  <w:font w:name="楷体_GB2312">
    <w:panose1 w:val="02010609030101010101"/>
    <w:charset w:val="86"/>
    <w:family w:val="auto"/>
    <w:pitch w:val="default"/>
    <w:sig w:usb0="00000001" w:usb1="080E0000" w:usb2="00000000" w:usb3="00000000" w:csb0="00040000" w:csb1="00000000"/>
    <w:embedRegular r:id="rId4" w:fontKey="{53FA5648-E0DD-4EF5-BDF8-065C1AE6A4E5}"/>
  </w:font>
  <w:font w:name="WPSEMBED27">
    <w:panose1 w:val="02010609030101010101"/>
    <w:charset w:val="86"/>
    <w:family w:val="auto"/>
    <w:pitch w:val="default"/>
    <w:sig w:usb0="00000001" w:usb1="080E0000" w:usb2="00000000" w:usb3="00000000" w:csb0="00040000" w:csb1="00000000"/>
  </w:font>
  <w:font w:name="WPSEMBED28">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133721"/>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837F1D"/>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D813F4"/>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6577</Words>
  <Characters>7478</Characters>
  <Lines>0</Lines>
  <Paragraphs>0</Paragraphs>
  <TotalTime>11</TotalTime>
  <ScaleCrop>false</ScaleCrop>
  <LinksUpToDate>false</LinksUpToDate>
  <CharactersWithSpaces>7486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别忘记小婷_</cp:lastModifiedBy>
  <cp:lastPrinted>2024-07-22T11:58:00Z</cp:lastPrinted>
  <dcterms:modified xsi:type="dcterms:W3CDTF">2025-09-05T02:03:38Z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eyJoZGlkIjoiODcwM2IwZTUyMTZkNzUwMjBkODQ1YzM3NzM1MTVlMjIiLCJ1c2VySWQiOiIxMDY0NzI0MTYxIn0=</vt:lpwstr>
  </property>
</Properties>
</file>