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喀什地区生态环境局麦盖提县分局2024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CAA2F8E">
      <w:r>
        <w:br w:type="page"/>
      </w:r>
    </w:p>
    <w:p w14:paraId="3EF088FB">
      <w:pPr>
        <w:spacing w:line="640" w:lineRule="exact"/>
        <w:jc w:val="center"/>
        <w:outlineLvl w:val="1"/>
      </w:pPr>
      <w:r>
        <w:rPr>
          <w:rFonts w:ascii="黑体" w:hAnsi="黑体" w:eastAsia="黑体"/>
          <w:sz w:val="32"/>
        </w:rPr>
        <w:t>第一部分 单位概况</w:t>
      </w:r>
    </w:p>
    <w:p w14:paraId="43B55764">
      <w:pPr>
        <w:spacing w:line="640" w:lineRule="exact"/>
        <w:ind w:firstLine="640"/>
        <w:jc w:val="both"/>
        <w:outlineLvl w:val="2"/>
      </w:pPr>
      <w:r>
        <w:rPr>
          <w:rFonts w:ascii="黑体" w:hAnsi="黑体" w:eastAsia="黑体"/>
          <w:sz w:val="32"/>
        </w:rPr>
        <w:t>一、主要职能</w:t>
      </w:r>
    </w:p>
    <w:p w14:paraId="353031EF">
      <w:pPr>
        <w:spacing w:line="580" w:lineRule="exact"/>
        <w:ind w:firstLine="640"/>
        <w:jc w:val="both"/>
      </w:pPr>
      <w:r>
        <w:rPr>
          <w:rFonts w:ascii="仿宋_GB2312" w:hAnsi="仿宋_GB2312" w:eastAsia="仿宋_GB2312"/>
          <w:sz w:val="32"/>
        </w:rPr>
        <w:t>(一)负责建立健全生态环境制度。贯彻执行国家和自治区、地区生态环境政策、规划。</w:t>
      </w:r>
    </w:p>
    <w:p w14:paraId="21810997">
      <w:pPr>
        <w:spacing w:line="580" w:lineRule="exact"/>
        <w:ind w:firstLine="640"/>
        <w:jc w:val="both"/>
      </w:pPr>
      <w:r>
        <w:rPr>
          <w:rFonts w:ascii="仿宋_GB2312" w:hAnsi="仿宋_GB2312" w:eastAsia="仿宋_GB2312"/>
          <w:sz w:val="32"/>
        </w:rPr>
        <w:t>(二)负责重大生态环境问题的统筹协调和监督管理。牵头协调环境污染事故和生态破坏事件的调查处理,指导协调辖区范围内突发生态环境事件的应急、预警工作，牵头指导实施生态环境损害赔偿制度，协调解决有关跨区域环境污染纠纷，统筹协调重点</w:t>
      </w:r>
      <w:r>
        <w:rPr>
          <w:rFonts w:hint="eastAsia" w:ascii="仿宋_GB2312" w:hAnsi="仿宋_GB2312" w:eastAsia="仿宋_GB2312"/>
          <w:sz w:val="32"/>
          <w:lang w:eastAsia="zh-CN"/>
        </w:rPr>
        <w:t>区域</w:t>
      </w:r>
      <w:r>
        <w:rPr>
          <w:rFonts w:ascii="仿宋_GB2312" w:hAnsi="仿宋_GB2312" w:eastAsia="仿宋_GB2312"/>
          <w:sz w:val="32"/>
        </w:rPr>
        <w:t>、流域生态环境保护工作。</w:t>
      </w:r>
    </w:p>
    <w:p w14:paraId="4712B650">
      <w:pPr>
        <w:spacing w:line="580" w:lineRule="exact"/>
        <w:ind w:firstLine="640"/>
        <w:jc w:val="both"/>
      </w:pPr>
      <w:r>
        <w:rPr>
          <w:rFonts w:ascii="仿宋_GB2312" w:hAnsi="仿宋_GB2312" w:eastAsia="仿宋_GB2312"/>
          <w:sz w:val="32"/>
        </w:rPr>
        <w:t>(三)负责监督管理自治区减排目标的落实。贯彻落实国家、自治区、地区污染物排放总量控制、排污许可制度并监督实施。拟订县总量控制计划并监督实施，实施生态环境保护目标责任制。</w:t>
      </w:r>
    </w:p>
    <w:p w14:paraId="5677DB2C">
      <w:pPr>
        <w:spacing w:line="580" w:lineRule="exact"/>
        <w:ind w:firstLine="640"/>
        <w:jc w:val="both"/>
      </w:pPr>
      <w:r>
        <w:rPr>
          <w:rFonts w:ascii="仿宋_GB2312" w:hAnsi="仿宋_GB2312" w:eastAsia="仿宋_GB2312"/>
          <w:sz w:val="32"/>
        </w:rPr>
        <w:t>(四)负责环境污染防治的监督管理。根据国家、自治区和地区大气、水、土壤、噪声、光、恶臭、固体废物、化学品、机动车等的污染防治管理制度，拟订县污染防治管理制度并监督实施。会同有关部门监督管理饮用水水源地生态环境保护工作，组织指导城乡生态环境综合整治工作，监督指导农业面源污染治理工作。监督指导区域大气环境保护工作，监督重点区域大气污染联防联控协作机制的实施。</w:t>
      </w:r>
    </w:p>
    <w:p w14:paraId="04470A76">
      <w:pPr>
        <w:spacing w:line="580" w:lineRule="exact"/>
        <w:ind w:firstLine="640"/>
        <w:jc w:val="both"/>
      </w:pPr>
      <w:r>
        <w:rPr>
          <w:rFonts w:ascii="仿宋_GB2312" w:hAnsi="仿宋_GB2312" w:eastAsia="仿宋_GB2312"/>
          <w:sz w:val="32"/>
        </w:rPr>
        <w:t>(五)指导协调和监督生态保护修复工作。组织编制县生态保护规划，监督对生态环境有影响的自然资源开发利用活动、重要生态环境建设和生态破坏恢复工作。组织制定各类自然保护地生态环境监管制度并监督执法。</w:t>
      </w:r>
    </w:p>
    <w:p w14:paraId="233BCC7E">
      <w:pPr>
        <w:spacing w:line="580" w:lineRule="exact"/>
        <w:ind w:firstLine="640"/>
        <w:jc w:val="both"/>
      </w:pPr>
      <w:r>
        <w:rPr>
          <w:rFonts w:ascii="仿宋_GB2312" w:hAnsi="仿宋_GB2312" w:eastAsia="仿宋_GB2312"/>
          <w:sz w:val="32"/>
        </w:rPr>
        <w:t>(六)负责核与辐射安全的监督管理。根据国家、自治区和地区有关核与辐射安全政策、规划、标准参与核事故应急处理，组织实施辐射环境事故应急处理工作，监督管理放射源安全和核技术应用、电磁辐射、伴有放射性矿产资源开发利用中的污染防治。</w:t>
      </w:r>
    </w:p>
    <w:p w14:paraId="2F21AFBD">
      <w:pPr>
        <w:spacing w:line="580" w:lineRule="exact"/>
        <w:ind w:firstLine="640"/>
        <w:jc w:val="both"/>
      </w:pPr>
      <w:r>
        <w:rPr>
          <w:rFonts w:ascii="仿宋_GB2312" w:hAnsi="仿宋_GB2312" w:eastAsia="仿宋_GB2312"/>
          <w:sz w:val="32"/>
        </w:rPr>
        <w:t>(七)负责生态环境准入的监督管理。受地区生态环境局委托按照国家、自治区和地区规定，负责规划环境影响评价、政策环境影响评价审查和项目环境影响评价审批。实施生态环境准入清单。</w:t>
      </w:r>
    </w:p>
    <w:p w14:paraId="35BF9CC9">
      <w:pPr>
        <w:spacing w:line="580" w:lineRule="exact"/>
        <w:ind w:firstLine="640"/>
        <w:jc w:val="both"/>
      </w:pPr>
      <w:r>
        <w:rPr>
          <w:rFonts w:ascii="仿宋_GB2312" w:hAnsi="仿宋_GB2312" w:eastAsia="仿宋_GB2312"/>
          <w:sz w:val="32"/>
        </w:rPr>
        <w:t>(八)负责生态环境监测工作。会同有关部门统一规划县生态环境质量监测站点设置，组织实施生态环境监测、生态环境质量状况调查评价、考核、预警预测。执行生态环境质量公告制度，统一发布县生态环境综合性报告和生态环境信息。</w:t>
      </w:r>
    </w:p>
    <w:p w14:paraId="2C570744">
      <w:pPr>
        <w:spacing w:line="580" w:lineRule="exact"/>
        <w:ind w:firstLine="640"/>
        <w:jc w:val="both"/>
      </w:pPr>
      <w:r>
        <w:rPr>
          <w:rFonts w:ascii="仿宋_GB2312" w:hAnsi="仿宋_GB2312" w:eastAsia="仿宋_GB2312"/>
          <w:sz w:val="32"/>
        </w:rPr>
        <w:t>(九)负责应对气候变化工作。组织协调实施应对气候变化及温室气体减排的规划和政策措施。协调组织应对气候变化对外合作和能力建设。</w:t>
      </w:r>
    </w:p>
    <w:p w14:paraId="005DADB4">
      <w:pPr>
        <w:spacing w:line="580" w:lineRule="exact"/>
        <w:ind w:firstLine="640"/>
        <w:jc w:val="both"/>
      </w:pPr>
      <w:r>
        <w:rPr>
          <w:rFonts w:ascii="仿宋_GB2312" w:hAnsi="仿宋_GB2312" w:eastAsia="仿宋_GB2312"/>
          <w:sz w:val="32"/>
        </w:rPr>
        <w:t>(十)负责生态环境监察工作。建立健全</w:t>
      </w:r>
      <w:r>
        <w:rPr>
          <w:rFonts w:hint="eastAsia" w:ascii="仿宋_GB2312" w:hAnsi="仿宋_GB2312" w:eastAsia="仿宋_GB2312"/>
          <w:sz w:val="32"/>
          <w:lang w:eastAsia="zh-CN"/>
        </w:rPr>
        <w:t>生态环境保护督察</w:t>
      </w:r>
      <w:r>
        <w:rPr>
          <w:rFonts w:ascii="仿宋_GB2312" w:hAnsi="仿宋_GB2312" w:eastAsia="仿宋_GB2312"/>
          <w:sz w:val="32"/>
        </w:rPr>
        <w:t>制度，根据授权对贯彻落实中央生态环境保护决策部署、自治区和地区工作要求情况进行监察问责。组织协调生态环境保护督察工作。</w:t>
      </w:r>
    </w:p>
    <w:p w14:paraId="52BBF07E">
      <w:pPr>
        <w:spacing w:line="580" w:lineRule="exact"/>
        <w:ind w:firstLine="640"/>
        <w:jc w:val="both"/>
      </w:pPr>
      <w:r>
        <w:rPr>
          <w:rFonts w:ascii="仿宋_GB2312" w:hAnsi="仿宋_GB2312" w:eastAsia="仿宋_GB2312"/>
          <w:sz w:val="32"/>
        </w:rPr>
        <w:t>(十一)统一负责生态环境监督执法。组织开展生态环境保护执法检查活动，查处生态环境违法案件。负责环境信访投诉案件的办理。指导生态环境保护综合执法队伍建设和业务工作。</w:t>
      </w:r>
    </w:p>
    <w:p w14:paraId="1E44A940">
      <w:pPr>
        <w:spacing w:line="580" w:lineRule="exact"/>
        <w:ind w:firstLine="640"/>
        <w:jc w:val="both"/>
      </w:pPr>
      <w:r>
        <w:rPr>
          <w:rFonts w:ascii="仿宋_GB2312" w:hAnsi="仿宋_GB2312" w:eastAsia="仿宋_GB2312"/>
          <w:sz w:val="32"/>
        </w:rPr>
        <w:t>(十二)组织指导和协调生态环境保护宣传教育工作，制定并组织实施生态环境保护宣传教育规划,推动社会组织和公众参与生态环境保护。</w:t>
      </w:r>
    </w:p>
    <w:p w14:paraId="050AF6B2">
      <w:pPr>
        <w:spacing w:line="580" w:lineRule="exact"/>
        <w:ind w:firstLine="640"/>
        <w:jc w:val="both"/>
      </w:pPr>
      <w:r>
        <w:rPr>
          <w:rFonts w:ascii="仿宋_GB2312" w:hAnsi="仿宋_GB2312" w:eastAsia="仿宋_GB2312"/>
          <w:sz w:val="32"/>
        </w:rPr>
        <w:t>(十三)完成县委、县政府及地区生态环境局交办的其他工作任务。</w:t>
      </w:r>
    </w:p>
    <w:p w14:paraId="10CECE48">
      <w:pPr>
        <w:spacing w:line="640" w:lineRule="exact"/>
        <w:ind w:firstLine="640"/>
        <w:jc w:val="both"/>
        <w:outlineLvl w:val="2"/>
      </w:pPr>
      <w:r>
        <w:rPr>
          <w:rFonts w:ascii="黑体" w:hAnsi="黑体" w:eastAsia="黑体"/>
          <w:sz w:val="32"/>
        </w:rPr>
        <w:t>二、机构设置及人员情况</w:t>
      </w:r>
    </w:p>
    <w:p w14:paraId="2EF2AE99">
      <w:pPr>
        <w:spacing w:line="580" w:lineRule="exact"/>
        <w:ind w:firstLine="640"/>
        <w:jc w:val="both"/>
      </w:pPr>
      <w:r>
        <w:rPr>
          <w:rFonts w:ascii="仿宋_GB2312" w:hAnsi="仿宋_GB2312" w:eastAsia="仿宋_GB2312"/>
          <w:sz w:val="32"/>
        </w:rPr>
        <w:t>喀什地区生态环境局麦盖提县分局2024年度，实有人数18人，其中：在职人员18人，减少1人；离休人员0人，增加0人；退休人员0人,减少4人。</w:t>
      </w:r>
    </w:p>
    <w:p w14:paraId="4BFC86E6">
      <w:pPr>
        <w:spacing w:line="580" w:lineRule="exact"/>
        <w:ind w:firstLine="640"/>
        <w:jc w:val="both"/>
      </w:pPr>
      <w:r>
        <w:rPr>
          <w:rFonts w:ascii="仿宋_GB2312" w:hAnsi="仿宋_GB2312" w:eastAsia="仿宋_GB2312"/>
          <w:sz w:val="32"/>
        </w:rPr>
        <w:t>喀什地区生态环境局麦盖提县分局无下属预算单位，下设3个科室，分别是：行政办公室、生态环境保护执法大队、环境监测站。</w:t>
      </w:r>
    </w:p>
    <w:p w14:paraId="68DC084F">
      <w:r>
        <w:br w:type="page"/>
      </w:r>
    </w:p>
    <w:p w14:paraId="1DBA19ED">
      <w:pPr>
        <w:spacing w:line="240" w:lineRule="auto"/>
        <w:jc w:val="center"/>
        <w:outlineLvl w:val="1"/>
      </w:pPr>
      <w:r>
        <w:rPr>
          <w:rFonts w:ascii="黑体" w:hAnsi="黑体" w:eastAsia="黑体"/>
          <w:sz w:val="32"/>
        </w:rPr>
        <w:t>第二部分 部门决算情况说明</w:t>
      </w:r>
    </w:p>
    <w:p w14:paraId="0F185CDB">
      <w:pPr>
        <w:spacing w:line="640" w:lineRule="exact"/>
        <w:ind w:firstLine="640"/>
        <w:jc w:val="both"/>
        <w:outlineLvl w:val="2"/>
      </w:pPr>
      <w:r>
        <w:rPr>
          <w:rFonts w:ascii="黑体" w:hAnsi="黑体" w:eastAsia="黑体"/>
          <w:sz w:val="32"/>
        </w:rPr>
        <w:t>一、收入支出决算总体情况说明</w:t>
      </w:r>
    </w:p>
    <w:p w14:paraId="48AF29CE">
      <w:pPr>
        <w:spacing w:line="580" w:lineRule="exact"/>
        <w:ind w:firstLine="640"/>
        <w:jc w:val="both"/>
      </w:pPr>
      <w:r>
        <w:rPr>
          <w:rFonts w:ascii="仿宋_GB2312" w:hAnsi="仿宋_GB2312" w:eastAsia="仿宋_GB2312"/>
          <w:b/>
          <w:sz w:val="32"/>
        </w:rPr>
        <w:t>2024年度收入总计314.84万元，</w:t>
      </w:r>
      <w:r>
        <w:rPr>
          <w:rFonts w:ascii="仿宋_GB2312" w:hAnsi="仿宋_GB2312" w:eastAsia="仿宋_GB2312"/>
          <w:b w:val="0"/>
          <w:sz w:val="32"/>
        </w:rPr>
        <w:t>其中：本年收入合计314.84万元，使用非财政拨款结余（含专用结余）0.00万元，年初结转和结余0.00万元。</w:t>
      </w:r>
    </w:p>
    <w:p w14:paraId="0FF6FA21">
      <w:pPr>
        <w:spacing w:line="580" w:lineRule="exact"/>
        <w:ind w:firstLine="640"/>
        <w:jc w:val="both"/>
      </w:pPr>
      <w:r>
        <w:rPr>
          <w:rFonts w:ascii="仿宋_GB2312" w:hAnsi="仿宋_GB2312" w:eastAsia="仿宋_GB2312"/>
          <w:b/>
          <w:sz w:val="32"/>
        </w:rPr>
        <w:t>2024年度支出总计314.84万元，</w:t>
      </w:r>
      <w:r>
        <w:rPr>
          <w:rFonts w:ascii="仿宋_GB2312" w:hAnsi="仿宋_GB2312" w:eastAsia="仿宋_GB2312"/>
          <w:b w:val="0"/>
          <w:sz w:val="32"/>
        </w:rPr>
        <w:t>其中：本年支出合计314.84万元，结余分配0.00万元，年末结转和结余0.00万元。</w:t>
      </w:r>
    </w:p>
    <w:p w14:paraId="2FA41A50">
      <w:pPr>
        <w:spacing w:line="580" w:lineRule="exact"/>
        <w:ind w:firstLine="640"/>
        <w:jc w:val="both"/>
      </w:pPr>
      <w:r>
        <w:rPr>
          <w:rFonts w:ascii="仿宋_GB2312" w:hAnsi="仿宋_GB2312" w:eastAsia="仿宋_GB2312"/>
          <w:b w:val="0"/>
          <w:sz w:val="32"/>
        </w:rPr>
        <w:t>收入支出总体与上年相比，减少226.51万元，下降41.84%，主要原因是：1.本年在职人员减少（调出外县），相关人员经费较上年减少。2.机构改革原因，2023年需要</w:t>
      </w:r>
      <w:r>
        <w:rPr>
          <w:rFonts w:hint="eastAsia" w:ascii="仿宋_GB2312" w:hAnsi="仿宋_GB2312" w:eastAsia="仿宋_GB2312"/>
          <w:b w:val="0"/>
          <w:sz w:val="32"/>
          <w:lang w:eastAsia="zh-CN"/>
        </w:rPr>
        <w:t>对在职人员</w:t>
      </w:r>
      <w:r>
        <w:rPr>
          <w:rFonts w:ascii="仿宋_GB2312" w:hAnsi="仿宋_GB2312" w:eastAsia="仿宋_GB2312"/>
          <w:b w:val="0"/>
          <w:sz w:val="32"/>
        </w:rPr>
        <w:t>职业年金做</w:t>
      </w:r>
      <w:r>
        <w:rPr>
          <w:rFonts w:hint="eastAsia" w:ascii="仿宋_GB2312" w:hAnsi="仿宋_GB2312" w:eastAsia="仿宋_GB2312"/>
          <w:b w:val="0"/>
          <w:sz w:val="32"/>
          <w:lang w:eastAsia="zh-CN"/>
        </w:rPr>
        <w:t>实</w:t>
      </w:r>
      <w:r>
        <w:rPr>
          <w:rFonts w:ascii="仿宋_GB2312" w:hAnsi="仿宋_GB2312" w:eastAsia="仿宋_GB2312"/>
          <w:b w:val="0"/>
          <w:sz w:val="32"/>
        </w:rPr>
        <w:t>，2024年减少这部分资金。3.本年减少2022年</w:t>
      </w:r>
      <w:r>
        <w:rPr>
          <w:rFonts w:hint="eastAsia" w:ascii="仿宋_GB2312" w:hAnsi="仿宋_GB2312" w:eastAsia="仿宋_GB2312"/>
          <w:b w:val="0"/>
          <w:sz w:val="32"/>
          <w:lang w:eastAsia="zh-CN"/>
        </w:rPr>
        <w:t>“十四五”发展规划</w:t>
      </w:r>
      <w:r>
        <w:rPr>
          <w:rFonts w:ascii="仿宋_GB2312" w:hAnsi="仿宋_GB2312" w:eastAsia="仿宋_GB2312"/>
          <w:b w:val="0"/>
          <w:sz w:val="32"/>
        </w:rPr>
        <w:t>编制项目费、农村生态环境、“千吨万人”饮用水水源地及农田灌溉水水质监测项目费、中央农村环境整治项目</w:t>
      </w:r>
      <w:r>
        <w:rPr>
          <w:rFonts w:hint="eastAsia" w:ascii="仿宋_GB2312" w:hAnsi="仿宋_GB2312" w:eastAsia="仿宋_GB2312"/>
          <w:b w:val="0"/>
          <w:sz w:val="32"/>
          <w:lang w:val="en-US" w:eastAsia="zh-CN"/>
        </w:rPr>
        <w:t>经</w:t>
      </w:r>
      <w:r>
        <w:rPr>
          <w:rFonts w:ascii="仿宋_GB2312" w:hAnsi="仿宋_GB2312" w:eastAsia="仿宋_GB2312"/>
          <w:b w:val="0"/>
          <w:sz w:val="32"/>
        </w:rPr>
        <w:t>费。</w:t>
      </w:r>
    </w:p>
    <w:p w14:paraId="41C86BB5">
      <w:pPr>
        <w:spacing w:line="640" w:lineRule="exact"/>
        <w:ind w:firstLine="640"/>
        <w:jc w:val="both"/>
        <w:outlineLvl w:val="2"/>
      </w:pPr>
      <w:r>
        <w:rPr>
          <w:rFonts w:ascii="黑体" w:hAnsi="黑体" w:eastAsia="黑体"/>
          <w:sz w:val="32"/>
        </w:rPr>
        <w:t>二、收入决算情况说明</w:t>
      </w:r>
    </w:p>
    <w:p w14:paraId="50CFDA5A">
      <w:pPr>
        <w:spacing w:line="580" w:lineRule="exact"/>
        <w:ind w:firstLine="640"/>
        <w:jc w:val="both"/>
      </w:pPr>
      <w:r>
        <w:rPr>
          <w:rFonts w:ascii="仿宋_GB2312" w:hAnsi="仿宋_GB2312" w:eastAsia="仿宋_GB2312"/>
          <w:b/>
          <w:sz w:val="32"/>
        </w:rPr>
        <w:t>本年收入314.84万元，</w:t>
      </w:r>
      <w:r>
        <w:rPr>
          <w:rFonts w:ascii="仿宋_GB2312" w:hAnsi="仿宋_GB2312" w:eastAsia="仿宋_GB2312"/>
          <w:b w:val="0"/>
          <w:sz w:val="32"/>
        </w:rPr>
        <w:t>其中：财政拨款收入314.84万元，占100.00%；上级补助收入0.00万元，占0.00%；事业收入0.00万元，占0.00%；经营收入0.00万元，占0.00%；附属单位上缴收入0.00万元，占0.00%；其他收入0.00万元，占0.00%。</w:t>
      </w:r>
    </w:p>
    <w:p w14:paraId="3EBA80FF">
      <w:pPr>
        <w:spacing w:line="640" w:lineRule="exact"/>
        <w:ind w:firstLine="640"/>
        <w:jc w:val="both"/>
        <w:outlineLvl w:val="2"/>
      </w:pPr>
      <w:r>
        <w:rPr>
          <w:rFonts w:ascii="黑体" w:hAnsi="黑体" w:eastAsia="黑体"/>
          <w:sz w:val="32"/>
        </w:rPr>
        <w:t>三、支出决算情况说明</w:t>
      </w:r>
    </w:p>
    <w:p w14:paraId="49AF9CF7">
      <w:pPr>
        <w:spacing w:line="580" w:lineRule="exact"/>
        <w:ind w:firstLine="640"/>
        <w:jc w:val="both"/>
      </w:pPr>
      <w:r>
        <w:rPr>
          <w:rFonts w:ascii="仿宋_GB2312" w:hAnsi="仿宋_GB2312" w:eastAsia="仿宋_GB2312"/>
          <w:b/>
          <w:sz w:val="32"/>
        </w:rPr>
        <w:t>本年支出314.84万元，</w:t>
      </w:r>
      <w:r>
        <w:rPr>
          <w:rFonts w:ascii="仿宋_GB2312" w:hAnsi="仿宋_GB2312" w:eastAsia="仿宋_GB2312"/>
          <w:b w:val="0"/>
          <w:sz w:val="32"/>
        </w:rPr>
        <w:t>其中：基本支出314.84万元，占100.00%；项目支出0.00万元，占0.00%；上缴上级支出0.00万元，占0.00%；经营支出0.00万元，占0.00%；对附属单位补助支出0.00万元，占0.00%。</w:t>
      </w:r>
    </w:p>
    <w:p w14:paraId="73A25996">
      <w:pPr>
        <w:spacing w:line="640" w:lineRule="exact"/>
        <w:ind w:firstLine="640"/>
        <w:jc w:val="both"/>
        <w:outlineLvl w:val="2"/>
      </w:pPr>
      <w:r>
        <w:rPr>
          <w:rFonts w:ascii="黑体" w:hAnsi="黑体" w:eastAsia="黑体"/>
          <w:sz w:val="32"/>
        </w:rPr>
        <w:t>四、财政拨款收入支出决算总体情况说明</w:t>
      </w:r>
    </w:p>
    <w:p w14:paraId="33388F67">
      <w:pPr>
        <w:spacing w:line="580" w:lineRule="exact"/>
        <w:ind w:firstLine="640"/>
        <w:jc w:val="both"/>
      </w:pPr>
      <w:r>
        <w:rPr>
          <w:rFonts w:ascii="仿宋_GB2312" w:hAnsi="仿宋_GB2312" w:eastAsia="仿宋_GB2312"/>
          <w:b/>
          <w:sz w:val="32"/>
        </w:rPr>
        <w:t>2024年度财政拨款收入总计314.84万元，</w:t>
      </w:r>
      <w:r>
        <w:rPr>
          <w:rFonts w:ascii="仿宋_GB2312" w:hAnsi="仿宋_GB2312" w:eastAsia="仿宋_GB2312"/>
          <w:b w:val="0"/>
          <w:sz w:val="32"/>
        </w:rPr>
        <w:t>其中：年初财政拨款结转和结余0.00万元，本年财政拨款收入314.84万元。</w:t>
      </w:r>
      <w:r>
        <w:rPr>
          <w:rFonts w:ascii="仿宋_GB2312" w:hAnsi="仿宋_GB2312" w:eastAsia="仿宋_GB2312"/>
          <w:b/>
          <w:sz w:val="32"/>
        </w:rPr>
        <w:t>财政拨款支出总计314.84万元，</w:t>
      </w:r>
      <w:r>
        <w:rPr>
          <w:rFonts w:ascii="仿宋_GB2312" w:hAnsi="仿宋_GB2312" w:eastAsia="仿宋_GB2312"/>
          <w:b w:val="0"/>
          <w:sz w:val="32"/>
        </w:rPr>
        <w:t>其中：年末财政拨款结转和结余0.00万元，本年财政拨款支出314.84万元。</w:t>
      </w:r>
    </w:p>
    <w:p w14:paraId="5C2093A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减少226.51万元，下降41.84%，主要原因是：1.本年在职人员减少（调出外县），相关人员经费较上年减少。2.</w:t>
      </w:r>
      <w:r>
        <w:rPr>
          <w:rFonts w:hint="eastAsia" w:ascii="仿宋_GB2312" w:hAnsi="仿宋_GB2312" w:eastAsia="仿宋_GB2312"/>
          <w:b w:val="0"/>
          <w:sz w:val="32"/>
          <w:lang w:eastAsia="zh-CN"/>
        </w:rPr>
        <w:t>因机构</w:t>
      </w:r>
      <w:r>
        <w:rPr>
          <w:rFonts w:ascii="仿宋_GB2312" w:hAnsi="仿宋_GB2312" w:eastAsia="仿宋_GB2312"/>
          <w:b w:val="0"/>
          <w:sz w:val="32"/>
        </w:rPr>
        <w:t>改革原因，2023年</w:t>
      </w:r>
      <w:r>
        <w:rPr>
          <w:rFonts w:hint="eastAsia" w:ascii="仿宋_GB2312" w:hAnsi="仿宋_GB2312" w:eastAsia="仿宋_GB2312"/>
          <w:b w:val="0"/>
          <w:sz w:val="32"/>
          <w:lang w:eastAsia="zh-CN"/>
        </w:rPr>
        <w:t>需对</w:t>
      </w:r>
      <w:r>
        <w:rPr>
          <w:rFonts w:ascii="仿宋_GB2312" w:hAnsi="仿宋_GB2312" w:eastAsia="仿宋_GB2312"/>
          <w:b w:val="0"/>
          <w:sz w:val="32"/>
        </w:rPr>
        <w:t>在职人员职业年金做</w:t>
      </w:r>
      <w:r>
        <w:rPr>
          <w:rFonts w:hint="eastAsia" w:ascii="仿宋_GB2312" w:hAnsi="仿宋_GB2312" w:eastAsia="仿宋_GB2312"/>
          <w:b w:val="0"/>
          <w:sz w:val="32"/>
          <w:lang w:eastAsia="zh-CN"/>
        </w:rPr>
        <w:t>实</w:t>
      </w:r>
      <w:r>
        <w:rPr>
          <w:rFonts w:ascii="仿宋_GB2312" w:hAnsi="仿宋_GB2312" w:eastAsia="仿宋_GB2312"/>
          <w:b w:val="0"/>
          <w:sz w:val="32"/>
        </w:rPr>
        <w:t>，2024年减少这部分资金。3.本年减少2022年</w:t>
      </w:r>
      <w:r>
        <w:rPr>
          <w:rFonts w:hint="eastAsia" w:ascii="仿宋_GB2312" w:hAnsi="仿宋_GB2312" w:eastAsia="仿宋_GB2312"/>
          <w:b w:val="0"/>
          <w:sz w:val="32"/>
          <w:lang w:eastAsia="zh-CN"/>
        </w:rPr>
        <w:t>“十四五”发展规划</w:t>
      </w:r>
      <w:r>
        <w:rPr>
          <w:rFonts w:ascii="仿宋_GB2312" w:hAnsi="仿宋_GB2312" w:eastAsia="仿宋_GB2312"/>
          <w:b w:val="0"/>
          <w:sz w:val="32"/>
        </w:rPr>
        <w:t>编制项目费、农村生态环境、“千吨万人”饮用水水源地及农田灌溉水水质监测项目费、中央农村环境整治项目</w:t>
      </w:r>
      <w:r>
        <w:rPr>
          <w:rFonts w:hint="eastAsia" w:ascii="仿宋_GB2312" w:hAnsi="仿宋_GB2312" w:eastAsia="仿宋_GB2312"/>
          <w:b w:val="0"/>
          <w:sz w:val="32"/>
          <w:lang w:val="en-US" w:eastAsia="zh-CN"/>
        </w:rPr>
        <w:t>经</w:t>
      </w:r>
      <w:r>
        <w:rPr>
          <w:rFonts w:ascii="仿宋_GB2312" w:hAnsi="仿宋_GB2312" w:eastAsia="仿宋_GB2312"/>
          <w:b w:val="0"/>
          <w:sz w:val="32"/>
        </w:rPr>
        <w:t>费。</w:t>
      </w:r>
      <w:r>
        <w:rPr>
          <w:rFonts w:ascii="仿宋_GB2312" w:hAnsi="仿宋_GB2312" w:eastAsia="仿宋_GB2312"/>
          <w:b/>
          <w:sz w:val="32"/>
        </w:rPr>
        <w:t>与年初预算相比，</w:t>
      </w:r>
      <w:r>
        <w:rPr>
          <w:rFonts w:ascii="仿宋_GB2312" w:hAnsi="仿宋_GB2312" w:eastAsia="仿宋_GB2312"/>
          <w:b w:val="0"/>
          <w:sz w:val="32"/>
        </w:rPr>
        <w:t>年初预算数348.21万元，决算数314.84万元，预决算差异率-9.58%，主要原因是：本年在职人员减少，年中调减人员经费；年中调减办公楼暖气费，导致预决算存在差异。</w:t>
      </w:r>
    </w:p>
    <w:p w14:paraId="4EEDC96B">
      <w:pPr>
        <w:spacing w:line="640" w:lineRule="exact"/>
        <w:ind w:firstLine="640"/>
        <w:jc w:val="both"/>
        <w:outlineLvl w:val="2"/>
      </w:pPr>
      <w:r>
        <w:rPr>
          <w:rFonts w:ascii="黑体" w:hAnsi="黑体" w:eastAsia="黑体"/>
          <w:sz w:val="32"/>
        </w:rPr>
        <w:t>五、一般公共预算财政拨款支出决算情况说明</w:t>
      </w:r>
    </w:p>
    <w:p w14:paraId="26514132">
      <w:pPr>
        <w:spacing w:line="640" w:lineRule="exact"/>
        <w:ind w:firstLine="640"/>
        <w:jc w:val="both"/>
        <w:outlineLvl w:val="3"/>
      </w:pPr>
      <w:r>
        <w:rPr>
          <w:rFonts w:ascii="楷体_GB2312" w:hAnsi="楷体_GB2312" w:eastAsia="楷体_GB2312"/>
          <w:b/>
          <w:sz w:val="32"/>
        </w:rPr>
        <w:t>（一）一般公共预算财政拨款支出决算总体情况</w:t>
      </w:r>
    </w:p>
    <w:p w14:paraId="32B0B4CA">
      <w:pPr>
        <w:spacing w:line="580" w:lineRule="exact"/>
        <w:ind w:firstLine="640"/>
        <w:jc w:val="both"/>
      </w:pPr>
      <w:r>
        <w:rPr>
          <w:rFonts w:ascii="仿宋_GB2312" w:hAnsi="仿宋_GB2312" w:eastAsia="仿宋_GB2312"/>
          <w:b/>
          <w:sz w:val="32"/>
        </w:rPr>
        <w:t>2024年度一般公共预算财政拨款支出314.84万元，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减少226.51万元，下降41.84%，主要原因是：1.本年在职人员减少（调出外县），相关人员经费较上年减少。2.机构改革原因，2023年需要在职人员职业年金做记实，2024年减少这部分资金。3.本年减少2022年</w:t>
      </w:r>
      <w:r>
        <w:rPr>
          <w:rFonts w:hint="eastAsia" w:ascii="仿宋_GB2312" w:hAnsi="仿宋_GB2312" w:eastAsia="仿宋_GB2312"/>
          <w:b w:val="0"/>
          <w:sz w:val="32"/>
          <w:lang w:eastAsia="zh-CN"/>
        </w:rPr>
        <w:t>“十四五”发展规划</w:t>
      </w:r>
      <w:r>
        <w:rPr>
          <w:rFonts w:ascii="仿宋_GB2312" w:hAnsi="仿宋_GB2312" w:eastAsia="仿宋_GB2312"/>
          <w:b w:val="0"/>
          <w:sz w:val="32"/>
        </w:rPr>
        <w:t>编制项目费、农村生态环境、“千吨万人”饮用水水源地及农田灌溉水水质监测项目费、中央农村环境整治项目</w:t>
      </w:r>
      <w:r>
        <w:rPr>
          <w:rFonts w:hint="eastAsia" w:ascii="仿宋_GB2312" w:hAnsi="仿宋_GB2312" w:eastAsia="仿宋_GB2312"/>
          <w:b w:val="0"/>
          <w:sz w:val="32"/>
          <w:lang w:val="en-US" w:eastAsia="zh-CN"/>
        </w:rPr>
        <w:t>经</w:t>
      </w:r>
      <w:r>
        <w:rPr>
          <w:rFonts w:ascii="仿宋_GB2312" w:hAnsi="仿宋_GB2312" w:eastAsia="仿宋_GB2312"/>
          <w:b w:val="0"/>
          <w:sz w:val="32"/>
        </w:rPr>
        <w:t>费。</w:t>
      </w:r>
      <w:r>
        <w:rPr>
          <w:rFonts w:ascii="仿宋_GB2312" w:hAnsi="仿宋_GB2312" w:eastAsia="仿宋_GB2312"/>
          <w:b/>
          <w:sz w:val="32"/>
        </w:rPr>
        <w:t>与年初预算相比,</w:t>
      </w:r>
      <w:r>
        <w:rPr>
          <w:rFonts w:ascii="仿宋_GB2312" w:hAnsi="仿宋_GB2312" w:eastAsia="仿宋_GB2312"/>
          <w:b w:val="0"/>
          <w:sz w:val="32"/>
        </w:rPr>
        <w:t>年初预算数348.21万元，决算数314.84万元，预决算差异率-9.58%，主要原因是：本年在职人员减少，年中调减人员经费；年中调减办公楼暖气费，导致预决算存在差异。</w:t>
      </w:r>
    </w:p>
    <w:p w14:paraId="0F26AEBA">
      <w:pPr>
        <w:spacing w:line="640" w:lineRule="exact"/>
        <w:ind w:firstLine="640"/>
        <w:jc w:val="both"/>
        <w:outlineLvl w:val="3"/>
      </w:pPr>
      <w:r>
        <w:rPr>
          <w:rFonts w:ascii="楷体_GB2312" w:hAnsi="楷体_GB2312" w:eastAsia="楷体_GB2312"/>
          <w:b/>
          <w:sz w:val="32"/>
        </w:rPr>
        <w:t>（二）一般公共预算财政拨款支出决算结构情况</w:t>
      </w:r>
    </w:p>
    <w:p w14:paraId="1C172009">
      <w:pPr>
        <w:spacing w:line="580" w:lineRule="exact"/>
        <w:ind w:firstLine="640"/>
        <w:jc w:val="both"/>
      </w:pPr>
      <w:r>
        <w:rPr>
          <w:rFonts w:ascii="仿宋_GB2312" w:hAnsi="仿宋_GB2312" w:eastAsia="仿宋_GB2312"/>
          <w:b w:val="0"/>
          <w:sz w:val="32"/>
        </w:rPr>
        <w:t>1.社会保障和就业支出(类)31.33万元,占9.95%。</w:t>
      </w:r>
    </w:p>
    <w:p w14:paraId="0E5E33F6">
      <w:pPr>
        <w:spacing w:line="580" w:lineRule="exact"/>
        <w:ind w:firstLine="640"/>
        <w:jc w:val="both"/>
      </w:pPr>
      <w:r>
        <w:rPr>
          <w:rFonts w:ascii="仿宋_GB2312" w:hAnsi="仿宋_GB2312" w:eastAsia="仿宋_GB2312"/>
          <w:b w:val="0"/>
          <w:sz w:val="32"/>
        </w:rPr>
        <w:t>2.卫生健康支出(类)16.27万元,占5.17%。</w:t>
      </w:r>
    </w:p>
    <w:p w14:paraId="3C238A14">
      <w:pPr>
        <w:spacing w:line="580" w:lineRule="exact"/>
        <w:ind w:firstLine="640"/>
        <w:jc w:val="both"/>
      </w:pPr>
      <w:r>
        <w:rPr>
          <w:rFonts w:ascii="仿宋_GB2312" w:hAnsi="仿宋_GB2312" w:eastAsia="仿宋_GB2312"/>
          <w:b w:val="0"/>
          <w:sz w:val="32"/>
        </w:rPr>
        <w:t>3.节能环保支出(类)242.39万元,占76.99%。</w:t>
      </w:r>
    </w:p>
    <w:p w14:paraId="00E6D2A3">
      <w:pPr>
        <w:spacing w:line="580" w:lineRule="exact"/>
        <w:ind w:firstLine="640"/>
        <w:jc w:val="both"/>
      </w:pPr>
      <w:r>
        <w:rPr>
          <w:rFonts w:ascii="仿宋_GB2312" w:hAnsi="仿宋_GB2312" w:eastAsia="仿宋_GB2312"/>
          <w:b w:val="0"/>
          <w:sz w:val="32"/>
        </w:rPr>
        <w:t>4.住房保障支出(类)24.84万元,占7.89%。</w:t>
      </w:r>
    </w:p>
    <w:p w14:paraId="25207EB8">
      <w:pPr>
        <w:spacing w:line="640" w:lineRule="exact"/>
        <w:ind w:firstLine="640"/>
        <w:jc w:val="both"/>
        <w:outlineLvl w:val="3"/>
      </w:pPr>
      <w:r>
        <w:rPr>
          <w:rFonts w:ascii="楷体_GB2312" w:hAnsi="楷体_GB2312" w:eastAsia="楷体_GB2312"/>
          <w:b/>
          <w:sz w:val="32"/>
        </w:rPr>
        <w:t>（三）一般公共预算财政拨款支出决算具体情况</w:t>
      </w:r>
    </w:p>
    <w:p w14:paraId="27AA107B">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1.社会保障和就业支出(类)行政事业单位养老支出(款)行政单位离退休(项):支出决算数为0.00万元，比上年决算减少4.49万元，下降100.00%,主要原因是：</w:t>
      </w:r>
      <w:r>
        <w:rPr>
          <w:rFonts w:hint="eastAsia" w:ascii="仿宋_GB2312" w:hAnsi="仿宋_GB2312" w:eastAsia="仿宋_GB2312"/>
          <w:b w:val="0"/>
          <w:sz w:val="32"/>
          <w:lang w:eastAsia="zh-CN"/>
        </w:rPr>
        <w:t>因机构</w:t>
      </w:r>
      <w:r>
        <w:rPr>
          <w:rFonts w:ascii="仿宋_GB2312" w:hAnsi="仿宋_GB2312" w:eastAsia="仿宋_GB2312"/>
          <w:b w:val="0"/>
          <w:sz w:val="32"/>
        </w:rPr>
        <w:t>改革原因，本年开始行政单位离退休经费不再由本单位支出，</w:t>
      </w:r>
      <w:r>
        <w:rPr>
          <w:rFonts w:hint="eastAsia" w:ascii="仿宋_GB2312" w:hAnsi="仿宋_GB2312" w:eastAsia="仿宋_GB2312"/>
          <w:b w:val="0"/>
          <w:sz w:val="32"/>
          <w:lang w:eastAsia="zh-CN"/>
        </w:rPr>
        <w:t>改由</w:t>
      </w:r>
      <w:r>
        <w:rPr>
          <w:rFonts w:ascii="仿宋_GB2312" w:hAnsi="仿宋_GB2312" w:eastAsia="仿宋_GB2312"/>
          <w:b w:val="0"/>
          <w:sz w:val="32"/>
        </w:rPr>
        <w:t>麦盖提县商工局支付，2024年后无退休人员，导致行政单位离退休经费较上年减少。</w:t>
      </w:r>
    </w:p>
    <w:p w14:paraId="65FE718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31.33万元，比上年决算增加1.00万元，增长3.30%,主要原因是：本年在职人员工资基数调增，养老缴费基数上涨，相应支出增加。</w:t>
      </w:r>
    </w:p>
    <w:p w14:paraId="542BB91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3.社会保障和就业支出(类)行政事业单位养老支出(款)机关事业单位职业年金缴费支出(项):支出决算数为0.00万元，比上年决算减少105.00万元，下降100.00%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eastAsia="zh-CN"/>
        </w:rPr>
        <w:t>因机构</w:t>
      </w:r>
      <w:r>
        <w:rPr>
          <w:rFonts w:ascii="仿宋_GB2312" w:hAnsi="仿宋_GB2312" w:eastAsia="仿宋_GB2312"/>
          <w:b w:val="0"/>
          <w:sz w:val="32"/>
        </w:rPr>
        <w:t>改革原因，2023年</w:t>
      </w:r>
      <w:r>
        <w:rPr>
          <w:rFonts w:hint="eastAsia" w:ascii="仿宋_GB2312" w:hAnsi="仿宋_GB2312" w:eastAsia="仿宋_GB2312"/>
          <w:b w:val="0"/>
          <w:sz w:val="32"/>
          <w:lang w:eastAsia="zh-CN"/>
        </w:rPr>
        <w:t>需对</w:t>
      </w:r>
      <w:r>
        <w:rPr>
          <w:rFonts w:ascii="仿宋_GB2312" w:hAnsi="仿宋_GB2312" w:eastAsia="仿宋_GB2312"/>
          <w:b w:val="0"/>
          <w:sz w:val="32"/>
        </w:rPr>
        <w:t>在职人员职业年金做</w:t>
      </w:r>
      <w:r>
        <w:rPr>
          <w:rFonts w:hint="eastAsia" w:ascii="仿宋_GB2312" w:hAnsi="仿宋_GB2312" w:eastAsia="仿宋_GB2312"/>
          <w:b w:val="0"/>
          <w:sz w:val="32"/>
          <w:lang w:eastAsia="zh-CN"/>
        </w:rPr>
        <w:t>实</w:t>
      </w:r>
      <w:r>
        <w:rPr>
          <w:rFonts w:ascii="仿宋_GB2312" w:hAnsi="仿宋_GB2312" w:eastAsia="仿宋_GB2312"/>
          <w:b w:val="0"/>
          <w:sz w:val="32"/>
        </w:rPr>
        <w:t>，2024年减少</w:t>
      </w:r>
      <w:r>
        <w:rPr>
          <w:rFonts w:hint="eastAsia" w:ascii="仿宋_GB2312" w:hAnsi="仿宋_GB2312" w:eastAsia="仿宋_GB2312"/>
          <w:b w:val="0"/>
          <w:sz w:val="32"/>
          <w:lang w:eastAsia="zh-CN"/>
        </w:rPr>
        <w:t>这部分</w:t>
      </w:r>
      <w:r>
        <w:rPr>
          <w:rFonts w:ascii="仿宋_GB2312" w:hAnsi="仿宋_GB2312" w:eastAsia="仿宋_GB2312"/>
          <w:b w:val="0"/>
          <w:sz w:val="32"/>
        </w:rPr>
        <w:t>资金。</w:t>
      </w:r>
    </w:p>
    <w:p w14:paraId="2DAE63C1">
      <w:pPr>
        <w:spacing w:line="580" w:lineRule="exact"/>
        <w:ind w:firstLine="640"/>
        <w:jc w:val="both"/>
      </w:pPr>
      <w:r>
        <w:rPr>
          <w:rFonts w:ascii="仿宋_GB2312" w:hAnsi="仿宋_GB2312" w:eastAsia="仿宋_GB2312"/>
          <w:b w:val="0"/>
          <w:sz w:val="32"/>
        </w:rPr>
        <w:t>4.卫生健康支出(类)行政事业单位医疗(款)行政单位医疗(项):支出决算数为13.32万元，比上年决算增加0.43万元，增长3.34%,主要原因是：本年在职人员工资基数调增，医疗缴费基数上涨，相应支出增加。</w:t>
      </w:r>
    </w:p>
    <w:p w14:paraId="4E919FC4">
      <w:pPr>
        <w:spacing w:line="580" w:lineRule="exact"/>
        <w:ind w:firstLine="640"/>
        <w:jc w:val="both"/>
      </w:pPr>
      <w:r>
        <w:rPr>
          <w:rFonts w:ascii="仿宋_GB2312" w:hAnsi="仿宋_GB2312" w:eastAsia="仿宋_GB2312"/>
          <w:b w:val="0"/>
          <w:sz w:val="32"/>
        </w:rPr>
        <w:t>5.卫生健康支出(类)行政事业单位医疗(款)公务员医疗补助(项):支出决算数为2.96万元，比上年决算增加0.11万元，增长3.86%,主要原因是：本年在职人员工资基数调增，公务员医疗补助缴费基数上涨，相应支出增加。</w:t>
      </w:r>
    </w:p>
    <w:p w14:paraId="18C6C6BE">
      <w:pPr>
        <w:spacing w:line="580" w:lineRule="exact"/>
        <w:ind w:firstLine="640"/>
        <w:jc w:val="both"/>
      </w:pPr>
      <w:r>
        <w:rPr>
          <w:rFonts w:ascii="仿宋_GB2312" w:hAnsi="仿宋_GB2312" w:eastAsia="仿宋_GB2312"/>
          <w:b w:val="0"/>
          <w:sz w:val="32"/>
        </w:rPr>
        <w:t>6.节能环保支出(类)环境保护管理事务(款)行政运行(项):支出决算数为242.39万元，比上年决算减少11.41万元，下降4.50%,主要原因是：本年在职人员调入调出，人员职级不同，工资基数不同，导致人员经费较上年减少。</w:t>
      </w:r>
    </w:p>
    <w:p w14:paraId="0335C220">
      <w:pPr>
        <w:spacing w:line="580" w:lineRule="exact"/>
        <w:ind w:firstLine="640"/>
        <w:jc w:val="both"/>
      </w:pPr>
      <w:r>
        <w:rPr>
          <w:rFonts w:ascii="仿宋_GB2312" w:hAnsi="仿宋_GB2312" w:eastAsia="仿宋_GB2312"/>
          <w:b w:val="0"/>
          <w:sz w:val="32"/>
        </w:rPr>
        <w:t>7.节能环保支出(类)环境保护管理事务(款)环境保护法规、规划及标准(项):支出决算数为0.00万元，比上年决算减少13.88万元，下降100.00%,主要原因是：因机构改革原因项目经费由各县市财政承担，本年减少</w:t>
      </w:r>
      <w:r>
        <w:rPr>
          <w:rFonts w:hint="eastAsia" w:ascii="仿宋_GB2312" w:hAnsi="仿宋_GB2312" w:eastAsia="仿宋_GB2312"/>
          <w:b w:val="0"/>
          <w:sz w:val="32"/>
          <w:lang w:eastAsia="zh-CN"/>
        </w:rPr>
        <w:t>2022</w:t>
      </w:r>
      <w:r>
        <w:rPr>
          <w:rFonts w:ascii="仿宋_GB2312" w:hAnsi="仿宋_GB2312" w:eastAsia="仿宋_GB2312"/>
          <w:b w:val="0"/>
          <w:sz w:val="32"/>
        </w:rPr>
        <w:t>年</w:t>
      </w:r>
      <w:r>
        <w:rPr>
          <w:rFonts w:hint="eastAsia" w:ascii="仿宋_GB2312" w:hAnsi="仿宋_GB2312" w:eastAsia="仿宋_GB2312"/>
          <w:b w:val="0"/>
          <w:sz w:val="32"/>
          <w:lang w:eastAsia="zh-CN"/>
        </w:rPr>
        <w:t>“十四五”发展规划</w:t>
      </w:r>
      <w:r>
        <w:rPr>
          <w:rFonts w:ascii="仿宋_GB2312" w:hAnsi="仿宋_GB2312" w:eastAsia="仿宋_GB2312"/>
          <w:b w:val="0"/>
          <w:sz w:val="32"/>
        </w:rPr>
        <w:t>编制项目费。</w:t>
      </w:r>
    </w:p>
    <w:p w14:paraId="76E7CA4D">
      <w:pPr>
        <w:spacing w:line="580" w:lineRule="exact"/>
        <w:ind w:firstLine="640"/>
        <w:jc w:val="both"/>
      </w:pPr>
      <w:r>
        <w:rPr>
          <w:rFonts w:ascii="仿宋_GB2312" w:hAnsi="仿宋_GB2312" w:eastAsia="仿宋_GB2312"/>
          <w:b w:val="0"/>
          <w:sz w:val="32"/>
        </w:rPr>
        <w:t>8.节能环保支出(类)环境监测与监察(款)其他环境监测与监察支出(项):支出决算数为0.00万元，比上年决算减少50.00万元，下降100.00%,主要原因是：因机构改革原因项目经费由各县市财政承担，本年减少</w:t>
      </w:r>
      <w:r>
        <w:rPr>
          <w:rFonts w:hint="eastAsia" w:ascii="仿宋_GB2312" w:hAnsi="仿宋_GB2312" w:eastAsia="仿宋_GB2312"/>
          <w:b w:val="0"/>
          <w:sz w:val="32"/>
          <w:lang w:eastAsia="zh-CN"/>
        </w:rPr>
        <w:t>农村</w:t>
      </w:r>
      <w:r>
        <w:rPr>
          <w:rFonts w:ascii="仿宋_GB2312" w:hAnsi="仿宋_GB2312" w:eastAsia="仿宋_GB2312"/>
          <w:b w:val="0"/>
          <w:sz w:val="32"/>
        </w:rPr>
        <w:t>生态环境、“千吨万人”饮用水水源地及农田灌溉水水质监测项目费。</w:t>
      </w:r>
    </w:p>
    <w:p w14:paraId="4E577B66">
      <w:pPr>
        <w:spacing w:line="580" w:lineRule="exact"/>
        <w:ind w:firstLine="640"/>
        <w:jc w:val="both"/>
      </w:pPr>
      <w:r>
        <w:rPr>
          <w:rFonts w:ascii="仿宋_GB2312" w:hAnsi="仿宋_GB2312" w:eastAsia="仿宋_GB2312"/>
          <w:b w:val="0"/>
          <w:sz w:val="32"/>
        </w:rPr>
        <w:t>9.节能环保支出(类)自然生态保护(款)农村环境保护(项):支出决算数为0.00万元，比上年决算减少45.76万元，下降100.00%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主要原因是：因机构改革原因项目经费由各县市财政承担，本年减少中央农村环境整治项目费。</w:t>
      </w:r>
    </w:p>
    <w:p w14:paraId="1DB8751D">
      <w:pPr>
        <w:spacing w:line="580" w:lineRule="exact"/>
        <w:ind w:firstLine="640"/>
        <w:jc w:val="both"/>
      </w:pPr>
      <w:r>
        <w:rPr>
          <w:rFonts w:ascii="仿宋_GB2312" w:hAnsi="仿宋_GB2312" w:eastAsia="仿宋_GB2312"/>
          <w:b w:val="0"/>
          <w:sz w:val="32"/>
        </w:rPr>
        <w:t>10.住房保障支出(类)住房改革支出(款)住房公积金(项):支出决算数为24.84万元，比上年决算增加2.50万元，增长11.19%,主要原因是：本年在职人员工资基数调增，公积金缴费基数上涨，相应支出增加。</w:t>
      </w:r>
    </w:p>
    <w:p w14:paraId="061B3196">
      <w:pPr>
        <w:spacing w:line="640" w:lineRule="exact"/>
        <w:ind w:firstLine="640"/>
        <w:jc w:val="both"/>
        <w:outlineLvl w:val="2"/>
      </w:pPr>
      <w:r>
        <w:rPr>
          <w:rFonts w:ascii="黑体" w:hAnsi="黑体" w:eastAsia="黑体"/>
          <w:sz w:val="32"/>
        </w:rPr>
        <w:t>六、一般公共预算财政拨款基本支出决算情况说明</w:t>
      </w:r>
    </w:p>
    <w:p w14:paraId="27DC631B">
      <w:pPr>
        <w:spacing w:line="580" w:lineRule="exact"/>
        <w:ind w:firstLine="640"/>
        <w:jc w:val="both"/>
      </w:pPr>
      <w:r>
        <w:rPr>
          <w:rFonts w:ascii="仿宋_GB2312" w:hAnsi="仿宋_GB2312" w:eastAsia="仿宋_GB2312"/>
          <w:b w:val="0"/>
          <w:sz w:val="32"/>
        </w:rPr>
        <w:t>2024年度一般公共预算财政拨款基本支出314.84万元，其中：</w:t>
      </w:r>
      <w:r>
        <w:rPr>
          <w:rFonts w:ascii="仿宋_GB2312" w:hAnsi="仿宋_GB2312" w:eastAsia="仿宋_GB2312"/>
          <w:b/>
          <w:sz w:val="32"/>
        </w:rPr>
        <w:t>人员经费289.93万元，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包括：基本工资、津贴补贴、奖金、绩效工资、机关事业单位基本养老保险缴费、职工基本医疗保险缴费、公务员医疗补助缴费、其他社会保障缴费、住房公积金、奖励金。</w:t>
      </w:r>
    </w:p>
    <w:p w14:paraId="01074279">
      <w:pPr>
        <w:spacing w:line="580" w:lineRule="exact"/>
        <w:ind w:firstLine="640"/>
        <w:jc w:val="both"/>
      </w:pPr>
      <w:r>
        <w:rPr>
          <w:rFonts w:ascii="仿宋_GB2312" w:hAnsi="仿宋_GB2312" w:eastAsia="仿宋_GB2312"/>
          <w:b/>
          <w:sz w:val="32"/>
        </w:rPr>
        <w:t>公用经费24.91万元，</w:t>
      </w:r>
      <w:r>
        <w:rPr>
          <w:rFonts w:ascii="仿宋_GB2312" w:hAnsi="仿宋_GB2312" w:eastAsia="仿宋_GB2312"/>
          <w:b w:val="0"/>
          <w:sz w:val="32"/>
        </w:rPr>
        <w:t>包括：办公费、水费、电费、邮电费、取暖费、差旅费、专用材料费、委托业务费、工会经费、公务用车运行维护费。</w:t>
      </w:r>
    </w:p>
    <w:p w14:paraId="6D376349">
      <w:pPr>
        <w:spacing w:line="640" w:lineRule="exact"/>
        <w:ind w:firstLine="640"/>
        <w:jc w:val="both"/>
        <w:outlineLvl w:val="2"/>
      </w:pPr>
      <w:r>
        <w:rPr>
          <w:rFonts w:ascii="黑体" w:hAnsi="黑体" w:eastAsia="黑体"/>
          <w:sz w:val="32"/>
        </w:rPr>
        <w:t>七、政府性基金预算财政拨款收入支出决算情况说明</w:t>
      </w:r>
    </w:p>
    <w:p w14:paraId="6BC1C54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E3E30F0">
      <w:pPr>
        <w:spacing w:line="640" w:lineRule="exact"/>
        <w:ind w:firstLine="640"/>
        <w:jc w:val="both"/>
        <w:outlineLvl w:val="2"/>
      </w:pPr>
      <w:r>
        <w:rPr>
          <w:rFonts w:ascii="黑体" w:hAnsi="黑体" w:eastAsia="黑体"/>
          <w:sz w:val="32"/>
        </w:rPr>
        <w:t>八、国有资本经营预算财政拨款收入支出决算情况说明</w:t>
      </w:r>
    </w:p>
    <w:p w14:paraId="6404A42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ADAAE32">
      <w:pPr>
        <w:spacing w:line="640" w:lineRule="exact"/>
        <w:ind w:firstLine="640"/>
        <w:jc w:val="both"/>
        <w:outlineLvl w:val="2"/>
      </w:pPr>
      <w:r>
        <w:rPr>
          <w:rFonts w:ascii="黑体" w:hAnsi="黑体" w:eastAsia="黑体"/>
          <w:sz w:val="32"/>
        </w:rPr>
        <w:t>九、财政拨款“三公”经费支出决算情况说明</w:t>
      </w:r>
    </w:p>
    <w:p w14:paraId="3D25BDBC">
      <w:pPr>
        <w:spacing w:line="580" w:lineRule="exact"/>
        <w:ind w:firstLine="640"/>
        <w:jc w:val="both"/>
      </w:pPr>
      <w:r>
        <w:rPr>
          <w:rFonts w:ascii="仿宋_GB2312" w:hAnsi="仿宋_GB2312" w:eastAsia="仿宋_GB2312"/>
          <w:b/>
          <w:sz w:val="32"/>
        </w:rPr>
        <w:t>2024年度财政拨款“三公”经费支出4.50万元，</w:t>
      </w:r>
      <w:r>
        <w:rPr>
          <w:rFonts w:ascii="仿宋_GB2312" w:hAnsi="仿宋_GB2312" w:eastAsia="仿宋_GB2312"/>
          <w:b w:val="0"/>
          <w:sz w:val="32"/>
        </w:rPr>
        <w:t>比上年增加0.80万元，增长21.62%，主要原因是：本年因业务需求，用车次数增加，燃油费增加，维修维护费增加，导致公务用车运行维护费较上年增加。其中：因公出国（境）费支出0.00万元，占0.00%，比上年增加0.00万元，增长0.00%，主要原因是：2023年与2024年均未安排因公出国（境）费支出。公务用车购置及运行维护费支出4.50万元，占100.00%，比上年增加1.32万元，增长41.51%，主要原因是：本年因业务需求，用车次数增加，燃油费增加，维修维护费增加，导致公务用车运行维护费较上年增加。公务接待费支出0.00万元，占0.00%，比上年减少0.52万元，下降100.00%，主要原因是：本年未安排公务接待工作，导致公务接待费较上年减少。</w:t>
      </w:r>
    </w:p>
    <w:p w14:paraId="38E5F184">
      <w:pPr>
        <w:spacing w:line="580" w:lineRule="exact"/>
        <w:ind w:firstLine="640"/>
        <w:jc w:val="both"/>
      </w:pPr>
      <w:r>
        <w:rPr>
          <w:rFonts w:ascii="仿宋_GB2312" w:hAnsi="仿宋_GB2312" w:eastAsia="仿宋_GB2312"/>
          <w:b/>
          <w:sz w:val="32"/>
        </w:rPr>
        <w:t>具体情况如下：</w:t>
      </w:r>
    </w:p>
    <w:p w14:paraId="7445B44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3044BEF">
      <w:pPr>
        <w:spacing w:line="580" w:lineRule="exact"/>
        <w:ind w:firstLine="640"/>
        <w:jc w:val="both"/>
      </w:pPr>
      <w:r>
        <w:rPr>
          <w:rFonts w:ascii="仿宋_GB2312" w:hAnsi="仿宋_GB2312" w:eastAsia="仿宋_GB2312"/>
          <w:b w:val="0"/>
          <w:sz w:val="32"/>
        </w:rPr>
        <w:t>公务用车购置及运行维护费4.50万元，其中：公务用车购置费0.00万元，公务用车运行维护费4.50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42DE006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BBE765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4.50万元，决算数4.50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4.50万元，决算数4.50万元，预决算差异率0.00%，主要原因是：严格按照预算执行，预决算无差异。公务接待费全年预算数0.00万元，决算数0.00万元，预决算差异率0.00%，主要原因是：本单位无公务接待费。</w:t>
      </w:r>
    </w:p>
    <w:p w14:paraId="76094CB0">
      <w:pPr>
        <w:spacing w:line="640" w:lineRule="exact"/>
        <w:ind w:firstLine="640"/>
        <w:jc w:val="both"/>
        <w:outlineLvl w:val="2"/>
      </w:pPr>
      <w:r>
        <w:rPr>
          <w:rFonts w:ascii="黑体" w:hAnsi="黑体" w:eastAsia="黑体"/>
          <w:sz w:val="32"/>
        </w:rPr>
        <w:t>十、其他重要事项的情况说明</w:t>
      </w:r>
    </w:p>
    <w:p w14:paraId="1CDE73FF">
      <w:pPr>
        <w:spacing w:line="640" w:lineRule="exact"/>
        <w:ind w:firstLine="640"/>
        <w:jc w:val="both"/>
        <w:outlineLvl w:val="3"/>
      </w:pPr>
      <w:r>
        <w:rPr>
          <w:rFonts w:ascii="楷体_GB2312" w:hAnsi="楷体_GB2312" w:eastAsia="楷体_GB2312"/>
          <w:b/>
          <w:sz w:val="32"/>
        </w:rPr>
        <w:t>（一）机关运行经费及公用经费支出情况</w:t>
      </w:r>
    </w:p>
    <w:p w14:paraId="62A1DA03">
      <w:pPr>
        <w:spacing w:line="580" w:lineRule="exact"/>
        <w:ind w:firstLine="640"/>
        <w:jc w:val="both"/>
      </w:pPr>
      <w:r>
        <w:rPr>
          <w:rFonts w:ascii="仿宋_GB2312" w:hAnsi="仿宋_GB2312" w:eastAsia="仿宋_GB2312"/>
          <w:b w:val="0"/>
          <w:sz w:val="32"/>
        </w:rPr>
        <w:t>2024年度喀什地区生态环境局麦盖提县分局（行政单位和参照公务员法管理事业单位）机关运行经费支出24.91万元，比上年增加4.12万元，增长19.82%，主要原因是：本年更新、维护补充办公用品，导致机关运行经费较上年增加。</w:t>
      </w:r>
    </w:p>
    <w:p w14:paraId="3741C29C">
      <w:pPr>
        <w:spacing w:line="640" w:lineRule="exact"/>
        <w:ind w:firstLine="640"/>
        <w:jc w:val="both"/>
        <w:outlineLvl w:val="3"/>
      </w:pPr>
      <w:r>
        <w:rPr>
          <w:rFonts w:ascii="楷体_GB2312" w:hAnsi="楷体_GB2312" w:eastAsia="楷体_GB2312"/>
          <w:b/>
          <w:sz w:val="32"/>
        </w:rPr>
        <w:t>（二）政府采购情况</w:t>
      </w:r>
    </w:p>
    <w:p w14:paraId="2D2CC489">
      <w:pPr>
        <w:spacing w:line="580" w:lineRule="exact"/>
        <w:ind w:firstLine="640"/>
        <w:jc w:val="both"/>
      </w:pPr>
      <w:r>
        <w:rPr>
          <w:rFonts w:ascii="仿宋_GB2312" w:hAnsi="仿宋_GB2312" w:eastAsia="仿宋_GB2312"/>
          <w:b w:val="0"/>
          <w:sz w:val="32"/>
        </w:rPr>
        <w:t>2024年度政府采购支出总额12.24万元，其中：政府采购货物支出9.79万元、政府采购工程支出0.00万元、政府采购服务支出2.45万元。</w:t>
      </w:r>
    </w:p>
    <w:p w14:paraId="77931E70">
      <w:pPr>
        <w:spacing w:line="580" w:lineRule="exact"/>
        <w:ind w:firstLine="640"/>
        <w:jc w:val="both"/>
      </w:pPr>
      <w:r>
        <w:rPr>
          <w:rFonts w:ascii="仿宋_GB2312" w:hAnsi="仿宋_GB2312" w:eastAsia="仿宋_GB2312"/>
          <w:b w:val="0"/>
          <w:sz w:val="32"/>
        </w:rPr>
        <w:t>授予中小企业合同金额9.51万元，占政府采购支出总额的77.70%，其中：授予小微企业合同金额6.69万元，占政府采购支出总额的54.66%。</w:t>
      </w:r>
    </w:p>
    <w:p w14:paraId="75DEDB0B">
      <w:pPr>
        <w:spacing w:line="640" w:lineRule="exact"/>
        <w:ind w:firstLine="640"/>
        <w:jc w:val="both"/>
        <w:outlineLvl w:val="3"/>
      </w:pPr>
      <w:r>
        <w:rPr>
          <w:rFonts w:ascii="楷体_GB2312" w:hAnsi="楷体_GB2312" w:eastAsia="楷体_GB2312"/>
          <w:b/>
          <w:sz w:val="32"/>
        </w:rPr>
        <w:t>（三）国有资产占用情况说明</w:t>
      </w:r>
    </w:p>
    <w:p w14:paraId="32E03979">
      <w:pPr>
        <w:spacing w:line="580" w:lineRule="exact"/>
        <w:ind w:firstLine="640"/>
        <w:jc w:val="both"/>
      </w:pPr>
      <w:r>
        <w:rPr>
          <w:rFonts w:ascii="仿宋_GB2312" w:hAnsi="仿宋_GB2312" w:eastAsia="仿宋_GB2312"/>
          <w:b w:val="0"/>
          <w:sz w:val="32"/>
        </w:rPr>
        <w:t>截至2024年12月31日，房屋2,702.00平方米，价值541.88万元。车辆3辆，价值25.58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4827E4B8">
      <w:pPr>
        <w:spacing w:line="640" w:lineRule="exact"/>
        <w:ind w:firstLine="640"/>
        <w:jc w:val="both"/>
        <w:outlineLvl w:val="2"/>
      </w:pPr>
      <w:r>
        <w:rPr>
          <w:rFonts w:ascii="黑体" w:hAnsi="黑体" w:eastAsia="黑体"/>
          <w:sz w:val="32"/>
        </w:rPr>
        <w:t>十一、预算绩效的情况说明</w:t>
      </w:r>
    </w:p>
    <w:p w14:paraId="478AE86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314.84万元，实际执行总额314.84万元；预算绩效评价项目0个，全年预算数0.00万元，全年执行数0.00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作用。二是严格按照工作职责和相关文件依据，确保专款专用。三是严格控制资金的流出方向，确保资金的合规性。发现的问题及原因：一是预算绩效观念不深入。</w:t>
      </w:r>
      <w:bookmarkStart w:id="0" w:name="_GoBack"/>
      <w:bookmarkEnd w:id="0"/>
      <w:r>
        <w:rPr>
          <w:rFonts w:hint="eastAsia" w:ascii="仿宋_GB2312" w:hAnsi="仿宋_GB2312" w:eastAsia="仿宋_GB2312"/>
          <w:b w:val="0"/>
          <w:sz w:val="32"/>
          <w:lang w:eastAsia="zh-CN"/>
        </w:rPr>
        <w:t>本单位</w:t>
      </w:r>
      <w:r>
        <w:rPr>
          <w:rFonts w:ascii="仿宋_GB2312" w:hAnsi="仿宋_GB2312" w:eastAsia="仿宋_GB2312"/>
          <w:b w:val="0"/>
          <w:sz w:val="32"/>
        </w:rPr>
        <w:t>在日常财务工作中存在着绩效理念较薄弱，在绩效目标指标编制上仍有缺失，需要进一步加强对绩效管理工作的重视程度。二是预算绩效规范管理有盲点。</w:t>
      </w:r>
      <w:r>
        <w:rPr>
          <w:rFonts w:hint="eastAsia" w:ascii="仿宋_GB2312" w:hAnsi="仿宋_GB2312" w:eastAsia="仿宋_GB2312"/>
          <w:b w:val="0"/>
          <w:sz w:val="32"/>
          <w:lang w:eastAsia="zh-CN"/>
        </w:rPr>
        <w:t>本单位</w:t>
      </w:r>
      <w:r>
        <w:rPr>
          <w:rFonts w:ascii="仿宋_GB2312" w:hAnsi="仿宋_GB2312" w:eastAsia="仿宋_GB2312"/>
          <w:b w:val="0"/>
          <w:sz w:val="32"/>
        </w:rPr>
        <w:t>绩效专干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进一步增强绩效管理理念。在管理和使用预算资金的过程中，</w:t>
      </w:r>
      <w:r>
        <w:rPr>
          <w:rFonts w:hint="eastAsia" w:ascii="仿宋_GB2312" w:hAnsi="仿宋_GB2312" w:eastAsia="仿宋_GB2312"/>
          <w:b w:val="0"/>
          <w:sz w:val="32"/>
          <w:lang w:eastAsia="zh-CN"/>
        </w:rPr>
        <w:t>本单位</w:t>
      </w:r>
      <w:r>
        <w:rPr>
          <w:rFonts w:ascii="仿宋_GB2312" w:hAnsi="仿宋_GB2312" w:eastAsia="仿宋_GB2312"/>
          <w:b w:val="0"/>
          <w:sz w:val="32"/>
        </w:rPr>
        <w:t>将更加突出资金使用效益，做到“花钱必问效，无效必问责”。加强与县财政绩效评价股和第三方之间的沟通，严格按照绩效评价原则，开展资金安全性、规范性的监督，确保专项资金的使用符合绩效管理要求。二是进一步加强财务素养和专业培训。</w:t>
      </w:r>
      <w:r>
        <w:rPr>
          <w:rFonts w:hint="eastAsia" w:ascii="仿宋_GB2312" w:hAnsi="仿宋_GB2312" w:eastAsia="仿宋_GB2312"/>
          <w:b w:val="0"/>
          <w:sz w:val="32"/>
          <w:lang w:eastAsia="zh-CN"/>
        </w:rPr>
        <w:t>本单位</w:t>
      </w:r>
      <w:r>
        <w:rPr>
          <w:rFonts w:ascii="仿宋_GB2312" w:hAnsi="仿宋_GB2312" w:eastAsia="仿宋_GB2312"/>
          <w:b w:val="0"/>
          <w:sz w:val="32"/>
        </w:rPr>
        <w:t>希望邀请县财政局，针对预算资金绩效管理和相关法律法规开展培训，学习预算绩效管理的法律法规、规范要求，让绩效理念深入人心、让绩效管理人员熟知政策、知行合一。具体附整体支出绩效自评表。</w:t>
      </w:r>
    </w:p>
    <w:p w14:paraId="2D71FC2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68EEE47">
        <w:tblPrEx>
          <w:tblCellMar>
            <w:top w:w="0" w:type="dxa"/>
            <w:left w:w="108" w:type="dxa"/>
            <w:bottom w:w="0" w:type="dxa"/>
            <w:right w:w="108" w:type="dxa"/>
          </w:tblCellMar>
        </w:tblPrEx>
        <w:tc>
          <w:tcPr>
            <w:tcW w:w="8847" w:type="dxa"/>
            <w:gridSpan w:val="9"/>
            <w:vAlign w:val="center"/>
          </w:tcPr>
          <w:p w14:paraId="7AB51C6D">
            <w:pPr>
              <w:jc w:val="center"/>
            </w:pPr>
            <w:r>
              <w:rPr>
                <w:rFonts w:ascii="宋体" w:hAnsi="宋体" w:eastAsia="宋体"/>
                <w:sz w:val="24"/>
              </w:rPr>
              <w:t>单位整体支出绩效自评表</w:t>
            </w:r>
          </w:p>
        </w:tc>
      </w:tr>
      <w:tr w14:paraId="60B6F154">
        <w:tblPrEx>
          <w:tblCellMar>
            <w:top w:w="0" w:type="dxa"/>
            <w:left w:w="108" w:type="dxa"/>
            <w:bottom w:w="0" w:type="dxa"/>
            <w:right w:w="108" w:type="dxa"/>
          </w:tblCellMar>
        </w:tblPrEx>
        <w:tc>
          <w:tcPr>
            <w:tcW w:w="8847" w:type="dxa"/>
            <w:gridSpan w:val="9"/>
            <w:vAlign w:val="center"/>
          </w:tcPr>
          <w:p w14:paraId="153E1FC0">
            <w:pPr>
              <w:jc w:val="center"/>
            </w:pPr>
            <w:r>
              <w:rPr>
                <w:rFonts w:ascii="宋体" w:hAnsi="宋体" w:eastAsia="宋体"/>
                <w:sz w:val="24"/>
              </w:rPr>
              <w:t>（2024年度）</w:t>
            </w:r>
          </w:p>
        </w:tc>
      </w:tr>
      <w:tr w14:paraId="750F12E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C356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65D882D">
            <w:pPr>
              <w:jc w:val="center"/>
            </w:pPr>
            <w:r>
              <w:rPr>
                <w:rFonts w:ascii="宋体" w:hAnsi="宋体" w:eastAsia="宋体"/>
                <w:sz w:val="16"/>
              </w:rPr>
              <w:t>喀什地区生态环境局麦盖提县分局</w:t>
            </w:r>
          </w:p>
        </w:tc>
      </w:tr>
      <w:tr w14:paraId="29C10E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120C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732D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18D8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DF11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8821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0262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1C7D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AD81B">
            <w:pPr>
              <w:jc w:val="center"/>
            </w:pPr>
            <w:r>
              <w:rPr>
                <w:rFonts w:ascii="宋体" w:hAnsi="宋体" w:eastAsia="宋体"/>
                <w:sz w:val="16"/>
              </w:rPr>
              <w:t>得分</w:t>
            </w:r>
          </w:p>
        </w:tc>
      </w:tr>
      <w:tr w14:paraId="6A65CD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F61D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D3D6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0E474">
            <w:pPr>
              <w:jc w:val="center"/>
            </w:pPr>
            <w:r>
              <w:rPr>
                <w:rFonts w:ascii="宋体" w:hAnsi="宋体" w:eastAsia="宋体"/>
                <w:sz w:val="16"/>
              </w:rPr>
              <w:t>348.21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7ADAE">
            <w:pPr>
              <w:jc w:val="center"/>
            </w:pPr>
            <w:r>
              <w:rPr>
                <w:rFonts w:ascii="宋体" w:hAnsi="宋体" w:eastAsia="宋体"/>
                <w:sz w:val="16"/>
              </w:rPr>
              <w:t>314.84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C351C">
            <w:pPr>
              <w:jc w:val="center"/>
            </w:pPr>
            <w:r>
              <w:rPr>
                <w:rFonts w:ascii="宋体" w:hAnsi="宋体" w:eastAsia="宋体"/>
                <w:sz w:val="16"/>
              </w:rPr>
              <w:t>314.84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062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C14D8">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1EB96">
            <w:pPr>
              <w:jc w:val="center"/>
            </w:pPr>
            <w:r>
              <w:rPr>
                <w:rFonts w:ascii="宋体" w:hAnsi="宋体" w:eastAsia="宋体"/>
                <w:sz w:val="16"/>
              </w:rPr>
              <w:t>10</w:t>
            </w:r>
          </w:p>
        </w:tc>
      </w:tr>
      <w:tr w14:paraId="0D6D29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6972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9173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FA23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061B0">
            <w:pPr>
              <w:jc w:val="center"/>
            </w:pPr>
            <w:r>
              <w:rPr>
                <w:rFonts w:ascii="宋体" w:hAnsi="宋体" w:eastAsia="宋体"/>
                <w:sz w:val="16"/>
              </w:rPr>
              <w:t>4.61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6F2FF">
            <w:pPr>
              <w:jc w:val="center"/>
            </w:pPr>
            <w:r>
              <w:rPr>
                <w:rFonts w:ascii="宋体" w:hAnsi="宋体" w:eastAsia="宋体"/>
                <w:sz w:val="16"/>
              </w:rPr>
              <w:t>4.61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C4D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ABD9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BA67F">
            <w:pPr>
              <w:jc w:val="center"/>
            </w:pPr>
            <w:r>
              <w:rPr>
                <w:rFonts w:ascii="宋体" w:hAnsi="宋体" w:eastAsia="宋体"/>
                <w:sz w:val="16"/>
              </w:rPr>
              <w:t>—</w:t>
            </w:r>
          </w:p>
        </w:tc>
      </w:tr>
      <w:tr w14:paraId="20EB0C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0125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7F63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598C6">
            <w:pPr>
              <w:jc w:val="center"/>
            </w:pPr>
            <w:r>
              <w:rPr>
                <w:rFonts w:ascii="宋体" w:hAnsi="宋体" w:eastAsia="宋体"/>
                <w:sz w:val="16"/>
              </w:rPr>
              <w:t>348.21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8A898">
            <w:pPr>
              <w:jc w:val="center"/>
            </w:pPr>
            <w:r>
              <w:rPr>
                <w:rFonts w:ascii="宋体" w:hAnsi="宋体" w:eastAsia="宋体"/>
                <w:sz w:val="16"/>
              </w:rPr>
              <w:t>310.23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53FCA">
            <w:pPr>
              <w:jc w:val="center"/>
            </w:pPr>
            <w:r>
              <w:rPr>
                <w:rFonts w:ascii="宋体" w:hAnsi="宋体" w:eastAsia="宋体"/>
                <w:sz w:val="16"/>
              </w:rPr>
              <w:t>310.23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D76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9C32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59C4B">
            <w:pPr>
              <w:jc w:val="center"/>
            </w:pPr>
            <w:r>
              <w:rPr>
                <w:rFonts w:ascii="宋体" w:hAnsi="宋体" w:eastAsia="宋体"/>
                <w:sz w:val="16"/>
              </w:rPr>
              <w:t>—</w:t>
            </w:r>
          </w:p>
        </w:tc>
      </w:tr>
      <w:tr w14:paraId="5ED15D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2A94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0233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35A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257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42D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32C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818A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B5217">
            <w:pPr>
              <w:jc w:val="center"/>
            </w:pPr>
            <w:r>
              <w:rPr>
                <w:rFonts w:ascii="宋体" w:hAnsi="宋体" w:eastAsia="宋体"/>
                <w:sz w:val="16"/>
              </w:rPr>
              <w:t>—</w:t>
            </w:r>
          </w:p>
        </w:tc>
      </w:tr>
      <w:tr w14:paraId="30A32D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DEE4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434BA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EE3670">
            <w:pPr>
              <w:jc w:val="center"/>
            </w:pPr>
            <w:r>
              <w:rPr>
                <w:rFonts w:ascii="宋体" w:hAnsi="宋体" w:eastAsia="宋体"/>
                <w:sz w:val="16"/>
              </w:rPr>
              <w:t>实际完成情况</w:t>
            </w:r>
          </w:p>
        </w:tc>
      </w:tr>
      <w:tr w14:paraId="1F1FAC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4F81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1BC02B">
            <w:pPr>
              <w:jc w:val="both"/>
            </w:pPr>
            <w:r>
              <w:rPr>
                <w:rFonts w:ascii="宋体" w:hAnsi="宋体" w:eastAsia="宋体"/>
                <w:sz w:val="16"/>
              </w:rPr>
              <w:t>以改善环境质量为核心，以解决突出环境问题为重点，扎实推进生态文明和生态环境保护，持续深入打好污染防治攻坚战。做好大气环境质量工作，确保全年空气质量优良天数比率达到37.37%，全县全年PM2.5（空气中细颗粒物）浓度低于54.4毫克/立方米。做好水环境质量工作，全年完成地表水水质监测次数10次，水源地水质达标率达到100%。做好生态环境质量考核工作，按时完成生态环境监测，确保监测完成率达到100%。通过做好大气治理工作、水质监测工作、组织开展环保执法检查工作、开展环保宣传活动等，使得公民环保意识有效提升，区域内生态环境实现逐步有效改善和提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BC102D">
            <w:pPr>
              <w:jc w:val="both"/>
            </w:pPr>
            <w:r>
              <w:rPr>
                <w:rFonts w:ascii="宋体" w:hAnsi="宋体" w:eastAsia="宋体"/>
                <w:sz w:val="16"/>
              </w:rPr>
              <w:t>抓好精准治污、科学治污、依法治污，深入打好污染防治攻坚战，持续改善生态环境质量，推动落实改革工作，以生态环境高水平保护推动麦盖提经济高质量发展。一是对麦盖提县全面空气进行质量分析，2024全年，全年有效天数356天，数据有效率为97.3%，优良天数157天，比例为44.1%。轻度污染天数103天占比28.9%，较去年下降4.2%；中度污染天数38天占比10.7%，较去年下降0.3%；重度污染天数12天占比3.4%，较去年下降0.7%；严重污染天数46天占比12.9%，较去年下降2%；2024年全年，麦盖提县优良天数比例44.1%，较去年增加了7.2个百分点。二是2024年全年，麦盖提县扣除沙尘天气影响后，PM2.5平均浓度48微克/立方米，较去年相比下降15.8个百分点。三是对麦盖提县地表水水质监测，监测次数为10次。四是2024年全年，麦盖提县农田灌溉监测达标，监测次数为1次。五是麦盖提县水源地水质达标率预期指标值为等于100%，实际完成值为100%。</w:t>
            </w:r>
          </w:p>
        </w:tc>
      </w:tr>
      <w:tr w14:paraId="1019A3E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E5D1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956F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0DE8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C950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BE1B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06EE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F160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F95A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21AF4">
            <w:pPr>
              <w:jc w:val="center"/>
            </w:pPr>
            <w:r>
              <w:rPr>
                <w:rFonts w:ascii="宋体" w:hAnsi="宋体" w:eastAsia="宋体"/>
                <w:sz w:val="16"/>
              </w:rPr>
              <w:t>得分</w:t>
            </w:r>
          </w:p>
        </w:tc>
      </w:tr>
      <w:tr w14:paraId="4F7095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5F2D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BE77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89831">
            <w:pPr>
              <w:jc w:val="center"/>
            </w:pPr>
            <w:r>
              <w:rPr>
                <w:rFonts w:ascii="宋体" w:hAnsi="宋体" w:eastAsia="宋体"/>
                <w:sz w:val="16"/>
              </w:rPr>
              <w:t>麦盖提县地表水水质监测次数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81D06">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BF57D">
            <w:pPr>
              <w:jc w:val="center"/>
            </w:pPr>
            <w:r>
              <w:rPr>
                <w:rFonts w:ascii="宋体" w:hAnsi="宋体" w:eastAsia="宋体"/>
                <w:sz w:val="16"/>
              </w:rPr>
              <w:t>喀什地区生态环境局麦盖提县分局2024年工作计划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DB07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E49CE">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E11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1B926">
            <w:pPr>
              <w:jc w:val="center"/>
            </w:pPr>
            <w:r>
              <w:rPr>
                <w:rFonts w:ascii="宋体" w:hAnsi="宋体" w:eastAsia="宋体"/>
                <w:sz w:val="16"/>
              </w:rPr>
              <w:t>18</w:t>
            </w:r>
          </w:p>
        </w:tc>
      </w:tr>
      <w:tr w14:paraId="1748A2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68AF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D729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CD068">
            <w:pPr>
              <w:jc w:val="center"/>
            </w:pPr>
            <w:r>
              <w:rPr>
                <w:rFonts w:ascii="宋体" w:hAnsi="宋体" w:eastAsia="宋体"/>
                <w:sz w:val="16"/>
              </w:rPr>
              <w:t>麦盖提县农田灌溉水质监测次数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055D1">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0C4AD">
            <w:pPr>
              <w:jc w:val="center"/>
            </w:pPr>
            <w:r>
              <w:rPr>
                <w:rFonts w:ascii="宋体" w:hAnsi="宋体" w:eastAsia="宋体"/>
                <w:sz w:val="16"/>
              </w:rPr>
              <w:t>喀什地区生态环境局麦盖提县分局2024年工作计划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B648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05501">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8DF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82CDF">
            <w:pPr>
              <w:jc w:val="center"/>
            </w:pPr>
            <w:r>
              <w:rPr>
                <w:rFonts w:ascii="宋体" w:hAnsi="宋体" w:eastAsia="宋体"/>
                <w:sz w:val="16"/>
              </w:rPr>
              <w:t>18</w:t>
            </w:r>
          </w:p>
        </w:tc>
      </w:tr>
      <w:tr w14:paraId="7E3247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984D1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B168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2BB11">
            <w:pPr>
              <w:jc w:val="center"/>
            </w:pPr>
            <w:r>
              <w:rPr>
                <w:rFonts w:ascii="宋体" w:hAnsi="宋体" w:eastAsia="宋体"/>
                <w:sz w:val="16"/>
              </w:rPr>
              <w:t>麦盖提县全年空气质量优良天数比率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17616">
            <w:pPr>
              <w:jc w:val="center"/>
            </w:pPr>
            <w:r>
              <w:rPr>
                <w:rFonts w:ascii="宋体" w:hAnsi="宋体" w:eastAsia="宋体"/>
                <w:sz w:val="16"/>
              </w:rPr>
              <w:t>&gt;=37.3%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71FC2">
            <w:pPr>
              <w:jc w:val="center"/>
            </w:pPr>
            <w:r>
              <w:rPr>
                <w:rFonts w:ascii="宋体" w:hAnsi="宋体" w:eastAsia="宋体"/>
                <w:sz w:val="16"/>
              </w:rPr>
              <w:t>喀什地区生态环境局麦盖提县分局2024年工作计划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56EB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590B7">
            <w:pPr>
              <w:jc w:val="center"/>
            </w:pPr>
            <w:r>
              <w:rPr>
                <w:rFonts w:ascii="宋体" w:hAnsi="宋体" w:eastAsia="宋体"/>
                <w:sz w:val="16"/>
              </w:rPr>
              <w:t>44.1%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6969B">
            <w:pPr>
              <w:jc w:val="center"/>
            </w:pPr>
            <w:r>
              <w:rPr>
                <w:rFonts w:ascii="宋体" w:hAnsi="宋体" w:eastAsia="宋体"/>
                <w:sz w:val="16"/>
              </w:rPr>
              <w:t>118.23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3A5C0">
            <w:pPr>
              <w:jc w:val="center"/>
            </w:pPr>
            <w:r>
              <w:rPr>
                <w:rFonts w:ascii="宋体" w:hAnsi="宋体" w:eastAsia="宋体"/>
                <w:sz w:val="16"/>
              </w:rPr>
              <w:t>18</w:t>
            </w:r>
          </w:p>
        </w:tc>
      </w:tr>
      <w:tr w14:paraId="62DE3C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44BA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C6EF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00680">
            <w:pPr>
              <w:jc w:val="center"/>
            </w:pPr>
            <w:r>
              <w:rPr>
                <w:rFonts w:ascii="宋体" w:hAnsi="宋体" w:eastAsia="宋体"/>
                <w:sz w:val="16"/>
              </w:rPr>
              <w:t>麦盖提县全年pm2.5(空气中细颗粒物)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6235C">
            <w:pPr>
              <w:jc w:val="center"/>
            </w:pPr>
            <w:r>
              <w:rPr>
                <w:rFonts w:ascii="宋体" w:hAnsi="宋体" w:eastAsia="宋体"/>
                <w:sz w:val="16"/>
              </w:rPr>
              <w:t>&lt;=54.4%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ADD81">
            <w:pPr>
              <w:jc w:val="center"/>
            </w:pPr>
            <w:r>
              <w:rPr>
                <w:rFonts w:ascii="宋体" w:hAnsi="宋体" w:eastAsia="宋体"/>
                <w:sz w:val="16"/>
              </w:rPr>
              <w:t>喀什地区生态环境局麦盖提县分局2024年工作计划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8902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972BF">
            <w:pPr>
              <w:jc w:val="center"/>
            </w:pPr>
            <w:r>
              <w:rPr>
                <w:rFonts w:ascii="宋体" w:hAnsi="宋体" w:eastAsia="宋体"/>
                <w:sz w:val="16"/>
              </w:rPr>
              <w:t>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C2E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F8893">
            <w:pPr>
              <w:jc w:val="center"/>
            </w:pPr>
            <w:r>
              <w:rPr>
                <w:rFonts w:ascii="宋体" w:hAnsi="宋体" w:eastAsia="宋体"/>
                <w:sz w:val="16"/>
              </w:rPr>
              <w:t>18</w:t>
            </w:r>
          </w:p>
        </w:tc>
      </w:tr>
      <w:tr w14:paraId="659A53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D93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5838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7BB71">
            <w:pPr>
              <w:jc w:val="center"/>
            </w:pPr>
            <w:r>
              <w:rPr>
                <w:rFonts w:ascii="宋体" w:hAnsi="宋体" w:eastAsia="宋体"/>
                <w:sz w:val="16"/>
              </w:rPr>
              <w:t>麦盖提县水源地水质达标率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4E0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D816E">
            <w:pPr>
              <w:jc w:val="center"/>
            </w:pPr>
            <w:r>
              <w:rPr>
                <w:rFonts w:ascii="宋体" w:hAnsi="宋体" w:eastAsia="宋体"/>
                <w:sz w:val="16"/>
              </w:rPr>
              <w:t>喀什地区生态环境局麦盖提县分局2024年工作计划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610D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0D4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3D8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DFCF4">
            <w:pPr>
              <w:jc w:val="center"/>
            </w:pPr>
            <w:r>
              <w:rPr>
                <w:rFonts w:ascii="宋体" w:hAnsi="宋体" w:eastAsia="宋体"/>
                <w:sz w:val="16"/>
              </w:rPr>
              <w:t>18</w:t>
            </w:r>
          </w:p>
        </w:tc>
      </w:tr>
    </w:tbl>
    <w:p w14:paraId="1884B8C2">
      <w:r>
        <w:br w:type="page"/>
      </w:r>
    </w:p>
    <w:p w14:paraId="5E450B36">
      <w:pPr>
        <w:spacing w:line="640" w:lineRule="exact"/>
        <w:ind w:firstLine="640"/>
        <w:jc w:val="both"/>
        <w:outlineLvl w:val="2"/>
      </w:pPr>
      <w:r>
        <w:rPr>
          <w:rFonts w:ascii="黑体" w:hAnsi="黑体" w:eastAsia="黑体"/>
          <w:sz w:val="32"/>
        </w:rPr>
        <w:t>十二、其他需说明的事项</w:t>
      </w:r>
    </w:p>
    <w:p w14:paraId="41059FBF">
      <w:pPr>
        <w:spacing w:line="580" w:lineRule="exact"/>
        <w:ind w:firstLine="640"/>
        <w:jc w:val="both"/>
      </w:pPr>
      <w:r>
        <w:rPr>
          <w:rFonts w:ascii="仿宋_GB2312" w:hAnsi="仿宋_GB2312" w:eastAsia="仿宋_GB2312"/>
          <w:b w:val="0"/>
          <w:sz w:val="32"/>
        </w:rPr>
        <w:t>本单位无其他需说明的事项。</w:t>
      </w:r>
    </w:p>
    <w:p w14:paraId="2B0A5202">
      <w:r>
        <w:br w:type="page"/>
      </w:r>
    </w:p>
    <w:p w14:paraId="03B669EA">
      <w:pPr>
        <w:spacing w:line="240" w:lineRule="auto"/>
        <w:jc w:val="center"/>
        <w:outlineLvl w:val="1"/>
      </w:pPr>
      <w:r>
        <w:rPr>
          <w:rFonts w:ascii="黑体" w:hAnsi="黑体" w:eastAsia="黑体"/>
          <w:sz w:val="32"/>
        </w:rPr>
        <w:t>第三部分 专业名词解释</w:t>
      </w:r>
    </w:p>
    <w:p w14:paraId="026A141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E0244B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B3BAAA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62FCC2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0838E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9A5E6F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FB32E7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228679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41C25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2E9047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EF89A9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EAE908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131F20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BE27F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CE9CF91">
      <w:r>
        <w:br w:type="page"/>
      </w:r>
    </w:p>
    <w:p w14:paraId="1CD604C9">
      <w:pPr>
        <w:spacing w:line="240" w:lineRule="auto"/>
        <w:jc w:val="center"/>
        <w:outlineLvl w:val="1"/>
      </w:pPr>
      <w:r>
        <w:rPr>
          <w:rFonts w:ascii="黑体" w:hAnsi="黑体" w:eastAsia="黑体"/>
          <w:sz w:val="32"/>
        </w:rPr>
        <w:t>第四部分 部门决算报表（见附表）</w:t>
      </w:r>
    </w:p>
    <w:p w14:paraId="5F77DA6F">
      <w:pPr>
        <w:spacing w:line="240" w:lineRule="auto"/>
        <w:ind w:firstLine="640"/>
        <w:jc w:val="both"/>
      </w:pPr>
      <w:r>
        <w:rPr>
          <w:rFonts w:ascii="仿宋_GB2312" w:hAnsi="仿宋_GB2312" w:eastAsia="仿宋_GB2312"/>
          <w:b w:val="0"/>
          <w:sz w:val="32"/>
        </w:rPr>
        <w:t>一、《收入支出决算总表》</w:t>
      </w:r>
    </w:p>
    <w:p w14:paraId="184AE715">
      <w:pPr>
        <w:spacing w:line="240" w:lineRule="auto"/>
        <w:ind w:firstLine="640"/>
        <w:jc w:val="both"/>
      </w:pPr>
      <w:r>
        <w:rPr>
          <w:rFonts w:ascii="仿宋_GB2312" w:hAnsi="仿宋_GB2312" w:eastAsia="仿宋_GB2312"/>
          <w:b w:val="0"/>
          <w:sz w:val="32"/>
        </w:rPr>
        <w:t>二、《收入决算表》</w:t>
      </w:r>
    </w:p>
    <w:p w14:paraId="7B237F49">
      <w:pPr>
        <w:spacing w:line="240" w:lineRule="auto"/>
        <w:ind w:firstLine="640"/>
        <w:jc w:val="both"/>
      </w:pPr>
      <w:r>
        <w:rPr>
          <w:rFonts w:ascii="仿宋_GB2312" w:hAnsi="仿宋_GB2312" w:eastAsia="仿宋_GB2312"/>
          <w:b w:val="0"/>
          <w:sz w:val="32"/>
        </w:rPr>
        <w:t>三、《支出决算表》</w:t>
      </w:r>
    </w:p>
    <w:p w14:paraId="579F783D">
      <w:pPr>
        <w:spacing w:line="240" w:lineRule="auto"/>
        <w:ind w:firstLine="640"/>
        <w:jc w:val="both"/>
      </w:pPr>
      <w:r>
        <w:rPr>
          <w:rFonts w:ascii="仿宋_GB2312" w:hAnsi="仿宋_GB2312" w:eastAsia="仿宋_GB2312"/>
          <w:b w:val="0"/>
          <w:sz w:val="32"/>
        </w:rPr>
        <w:t>四、《财政拨款收入支出决算总表》</w:t>
      </w:r>
    </w:p>
    <w:p w14:paraId="45D2EFF6">
      <w:pPr>
        <w:spacing w:line="240" w:lineRule="auto"/>
        <w:ind w:firstLine="640"/>
        <w:jc w:val="both"/>
      </w:pPr>
      <w:r>
        <w:rPr>
          <w:rFonts w:ascii="仿宋_GB2312" w:hAnsi="仿宋_GB2312" w:eastAsia="仿宋_GB2312"/>
          <w:b w:val="0"/>
          <w:sz w:val="32"/>
        </w:rPr>
        <w:t>五、《一般公共预算财政拨款支出决算表》</w:t>
      </w:r>
    </w:p>
    <w:p w14:paraId="76D566F0">
      <w:pPr>
        <w:spacing w:line="240" w:lineRule="auto"/>
        <w:ind w:firstLine="640"/>
        <w:jc w:val="both"/>
      </w:pPr>
      <w:r>
        <w:rPr>
          <w:rFonts w:ascii="仿宋_GB2312" w:hAnsi="仿宋_GB2312" w:eastAsia="仿宋_GB2312"/>
          <w:b w:val="0"/>
          <w:sz w:val="32"/>
        </w:rPr>
        <w:t>六、《一般公共预算财政拨款基本支出决算表》</w:t>
      </w:r>
    </w:p>
    <w:p w14:paraId="46F681D4">
      <w:pPr>
        <w:spacing w:line="240" w:lineRule="auto"/>
        <w:ind w:firstLine="640"/>
        <w:jc w:val="both"/>
      </w:pPr>
      <w:r>
        <w:rPr>
          <w:rFonts w:ascii="仿宋_GB2312" w:hAnsi="仿宋_GB2312" w:eastAsia="仿宋_GB2312"/>
          <w:b w:val="0"/>
          <w:sz w:val="32"/>
        </w:rPr>
        <w:t>七、《政府性基金预算财政拨款收入支出决算表》</w:t>
      </w:r>
    </w:p>
    <w:p w14:paraId="78B9A64E">
      <w:pPr>
        <w:spacing w:line="240" w:lineRule="auto"/>
        <w:ind w:firstLine="640"/>
        <w:jc w:val="both"/>
      </w:pPr>
      <w:r>
        <w:rPr>
          <w:rFonts w:ascii="仿宋_GB2312" w:hAnsi="仿宋_GB2312" w:eastAsia="仿宋_GB2312"/>
          <w:b w:val="0"/>
          <w:sz w:val="32"/>
        </w:rPr>
        <w:t>八、《国有资本经营预算财政拨款收入支出决算表》</w:t>
      </w:r>
    </w:p>
    <w:p w14:paraId="68988CBB">
      <w:pPr>
        <w:spacing w:line="240" w:lineRule="auto"/>
        <w:ind w:firstLine="640"/>
        <w:jc w:val="both"/>
      </w:pPr>
      <w:r>
        <w:rPr>
          <w:rFonts w:ascii="仿宋_GB2312" w:hAnsi="仿宋_GB2312" w:eastAsia="仿宋_GB2312"/>
          <w:b w:val="0"/>
          <w:sz w:val="32"/>
        </w:rPr>
        <w:t>九、《财政拨款“三公”经费支出决算表》</w:t>
      </w:r>
    </w:p>
    <w:p w14:paraId="0E3CD3B1">
      <w:pPr>
        <w:spacing w:line="240" w:lineRule="auto"/>
        <w:ind w:firstLine="640"/>
        <w:jc w:val="both"/>
      </w:pPr>
    </w:p>
    <w:p w14:paraId="466C03FA">
      <w:pPr>
        <w:spacing w:line="240" w:lineRule="auto"/>
        <w:ind w:firstLine="640"/>
        <w:jc w:val="both"/>
      </w:pPr>
    </w:p>
    <w:p w14:paraId="143016E7">
      <w:pPr>
        <w:spacing w:line="240" w:lineRule="auto"/>
        <w:ind w:firstLine="640"/>
        <w:jc w:val="both"/>
      </w:pPr>
    </w:p>
    <w:p w14:paraId="1CBE875C">
      <w:pPr>
        <w:spacing w:line="240" w:lineRule="auto"/>
        <w:ind w:firstLine="640"/>
        <w:jc w:val="both"/>
      </w:pPr>
    </w:p>
    <w:p w14:paraId="69C8F2E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7EA35D-0063-40CA-AE70-49DE48426B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8BDCFC8-CC2C-4C27-840A-70530CD3065A}"/>
  </w:font>
  <w:font w:name="仿宋_GB2312">
    <w:altName w:val="仿宋"/>
    <w:panose1 w:val="02010609030101010101"/>
    <w:charset w:val="86"/>
    <w:family w:val="modern"/>
    <w:pitch w:val="default"/>
    <w:sig w:usb0="00000000" w:usb1="00000000" w:usb2="00000000" w:usb3="00000000" w:csb0="00040000" w:csb1="00000000"/>
    <w:embedRegular r:id="rId3" w:fontKey="{C4E41387-578F-46B9-912B-9718BDBCCC1E}"/>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2E6604C1-AB53-4E99-9B6B-631F591D518B}"/>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297AEE"/>
    <w:rsid w:val="0A3C58E8"/>
    <w:rsid w:val="0A7B4867"/>
    <w:rsid w:val="0B8C3ECC"/>
    <w:rsid w:val="0C3613A3"/>
    <w:rsid w:val="0C7227A7"/>
    <w:rsid w:val="0DCA6EF7"/>
    <w:rsid w:val="0E4B1576"/>
    <w:rsid w:val="0EA04331"/>
    <w:rsid w:val="0F9811B3"/>
    <w:rsid w:val="11E15093"/>
    <w:rsid w:val="120E0809"/>
    <w:rsid w:val="16521C58"/>
    <w:rsid w:val="19071D6C"/>
    <w:rsid w:val="19B5554D"/>
    <w:rsid w:val="1AE9320B"/>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C93CE0"/>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6314</Words>
  <Characters>7040</Characters>
  <Lines>0</Lines>
  <Paragraphs>0</Paragraphs>
  <TotalTime>7</TotalTime>
  <ScaleCrop>false</ScaleCrop>
  <LinksUpToDate>false</LinksUpToDate>
  <CharactersWithSpaces>7048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2025-09-03T11:33:40Z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