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喀什地区草原站2024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73B420F">
      <w:r>
        <w:br w:type="page"/>
      </w:r>
    </w:p>
    <w:p w14:paraId="4C2E2726">
      <w:pPr>
        <w:spacing w:line="640" w:lineRule="exact"/>
        <w:jc w:val="center"/>
        <w:outlineLvl w:val="1"/>
      </w:pPr>
      <w:r>
        <w:rPr>
          <w:rFonts w:ascii="黑体" w:hAnsi="黑体" w:eastAsia="黑体"/>
          <w:sz w:val="32"/>
        </w:rPr>
        <w:t>第一部分 部门概况</w:t>
      </w:r>
    </w:p>
    <w:p w14:paraId="7762A193">
      <w:pPr>
        <w:spacing w:line="640" w:lineRule="exact"/>
        <w:ind w:firstLine="640"/>
        <w:jc w:val="both"/>
        <w:outlineLvl w:val="2"/>
      </w:pPr>
      <w:r>
        <w:rPr>
          <w:rFonts w:ascii="黑体" w:hAnsi="黑体" w:eastAsia="黑体"/>
          <w:sz w:val="32"/>
        </w:rPr>
        <w:t>一、主要职能</w:t>
      </w:r>
    </w:p>
    <w:p w14:paraId="109274AD">
      <w:pPr>
        <w:spacing w:line="580" w:lineRule="exact"/>
        <w:ind w:firstLine="640"/>
        <w:jc w:val="both"/>
      </w:pPr>
      <w:r>
        <w:rPr>
          <w:rFonts w:ascii="仿宋_GB2312" w:hAnsi="仿宋_GB2312" w:eastAsia="仿宋_GB2312"/>
          <w:sz w:val="32"/>
        </w:rPr>
        <w:t>承担全地区草原资源与生态保护、建设、草原生态修复治理、草原资源与生态监测、调查等服务工作；承担地区草原虫鼠害预测预报与防治工作；负责地区草原新技术与新品种试验、示范、推广等技术服务工作。</w:t>
      </w:r>
    </w:p>
    <w:p w14:paraId="2CD45FA2">
      <w:pPr>
        <w:spacing w:line="640" w:lineRule="exact"/>
        <w:ind w:firstLine="640"/>
        <w:jc w:val="both"/>
        <w:outlineLvl w:val="2"/>
      </w:pPr>
      <w:r>
        <w:rPr>
          <w:rFonts w:ascii="黑体" w:hAnsi="黑体" w:eastAsia="黑体"/>
          <w:sz w:val="32"/>
        </w:rPr>
        <w:t>二、机构设置及人员情况</w:t>
      </w:r>
    </w:p>
    <w:p w14:paraId="5FD80452">
      <w:pPr>
        <w:spacing w:line="580" w:lineRule="exact"/>
        <w:ind w:firstLine="640"/>
        <w:jc w:val="both"/>
      </w:pPr>
      <w:r>
        <w:rPr>
          <w:rFonts w:ascii="仿宋_GB2312" w:hAnsi="仿宋_GB2312" w:eastAsia="仿宋_GB2312"/>
          <w:sz w:val="32"/>
        </w:rPr>
        <w:t>喀什地区草原站2024年度，实有人数33人，其中：在职人员21人，减少3人；离休人员0人，增加0人；退休人员12人,增加3人。</w:t>
      </w:r>
    </w:p>
    <w:p w14:paraId="1E92C3E5">
      <w:pPr>
        <w:spacing w:line="580" w:lineRule="exact"/>
        <w:ind w:firstLine="640"/>
        <w:jc w:val="both"/>
      </w:pPr>
      <w:r>
        <w:rPr>
          <w:rFonts w:ascii="仿宋_GB2312" w:hAnsi="仿宋_GB2312" w:eastAsia="仿宋_GB2312"/>
          <w:sz w:val="32"/>
        </w:rPr>
        <w:t>喀什地区草原站无下属预算单位，下设4个科室，分别是：综合科、草原建设科、草原资源监测科、草原虫鼠害防治科。</w:t>
      </w:r>
    </w:p>
    <w:p w14:paraId="7D338B1B">
      <w:r>
        <w:br w:type="page"/>
      </w:r>
    </w:p>
    <w:p w14:paraId="2BD0220B">
      <w:pPr>
        <w:spacing w:line="240" w:lineRule="auto"/>
        <w:jc w:val="center"/>
        <w:outlineLvl w:val="1"/>
      </w:pPr>
      <w:r>
        <w:rPr>
          <w:rFonts w:ascii="黑体" w:hAnsi="黑体" w:eastAsia="黑体"/>
          <w:sz w:val="32"/>
        </w:rPr>
        <w:t>第二部分 部门决算情况说明</w:t>
      </w:r>
    </w:p>
    <w:p w14:paraId="1F114344">
      <w:pPr>
        <w:spacing w:line="640" w:lineRule="exact"/>
        <w:ind w:firstLine="640"/>
        <w:jc w:val="both"/>
        <w:outlineLvl w:val="2"/>
      </w:pPr>
      <w:r>
        <w:rPr>
          <w:rFonts w:ascii="黑体" w:hAnsi="黑体" w:eastAsia="黑体"/>
          <w:sz w:val="32"/>
        </w:rPr>
        <w:t>一、收入支出决算总体情况说明</w:t>
      </w:r>
    </w:p>
    <w:p w14:paraId="395ED305">
      <w:pPr>
        <w:spacing w:line="580" w:lineRule="exact"/>
        <w:ind w:firstLine="640"/>
        <w:jc w:val="both"/>
      </w:pPr>
      <w:r>
        <w:rPr>
          <w:rFonts w:ascii="仿宋_GB2312" w:hAnsi="仿宋_GB2312" w:eastAsia="仿宋_GB2312"/>
          <w:b/>
          <w:sz w:val="32"/>
        </w:rPr>
        <w:t>2024年度收入总计550.99万元，</w:t>
      </w:r>
      <w:r>
        <w:rPr>
          <w:rFonts w:ascii="仿宋_GB2312" w:hAnsi="仿宋_GB2312" w:eastAsia="仿宋_GB2312"/>
          <w:b w:val="0"/>
          <w:sz w:val="32"/>
        </w:rPr>
        <w:t>其中：本年收入合计550.99万元，使用非财政拨款结余（含专用结余）0.00万元，年初结转和结余0.00万元。</w:t>
      </w:r>
    </w:p>
    <w:p w14:paraId="6BCA8683">
      <w:pPr>
        <w:spacing w:line="580" w:lineRule="exact"/>
        <w:ind w:firstLine="640"/>
        <w:jc w:val="both"/>
      </w:pPr>
      <w:r>
        <w:rPr>
          <w:rFonts w:ascii="仿宋_GB2312" w:hAnsi="仿宋_GB2312" w:eastAsia="仿宋_GB2312"/>
          <w:b/>
          <w:sz w:val="32"/>
        </w:rPr>
        <w:t>2024年度支出总计550.99万元，</w:t>
      </w:r>
      <w:r>
        <w:rPr>
          <w:rFonts w:ascii="仿宋_GB2312" w:hAnsi="仿宋_GB2312" w:eastAsia="仿宋_GB2312"/>
          <w:b w:val="0"/>
          <w:sz w:val="32"/>
        </w:rPr>
        <w:t>其中：本年支出合计550.99万元，结余分配0.00万元，年末结转和结余0.00万元。</w:t>
      </w:r>
    </w:p>
    <w:p w14:paraId="4FF4434D">
      <w:pPr>
        <w:spacing w:line="580" w:lineRule="exact"/>
        <w:ind w:firstLine="640"/>
        <w:jc w:val="both"/>
      </w:pPr>
      <w:r>
        <w:rPr>
          <w:rFonts w:ascii="仿宋_GB2312" w:hAnsi="仿宋_GB2312" w:eastAsia="仿宋_GB2312"/>
          <w:b w:val="0"/>
          <w:sz w:val="32"/>
        </w:rPr>
        <w:t>收入支出总体与上年相比，减少339.60万元，下降38.13%，主要原因是：本年在职人员减少，导致</w:t>
      </w:r>
      <w:bookmarkStart w:id="0" w:name="_GoBack"/>
      <w:r>
        <w:rPr>
          <w:rFonts w:ascii="仿宋_GB2312" w:hAnsi="仿宋_GB2312" w:eastAsia="仿宋_GB2312"/>
          <w:b w:val="0"/>
          <w:sz w:val="32"/>
        </w:rPr>
        <w:t>相关人员经费减少；项目方面2024年自治区未下达调查普查任务和资金，大部分草原修复项目交由县市实施，地区本级执行项目资金减少</w:t>
      </w:r>
      <w:bookmarkEnd w:id="0"/>
      <w:r>
        <w:rPr>
          <w:rFonts w:ascii="仿宋_GB2312" w:hAnsi="仿宋_GB2312" w:eastAsia="仿宋_GB2312"/>
          <w:b w:val="0"/>
          <w:sz w:val="32"/>
        </w:rPr>
        <w:t>。</w:t>
      </w:r>
    </w:p>
    <w:p w14:paraId="4C5B51DA">
      <w:pPr>
        <w:spacing w:line="640" w:lineRule="exact"/>
        <w:ind w:firstLine="640"/>
        <w:jc w:val="both"/>
        <w:outlineLvl w:val="2"/>
      </w:pPr>
      <w:r>
        <w:rPr>
          <w:rFonts w:ascii="黑体" w:hAnsi="黑体" w:eastAsia="黑体"/>
          <w:sz w:val="32"/>
        </w:rPr>
        <w:t>二、收入决算情况说明</w:t>
      </w:r>
    </w:p>
    <w:p w14:paraId="72139828">
      <w:pPr>
        <w:spacing w:line="580" w:lineRule="exact"/>
        <w:ind w:firstLine="640"/>
        <w:jc w:val="both"/>
      </w:pPr>
      <w:r>
        <w:rPr>
          <w:rFonts w:ascii="仿宋_GB2312" w:hAnsi="仿宋_GB2312" w:eastAsia="仿宋_GB2312"/>
          <w:b/>
          <w:sz w:val="32"/>
        </w:rPr>
        <w:t>本年收入550.99万元，</w:t>
      </w:r>
      <w:r>
        <w:rPr>
          <w:rFonts w:ascii="仿宋_GB2312" w:hAnsi="仿宋_GB2312" w:eastAsia="仿宋_GB2312"/>
          <w:b w:val="0"/>
          <w:sz w:val="32"/>
        </w:rPr>
        <w:t>其中：财政拨款收入550.99万元，占100.00%；上级补助收入0.00万元，占0.00%；事业收入0.00万元，占0.00%；经营收入0.00万元，占0.00%；附属单位上缴收入0.00万元，占0.00%；其他收入0.00万元，占0.00%。</w:t>
      </w:r>
    </w:p>
    <w:p w14:paraId="02B3F34B">
      <w:pPr>
        <w:spacing w:line="640" w:lineRule="exact"/>
        <w:ind w:firstLine="640"/>
        <w:jc w:val="both"/>
        <w:outlineLvl w:val="2"/>
      </w:pPr>
      <w:r>
        <w:rPr>
          <w:rFonts w:ascii="黑体" w:hAnsi="黑体" w:eastAsia="黑体"/>
          <w:sz w:val="32"/>
        </w:rPr>
        <w:t>三、支出决算情况说明</w:t>
      </w:r>
    </w:p>
    <w:p w14:paraId="61812886">
      <w:pPr>
        <w:spacing w:line="580" w:lineRule="exact"/>
        <w:ind w:firstLine="640"/>
        <w:jc w:val="both"/>
      </w:pPr>
      <w:r>
        <w:rPr>
          <w:rFonts w:ascii="仿宋_GB2312" w:hAnsi="仿宋_GB2312" w:eastAsia="仿宋_GB2312"/>
          <w:b/>
          <w:sz w:val="32"/>
        </w:rPr>
        <w:t>本年支出550.99万元，</w:t>
      </w:r>
      <w:r>
        <w:rPr>
          <w:rFonts w:ascii="仿宋_GB2312" w:hAnsi="仿宋_GB2312" w:eastAsia="仿宋_GB2312"/>
          <w:b w:val="0"/>
          <w:sz w:val="32"/>
        </w:rPr>
        <w:t>其中：基本支出509.63万元，占92.49%；项目支出41.36万元，占7.51%；上缴上级支出0.00万元，占0.00%；经营支出0.00万元，占0.00%；对附属单位补助支出0.00万元，占0.00%。</w:t>
      </w:r>
    </w:p>
    <w:p w14:paraId="4627622F">
      <w:pPr>
        <w:spacing w:line="640" w:lineRule="exact"/>
        <w:ind w:firstLine="640"/>
        <w:jc w:val="both"/>
        <w:outlineLvl w:val="2"/>
      </w:pPr>
      <w:r>
        <w:rPr>
          <w:rFonts w:ascii="黑体" w:hAnsi="黑体" w:eastAsia="黑体"/>
          <w:sz w:val="32"/>
        </w:rPr>
        <w:t>四、财政拨款收入支出决算总体情况说明</w:t>
      </w:r>
    </w:p>
    <w:p w14:paraId="5C128F61">
      <w:pPr>
        <w:spacing w:line="580" w:lineRule="exact"/>
        <w:ind w:firstLine="640"/>
        <w:jc w:val="both"/>
      </w:pPr>
      <w:r>
        <w:rPr>
          <w:rFonts w:ascii="仿宋_GB2312" w:hAnsi="仿宋_GB2312" w:eastAsia="仿宋_GB2312"/>
          <w:b/>
          <w:sz w:val="32"/>
        </w:rPr>
        <w:t>2024年度财政拨款收入总计550.99万元，</w:t>
      </w:r>
      <w:r>
        <w:rPr>
          <w:rFonts w:ascii="仿宋_GB2312" w:hAnsi="仿宋_GB2312" w:eastAsia="仿宋_GB2312"/>
          <w:b w:val="0"/>
          <w:sz w:val="32"/>
        </w:rPr>
        <w:t>其中：年初财政拨款结转和结余0.00万元，本年财政拨款收入550.99万元。</w:t>
      </w:r>
      <w:r>
        <w:rPr>
          <w:rFonts w:ascii="仿宋_GB2312" w:hAnsi="仿宋_GB2312" w:eastAsia="仿宋_GB2312"/>
          <w:b/>
          <w:sz w:val="32"/>
        </w:rPr>
        <w:t>财政拨款支出总计550.99万元，</w:t>
      </w:r>
      <w:r>
        <w:rPr>
          <w:rFonts w:ascii="仿宋_GB2312" w:hAnsi="仿宋_GB2312" w:eastAsia="仿宋_GB2312"/>
          <w:b w:val="0"/>
          <w:sz w:val="32"/>
        </w:rPr>
        <w:t>其中：年末财政拨款结转和结余0.00万元，本年财政拨款支出550.99万元。</w:t>
      </w:r>
    </w:p>
    <w:p w14:paraId="205C186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减少339.60万元，下降38.13%，主要原因是：本年在职人员减少，导致相关人员经费减少；项目方面2024年自治区未下达调查普查任务和资金，大部分草原修复项目交由县市实施，地区本级执行项目资金减少。</w:t>
      </w:r>
      <w:r>
        <w:rPr>
          <w:rFonts w:ascii="仿宋_GB2312" w:hAnsi="仿宋_GB2312" w:eastAsia="仿宋_GB2312"/>
          <w:b/>
          <w:sz w:val="32"/>
        </w:rPr>
        <w:t>与年初预算相比，</w:t>
      </w:r>
      <w:r>
        <w:rPr>
          <w:rFonts w:ascii="仿宋_GB2312" w:hAnsi="仿宋_GB2312" w:eastAsia="仿宋_GB2312"/>
          <w:b w:val="0"/>
          <w:sz w:val="32"/>
        </w:rPr>
        <w:t>年初预算数554.92万元，决算数550.99万元，预决算差异率-0.71%，主要原因是：本年在职人员减少，年中调减人员经费；年中调减草原修复项目经费，导致预决算存在差异。</w:t>
      </w:r>
    </w:p>
    <w:p w14:paraId="2F348056">
      <w:pPr>
        <w:spacing w:line="640" w:lineRule="exact"/>
        <w:ind w:firstLine="640"/>
        <w:jc w:val="both"/>
        <w:outlineLvl w:val="2"/>
      </w:pPr>
      <w:r>
        <w:rPr>
          <w:rFonts w:ascii="黑体" w:hAnsi="黑体" w:eastAsia="黑体"/>
          <w:sz w:val="32"/>
        </w:rPr>
        <w:t>五、一般公共预算财政拨款支出决算情况说明</w:t>
      </w:r>
    </w:p>
    <w:p w14:paraId="2174EF09">
      <w:pPr>
        <w:spacing w:line="640" w:lineRule="exact"/>
        <w:ind w:firstLine="640"/>
        <w:jc w:val="both"/>
        <w:outlineLvl w:val="3"/>
      </w:pPr>
      <w:r>
        <w:rPr>
          <w:rFonts w:ascii="楷体_GB2312" w:hAnsi="楷体_GB2312" w:eastAsia="楷体_GB2312"/>
          <w:b/>
          <w:sz w:val="32"/>
        </w:rPr>
        <w:t>（一）一般公共预算财政拨款支出决算总体情况</w:t>
      </w:r>
    </w:p>
    <w:p w14:paraId="22362D63">
      <w:pPr>
        <w:spacing w:line="580" w:lineRule="exact"/>
        <w:ind w:firstLine="640"/>
        <w:jc w:val="both"/>
      </w:pPr>
      <w:r>
        <w:rPr>
          <w:rFonts w:ascii="仿宋_GB2312" w:hAnsi="仿宋_GB2312" w:eastAsia="仿宋_GB2312"/>
          <w:b/>
          <w:sz w:val="32"/>
        </w:rPr>
        <w:t>2024年度一般公共预算财政拨款支出550.99万元，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减少339.60万元，下降38.13%，主要原因是：本年在职人员减少，导致相关人员经费减少；项目方面2024年自治区未下达调查普查任务和资金，大部分草原修复项目交由县市实施，地区本级执行项目资金减少。</w:t>
      </w:r>
      <w:r>
        <w:rPr>
          <w:rFonts w:ascii="仿宋_GB2312" w:hAnsi="仿宋_GB2312" w:eastAsia="仿宋_GB2312"/>
          <w:b/>
          <w:sz w:val="32"/>
        </w:rPr>
        <w:t>与年初预算相比,</w:t>
      </w:r>
      <w:r>
        <w:rPr>
          <w:rFonts w:ascii="仿宋_GB2312" w:hAnsi="仿宋_GB2312" w:eastAsia="仿宋_GB2312"/>
          <w:b w:val="0"/>
          <w:sz w:val="32"/>
        </w:rPr>
        <w:t>年初预算数554.92万元，决算数550.99万元，预决算差异率-0.71%，主要原因是：本年在职人员减少，年中调减人员经费；年中调减草原修复项目经费，导致预决算存在差异。</w:t>
      </w:r>
    </w:p>
    <w:p w14:paraId="1F4FCFE5">
      <w:pPr>
        <w:spacing w:line="640" w:lineRule="exact"/>
        <w:ind w:firstLine="640"/>
        <w:jc w:val="both"/>
        <w:outlineLvl w:val="3"/>
      </w:pPr>
      <w:r>
        <w:rPr>
          <w:rFonts w:ascii="楷体_GB2312" w:hAnsi="楷体_GB2312" w:eastAsia="楷体_GB2312"/>
          <w:b/>
          <w:sz w:val="32"/>
        </w:rPr>
        <w:t>（二）一般公共预算财政拨款支出决算结构情况</w:t>
      </w:r>
    </w:p>
    <w:p w14:paraId="61BF1C83">
      <w:pPr>
        <w:spacing w:line="580" w:lineRule="exact"/>
        <w:ind w:firstLine="640"/>
        <w:jc w:val="both"/>
      </w:pPr>
      <w:r>
        <w:rPr>
          <w:rFonts w:ascii="仿宋_GB2312" w:hAnsi="仿宋_GB2312" w:eastAsia="仿宋_GB2312"/>
          <w:b w:val="0"/>
          <w:sz w:val="32"/>
        </w:rPr>
        <w:t>1.科学技术支出(类)8.45万元,占1.53%。</w:t>
      </w:r>
    </w:p>
    <w:p w14:paraId="7E58B32E">
      <w:pPr>
        <w:spacing w:line="580" w:lineRule="exact"/>
        <w:ind w:firstLine="640"/>
        <w:jc w:val="both"/>
      </w:pPr>
      <w:r>
        <w:rPr>
          <w:rFonts w:ascii="仿宋_GB2312" w:hAnsi="仿宋_GB2312" w:eastAsia="仿宋_GB2312"/>
          <w:b w:val="0"/>
          <w:sz w:val="32"/>
        </w:rPr>
        <w:t>2.社会保障和就业支出(类)93.16万元,占16.91%。</w:t>
      </w:r>
    </w:p>
    <w:p w14:paraId="007CC323">
      <w:pPr>
        <w:spacing w:line="580" w:lineRule="exact"/>
        <w:ind w:firstLine="640"/>
        <w:jc w:val="both"/>
      </w:pPr>
      <w:r>
        <w:rPr>
          <w:rFonts w:ascii="仿宋_GB2312" w:hAnsi="仿宋_GB2312" w:eastAsia="仿宋_GB2312"/>
          <w:b w:val="0"/>
          <w:sz w:val="32"/>
        </w:rPr>
        <w:t>3.卫生健康支出(类)17.25万元,占3.13%。</w:t>
      </w:r>
    </w:p>
    <w:p w14:paraId="66009C1D">
      <w:pPr>
        <w:spacing w:line="580" w:lineRule="exact"/>
        <w:ind w:firstLine="640"/>
        <w:jc w:val="both"/>
      </w:pPr>
      <w:r>
        <w:rPr>
          <w:rFonts w:ascii="仿宋_GB2312" w:hAnsi="仿宋_GB2312" w:eastAsia="仿宋_GB2312"/>
          <w:b w:val="0"/>
          <w:sz w:val="32"/>
        </w:rPr>
        <w:t>4.农林水支出(类)397.08万元,占72.07%。</w:t>
      </w:r>
    </w:p>
    <w:p w14:paraId="1BA2F35F">
      <w:pPr>
        <w:spacing w:line="580" w:lineRule="exact"/>
        <w:ind w:firstLine="640"/>
        <w:jc w:val="both"/>
      </w:pPr>
      <w:r>
        <w:rPr>
          <w:rFonts w:ascii="仿宋_GB2312" w:hAnsi="仿宋_GB2312" w:eastAsia="仿宋_GB2312"/>
          <w:b w:val="0"/>
          <w:sz w:val="32"/>
        </w:rPr>
        <w:t>5.住房保障支出(类)35.04万元,占6.36%。</w:t>
      </w:r>
    </w:p>
    <w:p w14:paraId="0FBE64C8">
      <w:pPr>
        <w:spacing w:line="640" w:lineRule="exact"/>
        <w:ind w:firstLine="640"/>
        <w:jc w:val="both"/>
        <w:outlineLvl w:val="3"/>
      </w:pPr>
      <w:r>
        <w:rPr>
          <w:rFonts w:ascii="楷体_GB2312" w:hAnsi="楷体_GB2312" w:eastAsia="楷体_GB2312"/>
          <w:b/>
          <w:sz w:val="32"/>
        </w:rPr>
        <w:t>（三）一般公共预算财政拨款支出决算具体情况</w:t>
      </w:r>
    </w:p>
    <w:p w14:paraId="3B46BA96">
      <w:pPr>
        <w:spacing w:line="580" w:lineRule="exact"/>
        <w:ind w:firstLine="640"/>
        <w:jc w:val="both"/>
      </w:pPr>
      <w:r>
        <w:rPr>
          <w:rFonts w:ascii="仿宋_GB2312" w:hAnsi="仿宋_GB2312" w:eastAsia="仿宋_GB2312"/>
          <w:b w:val="0"/>
          <w:sz w:val="32"/>
        </w:rPr>
        <w:t>1.科学技术支出(类)技术研究与开发(款)科技成果转化与扩散(项):支出决算数为8.45万元，比上年决算减少6.55万元，下降43.67%,主要原因是：本年减少喀什地区高值多抗苜蓿种质资源收集保存项目、品种筛选与示范推广应用研究项目，科技成果转化与扩散项目资金。</w:t>
      </w:r>
    </w:p>
    <w:p w14:paraId="22D197E1">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2.社会保障和就业支出(类)行政事业单位养老支出(款)事业单位离退休(项):支出决算数为14.46万元，比上年决算增加5.47万元，增长60.85%,主要原因是：本年退休人员增加，退休费支出增加。</w:t>
      </w:r>
    </w:p>
    <w:p w14:paraId="13ED6C8E">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40.73万元，比上年决算减少2.56万元，下降5.91%,主要原因是：本年在职人员减少，单位基本养老保险缴费较上年减少。</w:t>
      </w:r>
    </w:p>
    <w:p w14:paraId="67769589">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4.社会保障和就业支出(类)行政事业单位养老支出(款)机关事业单位职业年金缴费支出(项):支出决算数为37.97万元，比上年决算增加35.04万元，增长</w:t>
      </w:r>
      <w:r>
        <w:rPr>
          <w:rFonts w:hint="eastAsia" w:ascii="仿宋_GB2312" w:hAnsi="仿宋_GB2312" w:eastAsia="仿宋_GB2312"/>
          <w:b w:val="0"/>
          <w:sz w:val="32"/>
          <w:lang w:eastAsia="zh-CN"/>
        </w:rPr>
        <w:t>1195</w:t>
      </w:r>
      <w:r>
        <w:rPr>
          <w:rFonts w:ascii="仿宋_GB2312" w:hAnsi="仿宋_GB2312" w:eastAsia="仿宋_GB2312"/>
          <w:b w:val="0"/>
          <w:sz w:val="32"/>
        </w:rPr>
        <w:t>.90%,主要原因是：本年新增退休人员、辞职人员，同时补缴以前年度辞职1人职业年金，职业年金缴费支出增加。</w:t>
      </w:r>
    </w:p>
    <w:p w14:paraId="4C2654F4">
      <w:pPr>
        <w:spacing w:line="580" w:lineRule="exact"/>
        <w:ind w:firstLine="640"/>
        <w:jc w:val="both"/>
      </w:pPr>
      <w:r>
        <w:rPr>
          <w:rFonts w:ascii="仿宋_GB2312" w:hAnsi="仿宋_GB2312" w:eastAsia="仿宋_GB2312"/>
          <w:b w:val="0"/>
          <w:sz w:val="32"/>
        </w:rPr>
        <w:t>5.卫生健康支出(类)行政事业单位医疗(款)事业单位医疗(项):支出决算数为17.25万元，比上年决算减少1.09万元，下降5.94%,主要原因是：本年在职人员减少，事业单位医疗支出较上年减少。</w:t>
      </w:r>
    </w:p>
    <w:p w14:paraId="2F0D28B7">
      <w:pPr>
        <w:spacing w:line="580" w:lineRule="exact"/>
        <w:ind w:firstLine="640"/>
        <w:jc w:val="both"/>
      </w:pPr>
      <w:r>
        <w:rPr>
          <w:rFonts w:ascii="仿宋_GB2312" w:hAnsi="仿宋_GB2312" w:eastAsia="仿宋_GB2312"/>
          <w:b w:val="0"/>
          <w:sz w:val="32"/>
        </w:rPr>
        <w:t>6.节能环保支出(类)自然生态保护(款)草原生态修复治理(项):支出决算数为0.00万元，比上年决算减少2.61万元，下降100.00%,主要原因是：2024年自治区未下达调查普查任务和资金，大部分草原修复项目交由县市实施，草原生态修复治理项目资金减少。</w:t>
      </w:r>
    </w:p>
    <w:p w14:paraId="2D1BB293">
      <w:pPr>
        <w:spacing w:line="580" w:lineRule="exact"/>
        <w:ind w:firstLine="640"/>
        <w:jc w:val="both"/>
      </w:pPr>
      <w:r>
        <w:rPr>
          <w:rFonts w:ascii="仿宋_GB2312" w:hAnsi="仿宋_GB2312" w:eastAsia="仿宋_GB2312"/>
          <w:b w:val="0"/>
          <w:sz w:val="32"/>
        </w:rPr>
        <w:t>7.农林水支出(类)林业和草原(款)事业机构(项):支出决算数为364.18万元，比上年决算减少31.75万元，下降8.02%,主要原因是：本年在职人员减少，开展基层工作活动联谊费支出减少，导致此科目经费减少。</w:t>
      </w:r>
    </w:p>
    <w:p w14:paraId="66BDE5CC">
      <w:pPr>
        <w:spacing w:line="580" w:lineRule="exact"/>
        <w:ind w:firstLine="640"/>
        <w:jc w:val="both"/>
      </w:pPr>
      <w:r>
        <w:rPr>
          <w:rFonts w:ascii="仿宋_GB2312" w:hAnsi="仿宋_GB2312" w:eastAsia="仿宋_GB2312"/>
          <w:b w:val="0"/>
          <w:sz w:val="32"/>
        </w:rPr>
        <w:t>8.农林水支出(类)林业和草原(款)林业草原防灾减灾(项):支出决算数为12.00万元，比上年决算增加12.00万元，增长100.00%,主要原因是：本年增加中央财政林业和草原改革发展资金（草原有害生物防治）项目。</w:t>
      </w:r>
    </w:p>
    <w:p w14:paraId="285F0AF4">
      <w:pPr>
        <w:spacing w:line="580" w:lineRule="exact"/>
        <w:ind w:firstLine="640"/>
        <w:jc w:val="both"/>
      </w:pPr>
      <w:r>
        <w:rPr>
          <w:rFonts w:ascii="仿宋_GB2312" w:hAnsi="仿宋_GB2312" w:eastAsia="仿宋_GB2312"/>
          <w:b w:val="0"/>
          <w:sz w:val="32"/>
        </w:rPr>
        <w:t>9.农林水支出(类)林业和草原(款)草原管理(项):支出决算数为10.91万元，比上年决算减少37.39万元，下降77.41%,主要原因是：本年喀什地区2024年自治区林草专项资金(草原植被恢复费—草原资源和有害生物常规监测）项目经费减少。</w:t>
      </w:r>
    </w:p>
    <w:p w14:paraId="6B14FDDD">
      <w:pPr>
        <w:spacing w:line="580" w:lineRule="exact"/>
        <w:ind w:firstLine="640"/>
        <w:jc w:val="both"/>
      </w:pPr>
      <w:r>
        <w:rPr>
          <w:rFonts w:ascii="仿宋_GB2312" w:hAnsi="仿宋_GB2312" w:eastAsia="仿宋_GB2312"/>
          <w:b w:val="0"/>
          <w:sz w:val="32"/>
        </w:rPr>
        <w:t>10.农林水支出(类)林业和草原(款)其他林业和草原支出(项):支出决算数为10.00万元，比上年决算减少309.44万元，下降96.87%,主要原因是：本年喀什地区自治区林草专项资金（种苗培育补助）自治区草品种区域试验补助项目经费减少。</w:t>
      </w:r>
    </w:p>
    <w:p w14:paraId="2F7D8035">
      <w:pPr>
        <w:spacing w:line="580" w:lineRule="exact"/>
        <w:ind w:firstLine="640"/>
        <w:jc w:val="both"/>
      </w:pPr>
      <w:r>
        <w:rPr>
          <w:rFonts w:ascii="仿宋_GB2312" w:hAnsi="仿宋_GB2312" w:eastAsia="仿宋_GB2312"/>
          <w:b w:val="0"/>
          <w:sz w:val="32"/>
        </w:rPr>
        <w:t>11.住房保障支出(类)住房改革支出(款)住房公积金(项):支出决算数为35.04万元，比上年决算减少0.71万元，下降1.99%,主要原因是：本年在职人员减少，住房公积金缴费较上年减少。</w:t>
      </w:r>
    </w:p>
    <w:p w14:paraId="5DB9F5FD">
      <w:pPr>
        <w:spacing w:line="640" w:lineRule="exact"/>
        <w:ind w:firstLine="640"/>
        <w:jc w:val="both"/>
        <w:outlineLvl w:val="2"/>
      </w:pPr>
      <w:r>
        <w:rPr>
          <w:rFonts w:ascii="黑体" w:hAnsi="黑体" w:eastAsia="黑体"/>
          <w:sz w:val="32"/>
        </w:rPr>
        <w:t>六、一般公共预算财政拨款基本支出决算情况说明</w:t>
      </w:r>
    </w:p>
    <w:p w14:paraId="30CB7398">
      <w:pPr>
        <w:spacing w:line="580" w:lineRule="exact"/>
        <w:ind w:firstLine="640"/>
        <w:jc w:val="both"/>
      </w:pPr>
      <w:r>
        <w:rPr>
          <w:rFonts w:ascii="仿宋_GB2312" w:hAnsi="仿宋_GB2312" w:eastAsia="仿宋_GB2312"/>
          <w:b w:val="0"/>
          <w:sz w:val="32"/>
        </w:rPr>
        <w:t>2024年度一般公共预算财政拨款基本支出509.63万元，其中：</w:t>
      </w:r>
      <w:r>
        <w:rPr>
          <w:rFonts w:ascii="仿宋_GB2312" w:hAnsi="仿宋_GB2312" w:eastAsia="仿宋_GB2312"/>
          <w:b/>
          <w:sz w:val="32"/>
        </w:rPr>
        <w:t>人员经费495.02万元，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奖励金、其他对个人和家庭的补助。</w:t>
      </w:r>
    </w:p>
    <w:p w14:paraId="016C0E19">
      <w:pPr>
        <w:spacing w:line="580" w:lineRule="exact"/>
        <w:ind w:firstLine="640"/>
        <w:jc w:val="both"/>
      </w:pPr>
      <w:r>
        <w:rPr>
          <w:rFonts w:ascii="仿宋_GB2312" w:hAnsi="仿宋_GB2312" w:eastAsia="仿宋_GB2312"/>
          <w:b/>
          <w:sz w:val="32"/>
        </w:rPr>
        <w:t>公用经费14.62万元，</w:t>
      </w:r>
      <w:r>
        <w:rPr>
          <w:rFonts w:ascii="仿宋_GB2312" w:hAnsi="仿宋_GB2312" w:eastAsia="仿宋_GB2312"/>
          <w:b w:val="0"/>
          <w:sz w:val="32"/>
        </w:rPr>
        <w:t>包括：办公费、邮电费、差旅费、专用材料费、工会经费、公务用车运行维护费、其他交通费用、其他商品和服务支出。</w:t>
      </w:r>
    </w:p>
    <w:p w14:paraId="72041AAD">
      <w:pPr>
        <w:spacing w:line="640" w:lineRule="exact"/>
        <w:ind w:firstLine="640"/>
        <w:jc w:val="both"/>
        <w:outlineLvl w:val="2"/>
      </w:pPr>
      <w:r>
        <w:rPr>
          <w:rFonts w:ascii="黑体" w:hAnsi="黑体" w:eastAsia="黑体"/>
          <w:sz w:val="32"/>
        </w:rPr>
        <w:t>七、政府性基金预算财政拨款收入支出决算情况说明</w:t>
      </w:r>
    </w:p>
    <w:p w14:paraId="7791F097">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758F3F99">
      <w:pPr>
        <w:spacing w:line="640" w:lineRule="exact"/>
        <w:ind w:firstLine="640"/>
        <w:jc w:val="both"/>
        <w:outlineLvl w:val="2"/>
      </w:pPr>
      <w:r>
        <w:rPr>
          <w:rFonts w:ascii="黑体" w:hAnsi="黑体" w:eastAsia="黑体"/>
          <w:sz w:val="32"/>
        </w:rPr>
        <w:t>八、国有资本经营预算财政拨款收入支出决算情况说明</w:t>
      </w:r>
    </w:p>
    <w:p w14:paraId="5CF73F8B">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3D5EC569">
      <w:pPr>
        <w:spacing w:line="640" w:lineRule="exact"/>
        <w:ind w:firstLine="640"/>
        <w:jc w:val="both"/>
        <w:outlineLvl w:val="2"/>
      </w:pPr>
      <w:r>
        <w:rPr>
          <w:rFonts w:ascii="黑体" w:hAnsi="黑体" w:eastAsia="黑体"/>
          <w:sz w:val="32"/>
        </w:rPr>
        <w:t>九、财政拨款“三公”经费支出决算情况说明</w:t>
      </w:r>
    </w:p>
    <w:p w14:paraId="614B164A">
      <w:pPr>
        <w:spacing w:line="580" w:lineRule="exact"/>
        <w:ind w:firstLine="640"/>
        <w:jc w:val="both"/>
      </w:pPr>
      <w:r>
        <w:rPr>
          <w:rFonts w:ascii="仿宋_GB2312" w:hAnsi="仿宋_GB2312" w:eastAsia="仿宋_GB2312"/>
          <w:b/>
          <w:sz w:val="32"/>
        </w:rPr>
        <w:t>2024年度财政拨款“三公”经费支出1.20万元，</w:t>
      </w:r>
      <w:r>
        <w:rPr>
          <w:rFonts w:ascii="仿宋_GB2312" w:hAnsi="仿宋_GB2312" w:eastAsia="仿宋_GB2312"/>
          <w:b w:val="0"/>
          <w:sz w:val="32"/>
        </w:rPr>
        <w:t>比上年增加0.00万元，增长0.00%，主要原因是：本部门财政拨款“三公”经费支出与上年一致无变化。其中：因公出国（境）费支出0.00万元，占0.00%，比上年增加0.00万元，增长0.00%，主要原因是：2023年与2024年均未安排因公出国（境）费支出。公务用车购置及运行维护费支出1.20万元，占100.00%，比上年增加0.00万元，增长0.00%，主要原因是：本部门公务用车购置及运行维护费支出与上年一致无变化。公务接待费支出0.00万元，占0.00%，比上年增加0.00万元，增长0.00%，主要原因是：2023年与2024年均未安排公务接待费支出。</w:t>
      </w:r>
    </w:p>
    <w:p w14:paraId="3B16C011">
      <w:pPr>
        <w:spacing w:line="580" w:lineRule="exact"/>
        <w:ind w:firstLine="640"/>
        <w:jc w:val="both"/>
      </w:pPr>
      <w:r>
        <w:rPr>
          <w:rFonts w:ascii="仿宋_GB2312" w:hAnsi="仿宋_GB2312" w:eastAsia="仿宋_GB2312"/>
          <w:b/>
          <w:sz w:val="32"/>
        </w:rPr>
        <w:t>具体情况如下：</w:t>
      </w:r>
    </w:p>
    <w:p w14:paraId="38B70883">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09FD587D">
      <w:pPr>
        <w:spacing w:line="580" w:lineRule="exact"/>
        <w:ind w:firstLine="640"/>
        <w:jc w:val="both"/>
      </w:pPr>
      <w:r>
        <w:rPr>
          <w:rFonts w:ascii="仿宋_GB2312" w:hAnsi="仿宋_GB2312" w:eastAsia="仿宋_GB2312"/>
          <w:b w:val="0"/>
          <w:sz w:val="32"/>
        </w:rPr>
        <w:t>公务用车购置及运行维护费1.20万元，其中：公务用车购置费0.00万元，公务用车运行维护费1.20万元。公务用车运行维护费开支内容包括公务用车加油费、车辆保险费、车辆维护保养费。公务用车购置数0辆，公务用车保有量1辆。国有资产占用情况中固定资产车辆1辆，与公务用车保有量差异原因是：本部门固定资产车辆与公务用车保有量一致无差异。</w:t>
      </w:r>
    </w:p>
    <w:p w14:paraId="1DF00FDB">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0731113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1.20万元，决算数1.20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1.20万元，决算数1.20万元，预决算差异率0.00%，主要原因是：严格按照预算执行，预决算无差异。公务接待费全年预算数0.00万元，决算数0.00万元，预决算差异率0.00%，主要原因是：本部门无公务接待费。</w:t>
      </w:r>
    </w:p>
    <w:p w14:paraId="2B8C15EB">
      <w:pPr>
        <w:spacing w:line="640" w:lineRule="exact"/>
        <w:ind w:firstLine="640"/>
        <w:jc w:val="both"/>
        <w:outlineLvl w:val="2"/>
      </w:pPr>
      <w:r>
        <w:rPr>
          <w:rFonts w:ascii="黑体" w:hAnsi="黑体" w:eastAsia="黑体"/>
          <w:sz w:val="32"/>
        </w:rPr>
        <w:t>十、其他重要事项的情况说明</w:t>
      </w:r>
    </w:p>
    <w:p w14:paraId="1CD51683">
      <w:pPr>
        <w:spacing w:line="640" w:lineRule="exact"/>
        <w:ind w:firstLine="640"/>
        <w:jc w:val="both"/>
        <w:outlineLvl w:val="3"/>
      </w:pPr>
      <w:r>
        <w:rPr>
          <w:rFonts w:ascii="楷体_GB2312" w:hAnsi="楷体_GB2312" w:eastAsia="楷体_GB2312"/>
          <w:b/>
          <w:sz w:val="32"/>
        </w:rPr>
        <w:t>（一）机关运行经费及公用经费支出情况</w:t>
      </w:r>
    </w:p>
    <w:p w14:paraId="1DFC5FAE">
      <w:pPr>
        <w:spacing w:line="580" w:lineRule="exact"/>
        <w:ind w:firstLine="640"/>
        <w:jc w:val="both"/>
      </w:pPr>
      <w:r>
        <w:rPr>
          <w:rFonts w:ascii="仿宋_GB2312" w:hAnsi="仿宋_GB2312" w:eastAsia="仿宋_GB2312"/>
          <w:b w:val="0"/>
          <w:sz w:val="32"/>
        </w:rPr>
        <w:t>2024年度喀什地区草原站（事业单位）公用经费支出14.62万元，比上年减少2.55万元，下降14.85%，主要原因是：本年在职人员减少，办公费、邮电费、工会经费，导致公用经费支出相应减少。</w:t>
      </w:r>
    </w:p>
    <w:p w14:paraId="0AFD1D5C">
      <w:pPr>
        <w:spacing w:line="640" w:lineRule="exact"/>
        <w:ind w:firstLine="640"/>
        <w:jc w:val="both"/>
        <w:outlineLvl w:val="3"/>
      </w:pPr>
      <w:r>
        <w:rPr>
          <w:rFonts w:ascii="楷体_GB2312" w:hAnsi="楷体_GB2312" w:eastAsia="楷体_GB2312"/>
          <w:b/>
          <w:sz w:val="32"/>
        </w:rPr>
        <w:t>（二）政府采购情况</w:t>
      </w:r>
    </w:p>
    <w:p w14:paraId="212DA658">
      <w:pPr>
        <w:spacing w:line="580" w:lineRule="exact"/>
        <w:ind w:firstLine="640"/>
        <w:jc w:val="both"/>
      </w:pPr>
      <w:r>
        <w:rPr>
          <w:rFonts w:ascii="仿宋_GB2312" w:hAnsi="仿宋_GB2312" w:eastAsia="仿宋_GB2312"/>
          <w:b w:val="0"/>
          <w:sz w:val="32"/>
        </w:rPr>
        <w:t>2024年度政府采购支出总额24.41万元，其中：政府采购货物支出17.51万元、政府采购工程支出0.00万元、政府采购服务支出6.90万元。</w:t>
      </w:r>
    </w:p>
    <w:p w14:paraId="3D8119A7">
      <w:pPr>
        <w:spacing w:line="580" w:lineRule="exact"/>
        <w:ind w:firstLine="640"/>
        <w:jc w:val="both"/>
      </w:pPr>
      <w:r>
        <w:rPr>
          <w:rFonts w:ascii="仿宋_GB2312" w:hAnsi="仿宋_GB2312" w:eastAsia="仿宋_GB2312"/>
          <w:b w:val="0"/>
          <w:sz w:val="32"/>
        </w:rPr>
        <w:t>授予中小企业合同金额24.41万元，占政府采购支出总额的100.00%，其中：授予小微企业合同金额22.01万元，占政府采购支出总额的90.17%。</w:t>
      </w:r>
    </w:p>
    <w:p w14:paraId="4DF9180E">
      <w:pPr>
        <w:spacing w:line="640" w:lineRule="exact"/>
        <w:ind w:firstLine="640"/>
        <w:jc w:val="both"/>
        <w:outlineLvl w:val="3"/>
      </w:pPr>
      <w:r>
        <w:rPr>
          <w:rFonts w:ascii="楷体_GB2312" w:hAnsi="楷体_GB2312" w:eastAsia="楷体_GB2312"/>
          <w:b/>
          <w:sz w:val="32"/>
        </w:rPr>
        <w:t>（三）国有资产占用情况说明</w:t>
      </w:r>
    </w:p>
    <w:p w14:paraId="06FED209">
      <w:pPr>
        <w:spacing w:line="580" w:lineRule="exact"/>
        <w:ind w:firstLine="640"/>
        <w:jc w:val="both"/>
      </w:pPr>
      <w:r>
        <w:rPr>
          <w:rFonts w:ascii="仿宋_GB2312" w:hAnsi="仿宋_GB2312" w:eastAsia="仿宋_GB2312"/>
          <w:b w:val="0"/>
          <w:sz w:val="32"/>
        </w:rPr>
        <w:t>截至2024年12月31日，房屋44.00平方米，价值0.70万元。车辆1辆，价值19.70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6B023384">
      <w:pPr>
        <w:spacing w:line="640" w:lineRule="exact"/>
        <w:ind w:firstLine="640"/>
        <w:jc w:val="both"/>
        <w:outlineLvl w:val="2"/>
      </w:pPr>
      <w:r>
        <w:rPr>
          <w:rFonts w:ascii="黑体" w:hAnsi="黑体" w:eastAsia="黑体"/>
          <w:sz w:val="32"/>
        </w:rPr>
        <w:t>十一、预算绩效的情况说明</w:t>
      </w:r>
    </w:p>
    <w:p w14:paraId="63A053AF">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558.81万元，实际执行总额550.99万元；预算绩效评价项目4个，全年预算数46.00万元，全年执行数41.36万元。预算绩效管理取得的成效：一是加强预算绩效动态监督管理，及时跟踪项目进度，对项目实施中存在的具体问题采取纠偏措施；二是加强相关科室及相关企业对绩效工作的业务培训，进一步提高预算绩效评价质量。目前我单位绩效评价工作还需改进，停留在找问题、反映情况提建议层面，利用评价结果和预算安排有机结合的机制尚未完善，仍需加强项目绩效目标精准制定的研究和充分开展项目事前调研工作。发现的问题及原因：一是预算执行方面：预算意识不强，进行科学合理分配不精细，不能及时跟踪项目预算执行进度，不能科学合理安排支出。二是完善制度保障方面：内控制度不健全不完善，未能全面梳理业务流程及业务环节，不能最大限度发挥财政资金使用效益。三是项目管理及实施方面：执行项目支出预算不精准，项目实施推进不积极。加强对预算执行过程的控制和结果的反馈，对预算执行差异及时分析成因和影响，并及时向领导进行反馈，以采取措施纠正执行偏差，促进预算目标的全面完成。下一步改进措施：一是预算执行方面</w:t>
      </w:r>
      <w:r>
        <w:rPr>
          <w:rFonts w:hint="eastAsia" w:ascii="仿宋_GB2312" w:hAnsi="仿宋_GB2312" w:eastAsia="仿宋_GB2312"/>
          <w:b w:val="0"/>
          <w:sz w:val="32"/>
          <w:lang w:eastAsia="zh-CN"/>
        </w:rPr>
        <w:t>。</w:t>
      </w:r>
      <w:r>
        <w:rPr>
          <w:rFonts w:ascii="仿宋_GB2312" w:hAnsi="仿宋_GB2312" w:eastAsia="仿宋_GB2312"/>
          <w:b w:val="0"/>
          <w:sz w:val="32"/>
        </w:rPr>
        <w:t>不断强化预算意识，并结合工作实际，进行科学合理分配细化，及时跟踪项目预算执行进度，科学合理安排支出，降低预算支出的波动幅度。二是完善制度保障方面</w:t>
      </w:r>
      <w:r>
        <w:rPr>
          <w:rFonts w:hint="eastAsia" w:ascii="仿宋_GB2312" w:hAnsi="仿宋_GB2312" w:eastAsia="仿宋_GB2312"/>
          <w:b w:val="0"/>
          <w:sz w:val="32"/>
          <w:lang w:eastAsia="zh-CN"/>
        </w:rPr>
        <w:t>。</w:t>
      </w:r>
      <w:r>
        <w:rPr>
          <w:rFonts w:ascii="仿宋_GB2312" w:hAnsi="仿宋_GB2312" w:eastAsia="仿宋_GB2312"/>
          <w:b w:val="0"/>
          <w:sz w:val="32"/>
        </w:rPr>
        <w:t>健全完善内控制度，全面梳理业务流程，明确业务环节，确保资金安全、合理、有效使用，最大限度发挥财政资金使用效益。三是项目管理及实施方面</w:t>
      </w:r>
      <w:r>
        <w:rPr>
          <w:rFonts w:hint="eastAsia" w:ascii="仿宋_GB2312" w:hAnsi="仿宋_GB2312" w:eastAsia="仿宋_GB2312"/>
          <w:b w:val="0"/>
          <w:sz w:val="32"/>
          <w:lang w:eastAsia="zh-CN"/>
        </w:rPr>
        <w:t>。</w:t>
      </w:r>
      <w:r>
        <w:rPr>
          <w:rFonts w:ascii="仿宋_GB2312" w:hAnsi="仿宋_GB2312" w:eastAsia="仿宋_GB2312"/>
          <w:b w:val="0"/>
          <w:sz w:val="32"/>
        </w:rPr>
        <w:t>严格执行项目支出预算，积极推进项目实施。加强对预算执行过程的控制和结果的反馈，对预算执行差异及时分析成因和影响，并及时向领导进行反馈，以采取措施纠正执行偏差，促进预算目标的全面完成。具体附部门整体支出绩效自评表，项目支出绩效自评表和部门评价报告。</w:t>
      </w:r>
    </w:p>
    <w:p w14:paraId="236704B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43FED18">
        <w:tblPrEx>
          <w:tblCellMar>
            <w:top w:w="0" w:type="dxa"/>
            <w:left w:w="108" w:type="dxa"/>
            <w:bottom w:w="0" w:type="dxa"/>
            <w:right w:w="108" w:type="dxa"/>
          </w:tblCellMar>
        </w:tblPrEx>
        <w:tc>
          <w:tcPr>
            <w:tcW w:w="8847" w:type="dxa"/>
            <w:gridSpan w:val="9"/>
            <w:vAlign w:val="center"/>
          </w:tcPr>
          <w:p w14:paraId="0437EE5A">
            <w:pPr>
              <w:jc w:val="center"/>
            </w:pPr>
            <w:r>
              <w:rPr>
                <w:rFonts w:ascii="宋体" w:hAnsi="宋体" w:eastAsia="宋体"/>
                <w:sz w:val="24"/>
              </w:rPr>
              <w:t>部门整体支出绩效自评表</w:t>
            </w:r>
          </w:p>
        </w:tc>
      </w:tr>
      <w:tr w14:paraId="499577BC">
        <w:tblPrEx>
          <w:tblCellMar>
            <w:top w:w="0" w:type="dxa"/>
            <w:left w:w="108" w:type="dxa"/>
            <w:bottom w:w="0" w:type="dxa"/>
            <w:right w:w="108" w:type="dxa"/>
          </w:tblCellMar>
        </w:tblPrEx>
        <w:tc>
          <w:tcPr>
            <w:tcW w:w="8847" w:type="dxa"/>
            <w:gridSpan w:val="9"/>
            <w:vAlign w:val="center"/>
          </w:tcPr>
          <w:p w14:paraId="0B2DAA4E">
            <w:pPr>
              <w:jc w:val="center"/>
            </w:pPr>
            <w:r>
              <w:rPr>
                <w:rFonts w:ascii="宋体" w:hAnsi="宋体" w:eastAsia="宋体"/>
                <w:sz w:val="24"/>
              </w:rPr>
              <w:t>（2024年度）</w:t>
            </w:r>
          </w:p>
        </w:tc>
      </w:tr>
      <w:tr w14:paraId="2147FEC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99C58">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CB175E8">
            <w:pPr>
              <w:jc w:val="center"/>
            </w:pPr>
            <w:r>
              <w:rPr>
                <w:rFonts w:ascii="宋体" w:hAnsi="宋体" w:eastAsia="宋体"/>
                <w:sz w:val="16"/>
              </w:rPr>
              <w:t>喀什地区草原站</w:t>
            </w:r>
          </w:p>
        </w:tc>
      </w:tr>
      <w:tr w14:paraId="1427C43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BBB1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8EA3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2764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C8C7A">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6C61B">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D261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1AF27">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CBCCF">
            <w:pPr>
              <w:jc w:val="center"/>
            </w:pPr>
            <w:r>
              <w:rPr>
                <w:rFonts w:ascii="宋体" w:hAnsi="宋体" w:eastAsia="宋体"/>
                <w:sz w:val="16"/>
              </w:rPr>
              <w:t>得分</w:t>
            </w:r>
          </w:p>
        </w:tc>
      </w:tr>
      <w:tr w14:paraId="54BF42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3A6C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A9C0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93980">
            <w:pPr>
              <w:jc w:val="center"/>
            </w:pPr>
            <w:r>
              <w:rPr>
                <w:rFonts w:ascii="宋体" w:hAnsi="宋体" w:eastAsia="宋体"/>
                <w:sz w:val="16"/>
              </w:rPr>
              <w:t>554.92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F0757">
            <w:pPr>
              <w:jc w:val="center"/>
            </w:pPr>
            <w:r>
              <w:rPr>
                <w:rFonts w:ascii="宋体" w:hAnsi="宋体" w:eastAsia="宋体"/>
                <w:sz w:val="16"/>
              </w:rPr>
              <w:t>558.81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87702">
            <w:pPr>
              <w:jc w:val="center"/>
            </w:pPr>
            <w:r>
              <w:rPr>
                <w:rFonts w:ascii="宋体" w:hAnsi="宋体" w:eastAsia="宋体"/>
                <w:sz w:val="16"/>
              </w:rPr>
              <w:t>550.99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2864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31BCE">
            <w:pPr>
              <w:jc w:val="center"/>
            </w:pPr>
            <w:r>
              <w:rPr>
                <w:rFonts w:ascii="宋体" w:hAnsi="宋体" w:eastAsia="宋体"/>
                <w:sz w:val="16"/>
              </w:rPr>
              <w:t>98.60%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4328D">
            <w:pPr>
              <w:jc w:val="center"/>
            </w:pPr>
            <w:r>
              <w:rPr>
                <w:rFonts w:ascii="宋体" w:hAnsi="宋体" w:eastAsia="宋体"/>
                <w:sz w:val="16"/>
              </w:rPr>
              <w:t>9.86</w:t>
            </w:r>
          </w:p>
        </w:tc>
      </w:tr>
      <w:tr w14:paraId="6D9B11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8FF6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13168">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F5DFB">
            <w:pPr>
              <w:jc w:val="center"/>
            </w:pPr>
            <w:r>
              <w:rPr>
                <w:rFonts w:ascii="宋体" w:hAnsi="宋体" w:eastAsia="宋体"/>
                <w:sz w:val="16"/>
              </w:rPr>
              <w:t>38.23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DF03E">
            <w:pPr>
              <w:jc w:val="center"/>
            </w:pPr>
            <w:r>
              <w:rPr>
                <w:rFonts w:ascii="宋体" w:hAnsi="宋体" w:eastAsia="宋体"/>
                <w:sz w:val="16"/>
              </w:rPr>
              <w:t>69.35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F3CA1">
            <w:pPr>
              <w:jc w:val="center"/>
            </w:pPr>
            <w:r>
              <w:rPr>
                <w:rFonts w:ascii="宋体" w:hAnsi="宋体" w:eastAsia="宋体"/>
                <w:sz w:val="16"/>
              </w:rPr>
              <w:t>62.08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C05A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78E0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055F7">
            <w:pPr>
              <w:jc w:val="center"/>
            </w:pPr>
            <w:r>
              <w:rPr>
                <w:rFonts w:ascii="宋体" w:hAnsi="宋体" w:eastAsia="宋体"/>
                <w:sz w:val="16"/>
              </w:rPr>
              <w:t>—</w:t>
            </w:r>
          </w:p>
        </w:tc>
      </w:tr>
      <w:tr w14:paraId="2FB963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26B0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0745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6FD4C">
            <w:pPr>
              <w:jc w:val="center"/>
            </w:pPr>
            <w:r>
              <w:rPr>
                <w:rFonts w:ascii="宋体" w:hAnsi="宋体" w:eastAsia="宋体"/>
                <w:sz w:val="16"/>
              </w:rPr>
              <w:t>516.69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16CAF">
            <w:pPr>
              <w:jc w:val="center"/>
            </w:pPr>
            <w:r>
              <w:rPr>
                <w:rFonts w:ascii="宋体" w:hAnsi="宋体" w:eastAsia="宋体"/>
                <w:sz w:val="16"/>
              </w:rPr>
              <w:t>489.46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70181">
            <w:pPr>
              <w:jc w:val="center"/>
            </w:pPr>
            <w:r>
              <w:rPr>
                <w:rFonts w:ascii="宋体" w:hAnsi="宋体" w:eastAsia="宋体"/>
                <w:sz w:val="16"/>
              </w:rPr>
              <w:t>488.91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2320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45D6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3935E">
            <w:pPr>
              <w:jc w:val="center"/>
            </w:pPr>
            <w:r>
              <w:rPr>
                <w:rFonts w:ascii="宋体" w:hAnsi="宋体" w:eastAsia="宋体"/>
                <w:sz w:val="16"/>
              </w:rPr>
              <w:t>—</w:t>
            </w:r>
          </w:p>
        </w:tc>
      </w:tr>
      <w:tr w14:paraId="42D600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8015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9E7D2">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6D1D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8361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AFA7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7BC7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6494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6E076">
            <w:pPr>
              <w:jc w:val="center"/>
            </w:pPr>
            <w:r>
              <w:rPr>
                <w:rFonts w:ascii="宋体" w:hAnsi="宋体" w:eastAsia="宋体"/>
                <w:sz w:val="16"/>
              </w:rPr>
              <w:t>—</w:t>
            </w:r>
          </w:p>
        </w:tc>
      </w:tr>
      <w:tr w14:paraId="2945016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C2F8B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CDB38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7E22CB">
            <w:pPr>
              <w:jc w:val="center"/>
            </w:pPr>
            <w:r>
              <w:rPr>
                <w:rFonts w:ascii="宋体" w:hAnsi="宋体" w:eastAsia="宋体"/>
                <w:sz w:val="16"/>
              </w:rPr>
              <w:t>实际完成情况</w:t>
            </w:r>
          </w:p>
        </w:tc>
      </w:tr>
      <w:tr w14:paraId="420AEB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EBE9C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00AC35">
            <w:pPr>
              <w:jc w:val="both"/>
            </w:pPr>
            <w:r>
              <w:rPr>
                <w:rFonts w:ascii="宋体" w:hAnsi="宋体" w:eastAsia="宋体"/>
                <w:sz w:val="16"/>
              </w:rPr>
              <w:t>以习近平新时代中国特色社会主义思想为指导，全面贯彻落实习近平生态文明思想及党的二十大精神，牢固树立“绿水青山就是金山银山”的发展理念，持续推进草原生态文明建设。有序开展常态化草原资源与生态监测、草原有害生物监测与防治工作，督促指导协调各县推进草原类项目实施，促进草原生态保护修复工作高质量发展。2024年主要完成5个县4万亩草原有害生物防治任务，指导8个县对8个草原返青期监测样地开展定期观测，对12个草原枯黄期监测样地开展定期观测，以及做好10个苜蓿品种区域试验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37241B">
            <w:pPr>
              <w:jc w:val="both"/>
            </w:pPr>
            <w:r>
              <w:rPr>
                <w:rFonts w:ascii="宋体" w:hAnsi="宋体" w:eastAsia="宋体"/>
                <w:sz w:val="16"/>
              </w:rPr>
              <w:t>做好草原有害生物防治工作，现场指导5个县开展草原有害生物防治工作，共投入防治资金12万元，累积防治面积7.5万亩；对喀什地区11个县111个样地监测草原物候期，形成资源报告；常规监测草原有害生物，掌握危害现状及趋势，制定防治报告；监测退耕还草等项目实施效果，提供技术服务；管理草类植物种质资源圃，监测65种植物品种，为保存、筛选、扩繁优良草种及科研提供材料；建设规模为2亩的草品种区域试验区，完成高酸红A甘草、高酸红甘草等10个品种的区域试验，观测记载生育期、产量、表型数据，对各品种进行总体评价，并安装试验地周边围栏；收集保存高值多抗苜蓿种质资源40份，进行生理生化指标、产量及栽培模式对比测定，综合评价筛选1</w:t>
            </w:r>
            <w:r>
              <w:rPr>
                <w:rFonts w:hint="eastAsia" w:ascii="宋体" w:hAnsi="宋体"/>
                <w:sz w:val="16"/>
                <w:lang w:eastAsia="zh-CN"/>
              </w:rPr>
              <w:t>～</w:t>
            </w:r>
            <w:r>
              <w:rPr>
                <w:rFonts w:ascii="宋体" w:hAnsi="宋体" w:eastAsia="宋体"/>
                <w:sz w:val="16"/>
              </w:rPr>
              <w:t>2个品种，并示范推广4496亩苜蓿，组织开展3次培训共计240人。</w:t>
            </w:r>
          </w:p>
        </w:tc>
      </w:tr>
      <w:tr w14:paraId="12B25C4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8D10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6821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6FFE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C61B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D860B">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C3A2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18DD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6B3B5">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A5C49">
            <w:pPr>
              <w:jc w:val="center"/>
            </w:pPr>
            <w:r>
              <w:rPr>
                <w:rFonts w:ascii="宋体" w:hAnsi="宋体" w:eastAsia="宋体"/>
                <w:sz w:val="16"/>
              </w:rPr>
              <w:t>得分</w:t>
            </w:r>
          </w:p>
        </w:tc>
      </w:tr>
      <w:tr w14:paraId="14E6F85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9DB6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1FE0E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56B9B">
            <w:pPr>
              <w:jc w:val="center"/>
            </w:pPr>
            <w:r>
              <w:rPr>
                <w:rFonts w:ascii="宋体" w:hAnsi="宋体" w:eastAsia="宋体"/>
                <w:sz w:val="16"/>
              </w:rPr>
              <w:t>草原有害生物防治面积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FA883">
            <w:pPr>
              <w:jc w:val="center"/>
            </w:pPr>
            <w:r>
              <w:rPr>
                <w:rFonts w:ascii="宋体" w:hAnsi="宋体" w:eastAsia="宋体"/>
                <w:sz w:val="16"/>
              </w:rPr>
              <w:t>&gt;=4万亩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BBD8F">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C9CC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50987">
            <w:pPr>
              <w:jc w:val="center"/>
            </w:pPr>
            <w:r>
              <w:rPr>
                <w:rFonts w:ascii="宋体" w:hAnsi="宋体" w:eastAsia="宋体"/>
                <w:sz w:val="16"/>
              </w:rPr>
              <w:t>4万亩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EDD6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8C0CD">
            <w:pPr>
              <w:jc w:val="center"/>
            </w:pPr>
            <w:r>
              <w:rPr>
                <w:rFonts w:ascii="宋体" w:hAnsi="宋体" w:eastAsia="宋体"/>
                <w:sz w:val="16"/>
              </w:rPr>
              <w:t>20</w:t>
            </w:r>
          </w:p>
        </w:tc>
      </w:tr>
      <w:tr w14:paraId="57CAF0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742D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0F65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99512">
            <w:pPr>
              <w:jc w:val="center"/>
            </w:pPr>
            <w:r>
              <w:rPr>
                <w:rFonts w:ascii="宋体" w:hAnsi="宋体" w:eastAsia="宋体"/>
                <w:sz w:val="16"/>
              </w:rPr>
              <w:t>草原有害生物防治涉及县数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BDC14">
            <w:pPr>
              <w:jc w:val="center"/>
            </w:pPr>
            <w:r>
              <w:rPr>
                <w:rFonts w:ascii="宋体" w:hAnsi="宋体" w:eastAsia="宋体"/>
                <w:sz w:val="16"/>
              </w:rPr>
              <w: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579AB">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BB99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2B0C4">
            <w:pPr>
              <w:jc w:val="center"/>
            </w:pPr>
            <w:r>
              <w:rPr>
                <w:rFonts w:ascii="宋体" w:hAnsi="宋体" w:eastAsia="宋体"/>
                <w:sz w:val="16"/>
              </w:rPr>
              <w: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C62D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ADC9C">
            <w:pPr>
              <w:jc w:val="center"/>
            </w:pPr>
            <w:r>
              <w:rPr>
                <w:rFonts w:ascii="宋体" w:hAnsi="宋体" w:eastAsia="宋体"/>
                <w:sz w:val="16"/>
              </w:rPr>
              <w:t>20</w:t>
            </w:r>
          </w:p>
        </w:tc>
      </w:tr>
      <w:tr w14:paraId="5C7575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4CAB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539D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7B67F">
            <w:pPr>
              <w:jc w:val="center"/>
            </w:pPr>
            <w:r>
              <w:rPr>
                <w:rFonts w:ascii="宋体" w:hAnsi="宋体" w:eastAsia="宋体"/>
                <w:sz w:val="16"/>
              </w:rPr>
              <w:t>草品种区域试验项目涉及草品种数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643F8">
            <w:pPr>
              <w:jc w:val="center"/>
            </w:pPr>
            <w:r>
              <w:rPr>
                <w:rFonts w:ascii="宋体" w:hAnsi="宋体" w:eastAsia="宋体"/>
                <w:sz w:val="16"/>
              </w:rPr>
              <w:t>&gt;=10个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2B67B">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1E6A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08072">
            <w:pPr>
              <w:jc w:val="center"/>
            </w:pPr>
            <w:r>
              <w:rPr>
                <w:rFonts w:ascii="宋体" w:hAnsi="宋体" w:eastAsia="宋体"/>
                <w:sz w:val="16"/>
              </w:rPr>
              <w: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B1A7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ADF1B">
            <w:pPr>
              <w:jc w:val="center"/>
            </w:pPr>
            <w:r>
              <w:rPr>
                <w:rFonts w:ascii="宋体" w:hAnsi="宋体" w:eastAsia="宋体"/>
                <w:sz w:val="16"/>
              </w:rPr>
              <w:t>20</w:t>
            </w:r>
          </w:p>
        </w:tc>
      </w:tr>
      <w:tr w14:paraId="1E34F0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7C8A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44E6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43626">
            <w:pPr>
              <w:jc w:val="center"/>
            </w:pPr>
            <w:r>
              <w:rPr>
                <w:rFonts w:ascii="宋体" w:hAnsi="宋体" w:eastAsia="宋体"/>
                <w:sz w:val="16"/>
              </w:rPr>
              <w:t>草原</w:t>
            </w:r>
            <w:r>
              <w:rPr>
                <w:rFonts w:hint="eastAsia" w:ascii="宋体" w:hAnsi="宋体"/>
                <w:sz w:val="16"/>
                <w:lang w:eastAsia="zh-CN"/>
              </w:rPr>
              <w:t>返青</w:t>
            </w:r>
            <w:r>
              <w:rPr>
                <w:rFonts w:ascii="宋体" w:hAnsi="宋体" w:eastAsia="宋体"/>
                <w:sz w:val="16"/>
              </w:rPr>
              <w:t>期监测样地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D35B0">
            <w:pPr>
              <w:jc w:val="center"/>
            </w:pPr>
            <w:r>
              <w:rPr>
                <w:rFonts w:ascii="宋体" w:hAnsi="宋体" w:eastAsia="宋体"/>
                <w:sz w:val="16"/>
              </w:rPr>
              <w:t>&gt;=8个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658BC">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7911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6F03E">
            <w:pPr>
              <w:jc w:val="center"/>
            </w:pPr>
            <w:r>
              <w:rPr>
                <w:rFonts w:ascii="宋体" w:hAnsi="宋体" w:eastAsia="宋体"/>
                <w:sz w:val="16"/>
              </w:rPr>
              <w: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060B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E9554">
            <w:pPr>
              <w:jc w:val="center"/>
            </w:pPr>
            <w:r>
              <w:rPr>
                <w:rFonts w:ascii="宋体" w:hAnsi="宋体" w:eastAsia="宋体"/>
                <w:sz w:val="16"/>
              </w:rPr>
              <w:t>20</w:t>
            </w:r>
          </w:p>
        </w:tc>
      </w:tr>
      <w:tr w14:paraId="6A5952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BD16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CD87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08555">
            <w:pPr>
              <w:jc w:val="center"/>
            </w:pPr>
            <w:r>
              <w:rPr>
                <w:rFonts w:ascii="宋体" w:hAnsi="宋体" w:eastAsia="宋体"/>
                <w:sz w:val="16"/>
              </w:rPr>
              <w:t>草原枯黄期监测样地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170F6">
            <w:pPr>
              <w:jc w:val="center"/>
            </w:pPr>
            <w:r>
              <w:rPr>
                <w:rFonts w:ascii="宋体" w:hAnsi="宋体" w:eastAsia="宋体"/>
                <w:sz w:val="16"/>
              </w:rPr>
              <w:t>&gt;=12个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3045A">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ECC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42D9E">
            <w:pPr>
              <w:jc w:val="center"/>
            </w:pPr>
            <w:r>
              <w:rPr>
                <w:rFonts w:ascii="宋体" w:hAnsi="宋体" w:eastAsia="宋体"/>
                <w:sz w:val="16"/>
              </w:rPr>
              <w:t>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AD407">
            <w:pPr>
              <w:jc w:val="center"/>
            </w:pPr>
            <w:r>
              <w:rPr>
                <w:rFonts w:ascii="宋体" w:hAnsi="宋体" w:eastAsia="宋体"/>
                <w:sz w:val="16"/>
              </w:rPr>
              <w:t>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7F266">
            <w:pPr>
              <w:jc w:val="center"/>
            </w:pPr>
            <w:r>
              <w:rPr>
                <w:rFonts w:ascii="宋体" w:hAnsi="宋体" w:eastAsia="宋体"/>
                <w:sz w:val="16"/>
              </w:rPr>
              <w:t>7.5</w:t>
            </w:r>
          </w:p>
        </w:tc>
      </w:tr>
    </w:tbl>
    <w:p w14:paraId="23A2CA54">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4"/>
        <w:gridCol w:w="624"/>
        <w:gridCol w:w="627"/>
        <w:gridCol w:w="624"/>
        <w:gridCol w:w="624"/>
        <w:gridCol w:w="776"/>
        <w:gridCol w:w="632"/>
        <w:gridCol w:w="615"/>
        <w:gridCol w:w="632"/>
      </w:tblGrid>
      <w:tr w14:paraId="78C5085D">
        <w:tblPrEx>
          <w:tblCellMar>
            <w:top w:w="0" w:type="dxa"/>
            <w:left w:w="108" w:type="dxa"/>
            <w:bottom w:w="0" w:type="dxa"/>
            <w:right w:w="108" w:type="dxa"/>
          </w:tblCellMar>
        </w:tblPrEx>
        <w:tc>
          <w:tcPr>
            <w:tcW w:w="8848" w:type="dxa"/>
            <w:gridSpan w:val="14"/>
            <w:vAlign w:val="center"/>
          </w:tcPr>
          <w:p w14:paraId="1DD97D7D">
            <w:pPr>
              <w:jc w:val="center"/>
            </w:pPr>
            <w:r>
              <w:rPr>
                <w:rFonts w:ascii="宋体" w:hAnsi="宋体" w:eastAsia="宋体"/>
                <w:sz w:val="24"/>
              </w:rPr>
              <w:t>项目支出绩效自评表</w:t>
            </w:r>
          </w:p>
        </w:tc>
      </w:tr>
      <w:tr w14:paraId="70301674">
        <w:tblPrEx>
          <w:tblCellMar>
            <w:top w:w="0" w:type="dxa"/>
            <w:left w:w="108" w:type="dxa"/>
            <w:bottom w:w="0" w:type="dxa"/>
            <w:right w:w="108" w:type="dxa"/>
          </w:tblCellMar>
        </w:tblPrEx>
        <w:tc>
          <w:tcPr>
            <w:tcW w:w="8848" w:type="dxa"/>
            <w:gridSpan w:val="14"/>
            <w:vAlign w:val="center"/>
          </w:tcPr>
          <w:p w14:paraId="643D90FF">
            <w:pPr>
              <w:jc w:val="center"/>
            </w:pPr>
            <w:r>
              <w:rPr>
                <w:rFonts w:ascii="宋体" w:hAnsi="宋体" w:eastAsia="宋体"/>
                <w:sz w:val="24"/>
              </w:rPr>
              <w:t>(2024年度)</w:t>
            </w:r>
          </w:p>
        </w:tc>
      </w:tr>
      <w:tr w14:paraId="7F0ED2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F6F3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105C27">
            <w:pPr>
              <w:jc w:val="center"/>
            </w:pPr>
            <w:r>
              <w:rPr>
                <w:rFonts w:ascii="宋体" w:hAnsi="宋体" w:eastAsia="宋体"/>
                <w:sz w:val="16"/>
              </w:rPr>
              <w:t>喀什地区2024年中央财政林业草原改革发展资金（草原有害生物防治）项目</w:t>
            </w:r>
          </w:p>
        </w:tc>
      </w:tr>
      <w:tr w14:paraId="4D0BAC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18D9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1DA674">
            <w:pPr>
              <w:jc w:val="center"/>
            </w:pPr>
            <w:r>
              <w:rPr>
                <w:rFonts w:ascii="宋体" w:hAnsi="宋体" w:eastAsia="宋体"/>
                <w:sz w:val="16"/>
              </w:rPr>
              <w:t>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95BA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C23837">
            <w:pPr>
              <w:jc w:val="center"/>
            </w:pPr>
            <w:r>
              <w:rPr>
                <w:rFonts w:ascii="宋体" w:hAnsi="宋体" w:eastAsia="宋体"/>
                <w:sz w:val="16"/>
              </w:rPr>
              <w:t>喀什地区草原站</w:t>
            </w:r>
          </w:p>
        </w:tc>
      </w:tr>
      <w:tr w14:paraId="6A83BF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8DB28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6D16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A0C6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7773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71E2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988D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5EEF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B0B42">
            <w:pPr>
              <w:jc w:val="center"/>
            </w:pPr>
            <w:r>
              <w:rPr>
                <w:rFonts w:ascii="宋体" w:hAnsi="宋体" w:eastAsia="宋体"/>
                <w:sz w:val="16"/>
              </w:rPr>
              <w:t>得分</w:t>
            </w:r>
          </w:p>
        </w:tc>
      </w:tr>
      <w:tr w14:paraId="1F57CE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DEB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D91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0BAF4">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28028">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0289B">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120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7751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372C7">
            <w:pPr>
              <w:jc w:val="center"/>
            </w:pPr>
            <w:r>
              <w:rPr>
                <w:rFonts w:ascii="宋体" w:hAnsi="宋体" w:eastAsia="宋体"/>
                <w:sz w:val="16"/>
              </w:rPr>
              <w:t>10.00分</w:t>
            </w:r>
          </w:p>
        </w:tc>
      </w:tr>
      <w:tr w14:paraId="773275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646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BF16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4E30C">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EF79A">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5EB21">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639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90C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7BF14">
            <w:pPr>
              <w:jc w:val="center"/>
            </w:pPr>
            <w:r>
              <w:rPr>
                <w:rFonts w:ascii="宋体" w:hAnsi="宋体" w:eastAsia="宋体"/>
                <w:sz w:val="16"/>
              </w:rPr>
              <w:t>—</w:t>
            </w:r>
          </w:p>
        </w:tc>
      </w:tr>
      <w:tr w14:paraId="6E7DF5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85B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F95A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51F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568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FBA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8C2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F1D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66849">
            <w:pPr>
              <w:jc w:val="center"/>
            </w:pPr>
            <w:r>
              <w:rPr>
                <w:rFonts w:ascii="宋体" w:hAnsi="宋体" w:eastAsia="宋体"/>
                <w:sz w:val="16"/>
              </w:rPr>
              <w:t>—</w:t>
            </w:r>
          </w:p>
        </w:tc>
      </w:tr>
      <w:tr w14:paraId="3FA643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65657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C39CA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BBD22A">
            <w:pPr>
              <w:jc w:val="center"/>
            </w:pPr>
            <w:r>
              <w:rPr>
                <w:rFonts w:ascii="宋体" w:hAnsi="宋体" w:eastAsia="宋体"/>
                <w:sz w:val="16"/>
              </w:rPr>
              <w:t>实际完成情况</w:t>
            </w:r>
          </w:p>
        </w:tc>
      </w:tr>
      <w:tr w14:paraId="498783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AA16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A95362">
            <w:pPr>
              <w:jc w:val="both"/>
            </w:pPr>
            <w:r>
              <w:rPr>
                <w:rFonts w:ascii="宋体" w:hAnsi="宋体" w:eastAsia="宋体"/>
                <w:sz w:val="16"/>
              </w:rPr>
              <w:t>项目预算数12万元，主要工作内容为：草原虫害防治面积：2万亩（疏附县1.5万亩、</w:t>
            </w:r>
            <w:r>
              <w:rPr>
                <w:rFonts w:hint="eastAsia" w:ascii="宋体" w:hAnsi="宋体"/>
                <w:sz w:val="16"/>
                <w:lang w:eastAsia="zh-CN"/>
              </w:rPr>
              <w:t>塔什库尔干塔吉克自治县</w:t>
            </w:r>
            <w:r>
              <w:rPr>
                <w:rFonts w:ascii="宋体" w:hAnsi="宋体" w:eastAsia="宋体"/>
                <w:sz w:val="16"/>
              </w:rPr>
              <w:t>0.5万亩）。草原鼠害防治面积：2万亩（岳普湖县0.5万亩、伽师县0.5万亩、巴楚县1万亩）。通过开展草原虫鼠害防治，提高草原植被覆盖度，为牧户增收打下坚实基础，确保草原生态持续好转，在巩固历年来防治成果的基础上，科学规划，合理布局，努力实现草原虫鼠害的可持续控制，全面提升治蝗灭鼠应急防治能力，形成草原生态良性循环，促进草原生态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DDE7E6">
            <w:pPr>
              <w:jc w:val="both"/>
            </w:pPr>
            <w:r>
              <w:rPr>
                <w:rFonts w:ascii="宋体" w:hAnsi="宋体" w:eastAsia="宋体"/>
                <w:sz w:val="16"/>
              </w:rPr>
              <w:t>完成了草原虫害2万亩（疏附县1.5万亩、</w:t>
            </w:r>
            <w:r>
              <w:rPr>
                <w:rFonts w:hint="eastAsia" w:ascii="宋体" w:hAnsi="宋体"/>
                <w:sz w:val="16"/>
                <w:lang w:eastAsia="zh-CN"/>
              </w:rPr>
              <w:t>塔什库尔干塔吉克自治县</w:t>
            </w:r>
            <w:r>
              <w:rPr>
                <w:rFonts w:ascii="宋体" w:hAnsi="宋体" w:eastAsia="宋体"/>
                <w:sz w:val="16"/>
              </w:rPr>
              <w:t>0.5万亩）、鼠害2万亩（岳普湖县0.5万亩、伽师县0.5万亩、巴楚县1万亩）的防治工作，防治效果均达到90%以上，形成1份工作总结报告。通过开展草原虫鼠害防治，挽回的直接经济损失约55万元，提高草原植被覆盖度。发放劳务费5.958万元，为牧户增收打下坚实基础。通过采取科学的防治措施，确保草原生态持续好转，在巩固历年来防治成果的基础上，科学规划，合理布局，努力实现草原虫鼠害的可持续控制，全面提升治蝗灭鼠应急防治能力，形成草原生态良性循环，促进草原生态健康发展。</w:t>
            </w:r>
          </w:p>
        </w:tc>
      </w:tr>
      <w:tr w14:paraId="77D039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7B4C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A73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7823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08C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A3AB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891E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84E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641C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A066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1DA2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39DB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0686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6AEC8">
            <w:pPr>
              <w:jc w:val="center"/>
            </w:pPr>
            <w:r>
              <w:rPr>
                <w:rFonts w:ascii="宋体" w:hAnsi="宋体" w:eastAsia="宋体"/>
                <w:sz w:val="16"/>
              </w:rPr>
              <w:t>偏差原因分析及改进措施</w:t>
            </w:r>
          </w:p>
        </w:tc>
      </w:tr>
      <w:tr w14:paraId="3DD0F8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E1B1D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48160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CBDB6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55888">
            <w:pPr>
              <w:jc w:val="center"/>
            </w:pPr>
            <w:r>
              <w:rPr>
                <w:rFonts w:ascii="宋体" w:hAnsi="宋体" w:eastAsia="宋体"/>
                <w:sz w:val="16"/>
              </w:rPr>
              <w:t>草原鼠害防治面积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E46CA">
            <w:pPr>
              <w:jc w:val="center"/>
            </w:pPr>
            <w:r>
              <w:rPr>
                <w:rFonts w:ascii="宋体" w:hAnsi="宋体" w:eastAsia="宋体"/>
                <w:sz w:val="16"/>
              </w:rPr>
              <w:t>&gt;=2万亩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D65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76B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7828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1C8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0D0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59A64">
            <w:pPr>
              <w:jc w:val="center"/>
            </w:pPr>
            <w:r>
              <w:rPr>
                <w:rFonts w:ascii="宋体" w:hAnsi="宋体" w:eastAsia="宋体"/>
                <w:sz w:val="16"/>
              </w:rPr>
              <w: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7BC2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185A0">
            <w:pPr>
              <w:jc w:val="center"/>
            </w:pPr>
          </w:p>
        </w:tc>
      </w:tr>
      <w:tr w14:paraId="69E3CD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887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8C4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FEB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DC662">
            <w:pPr>
              <w:jc w:val="center"/>
            </w:pPr>
            <w:r>
              <w:rPr>
                <w:rFonts w:ascii="宋体" w:hAnsi="宋体" w:eastAsia="宋体"/>
                <w:sz w:val="16"/>
              </w:rPr>
              <w:t>草原虫鼠害防治县（个数）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E87F2">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085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9F3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43E6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018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C45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73AAE">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AF2B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958F8">
            <w:pPr>
              <w:jc w:val="center"/>
            </w:pPr>
          </w:p>
        </w:tc>
      </w:tr>
      <w:tr w14:paraId="2327FE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413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1C1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F59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7A6FE">
            <w:pPr>
              <w:jc w:val="center"/>
            </w:pPr>
            <w:r>
              <w:rPr>
                <w:rFonts w:ascii="宋体" w:hAnsi="宋体" w:eastAsia="宋体"/>
                <w:sz w:val="16"/>
              </w:rPr>
              <w:t>草原虫害防治面积（万亩）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84396">
            <w:pPr>
              <w:jc w:val="center"/>
            </w:pPr>
            <w:r>
              <w:rPr>
                <w:rFonts w:ascii="宋体" w:hAnsi="宋体" w:eastAsia="宋体"/>
                <w:sz w:val="16"/>
              </w:rPr>
              <w:t>&gt;=2万亩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232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651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2F4D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974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342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6F3BF">
            <w:pPr>
              <w:jc w:val="center"/>
            </w:pPr>
            <w:r>
              <w:rPr>
                <w:rFonts w:ascii="宋体" w:hAnsi="宋体" w:eastAsia="宋体"/>
                <w:sz w:val="16"/>
              </w:rPr>
              <w: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F1C5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12860">
            <w:pPr>
              <w:jc w:val="center"/>
            </w:pPr>
          </w:p>
        </w:tc>
      </w:tr>
      <w:tr w14:paraId="5C5B0F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045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5BC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1ADF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99DCC">
            <w:pPr>
              <w:jc w:val="center"/>
            </w:pPr>
            <w:r>
              <w:rPr>
                <w:rFonts w:ascii="宋体" w:hAnsi="宋体" w:eastAsia="宋体"/>
                <w:sz w:val="16"/>
              </w:rPr>
              <w:t>防治效果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A087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E28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E2B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59A0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257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DC5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AAA65">
            <w:pPr>
              <w:jc w:val="center"/>
            </w:pPr>
            <w:r>
              <w:rPr>
                <w:rFonts w:ascii="宋体" w:hAnsi="宋体" w:eastAsia="宋体"/>
                <w:sz w:val="16"/>
              </w:rPr>
              <w:t>=92.53%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100EB">
            <w:pPr>
              <w:jc w:val="center"/>
            </w:pPr>
            <w:r>
              <w:rPr>
                <w:rFonts w:ascii="宋体" w:hAnsi="宋体" w:eastAsia="宋体"/>
                <w:sz w:val="16"/>
              </w:rPr>
              <w:t>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80B2F">
            <w:pPr>
              <w:jc w:val="center"/>
            </w:pPr>
            <w:r>
              <w:rPr>
                <w:rFonts w:ascii="宋体" w:hAnsi="宋体" w:eastAsia="宋体"/>
                <w:sz w:val="16"/>
              </w:rPr>
              <w:t>偏差原因：对于不能量化的目标如何评价没有进行充分的研究论证。改进措施：加强对指标优化细化。</w:t>
            </w:r>
          </w:p>
        </w:tc>
      </w:tr>
      <w:tr w14:paraId="370F27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865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64B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DF00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6483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690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6FE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9CA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30D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F3D5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079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A6A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26DD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0F602">
            <w:pPr>
              <w:jc w:val="center"/>
            </w:pPr>
          </w:p>
        </w:tc>
      </w:tr>
      <w:tr w14:paraId="4A7716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E94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6CA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5ED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5FEE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A307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5E2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2E9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93F8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C06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CF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D1F3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1ED4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AF528">
            <w:pPr>
              <w:jc w:val="center"/>
            </w:pPr>
          </w:p>
        </w:tc>
      </w:tr>
      <w:tr w14:paraId="2E5AF1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65A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58EBC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3714A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355E4">
            <w:pPr>
              <w:jc w:val="center"/>
            </w:pPr>
            <w:r>
              <w:rPr>
                <w:rFonts w:ascii="宋体" w:hAnsi="宋体" w:eastAsia="宋体"/>
                <w:sz w:val="16"/>
              </w:rPr>
              <w:t>专用材料费成本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1C54D">
            <w:pPr>
              <w:jc w:val="center"/>
            </w:pPr>
            <w:r>
              <w:rPr>
                <w:rFonts w:ascii="宋体" w:hAnsi="宋体" w:eastAsia="宋体"/>
                <w:sz w:val="16"/>
              </w:rPr>
              <w:t>&lt;=6.90万元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5A7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DBB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15DD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751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AF8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E7F20">
            <w:pPr>
              <w:jc w:val="center"/>
            </w:pPr>
            <w:r>
              <w:rPr>
                <w:rFonts w:ascii="宋体" w:hAnsi="宋体" w:eastAsia="宋体"/>
                <w:sz w:val="16"/>
              </w:rPr>
              <w:t>=6.9万元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896D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81AE7">
            <w:pPr>
              <w:jc w:val="center"/>
            </w:pPr>
          </w:p>
        </w:tc>
      </w:tr>
      <w:tr w14:paraId="5E1EA8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E54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05A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816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2965A">
            <w:pPr>
              <w:jc w:val="center"/>
            </w:pPr>
            <w:r>
              <w:rPr>
                <w:rFonts w:ascii="宋体" w:hAnsi="宋体" w:eastAsia="宋体"/>
                <w:sz w:val="16"/>
              </w:rPr>
              <w:t>劳务费成本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CDCAA">
            <w:pPr>
              <w:jc w:val="center"/>
            </w:pPr>
            <w:r>
              <w:rPr>
                <w:rFonts w:ascii="宋体" w:hAnsi="宋体" w:eastAsia="宋体"/>
                <w:sz w:val="16"/>
              </w:rPr>
              <w:t>&lt;=3.29万元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82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8DA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EF7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D50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8BE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03F59">
            <w:pPr>
              <w:jc w:val="center"/>
            </w:pPr>
            <w:r>
              <w:rPr>
                <w:rFonts w:ascii="宋体" w:hAnsi="宋体" w:eastAsia="宋体"/>
                <w:sz w:val="16"/>
              </w:rPr>
              <w:t>=3.29万元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83FB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0D09E">
            <w:pPr>
              <w:jc w:val="center"/>
            </w:pPr>
          </w:p>
        </w:tc>
      </w:tr>
      <w:tr w14:paraId="4FD02F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764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E2A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774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626C2">
            <w:pPr>
              <w:jc w:val="center"/>
            </w:pPr>
            <w:r>
              <w:rPr>
                <w:rFonts w:ascii="宋体" w:hAnsi="宋体" w:eastAsia="宋体"/>
                <w:sz w:val="16"/>
              </w:rPr>
              <w:t>其他交通费、燃油费成本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20D66">
            <w:pPr>
              <w:jc w:val="center"/>
            </w:pPr>
            <w:r>
              <w:rPr>
                <w:rFonts w:ascii="宋体" w:hAnsi="宋体" w:eastAsia="宋体"/>
                <w:sz w:val="16"/>
              </w:rPr>
              <w:t>&lt;=1.56万元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5C4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BF3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7C2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A6A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63A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E1116">
            <w:pPr>
              <w:jc w:val="center"/>
            </w:pPr>
            <w:r>
              <w:rPr>
                <w:rFonts w:ascii="宋体" w:hAnsi="宋体" w:eastAsia="宋体"/>
                <w:sz w:val="16"/>
              </w:rPr>
              <w:t>=1.56万元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7438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BA1B6">
            <w:pPr>
              <w:jc w:val="center"/>
            </w:pPr>
          </w:p>
        </w:tc>
      </w:tr>
      <w:tr w14:paraId="401AB5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258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3B2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D2B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A181F">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2243A">
            <w:pPr>
              <w:jc w:val="center"/>
            </w:pPr>
            <w:r>
              <w:rPr>
                <w:rFonts w:ascii="宋体" w:hAnsi="宋体" w:eastAsia="宋体"/>
                <w:sz w:val="16"/>
              </w:rPr>
              <w:t>&lt;=0.25万元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B5A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4B0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D28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8C3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2DB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A3610">
            <w:pPr>
              <w:jc w:val="center"/>
            </w:pPr>
            <w:r>
              <w:rPr>
                <w:rFonts w:ascii="宋体" w:hAnsi="宋体" w:eastAsia="宋体"/>
                <w:sz w:val="16"/>
              </w:rPr>
              <w: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E825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3FA2A">
            <w:pPr>
              <w:jc w:val="center"/>
            </w:pPr>
          </w:p>
        </w:tc>
      </w:tr>
      <w:tr w14:paraId="79050E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119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3E4E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72EB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9660E">
            <w:pPr>
              <w:jc w:val="center"/>
            </w:pPr>
            <w:r>
              <w:rPr>
                <w:rFonts w:ascii="宋体" w:hAnsi="宋体" w:eastAsia="宋体"/>
                <w:sz w:val="16"/>
              </w:rPr>
              <w:t>加强天然草原保护力度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B022D">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2302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DB1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3CD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CE0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710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E2C65">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19C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59B8A">
            <w:pPr>
              <w:jc w:val="center"/>
            </w:pPr>
          </w:p>
        </w:tc>
      </w:tr>
      <w:tr w14:paraId="36BCC1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64F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C0F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55E92">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12033">
            <w:pPr>
              <w:jc w:val="center"/>
            </w:pPr>
            <w:r>
              <w:rPr>
                <w:rFonts w:ascii="宋体" w:hAnsi="宋体" w:eastAsia="宋体"/>
                <w:sz w:val="16"/>
              </w:rPr>
              <w:t>草原有害生物发生率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722A3">
            <w:pPr>
              <w:jc w:val="center"/>
            </w:pPr>
            <w:r>
              <w:rPr>
                <w:rFonts w:ascii="宋体" w:hAnsi="宋体" w:eastAsia="宋体"/>
                <w:sz w:val="16"/>
              </w:rPr>
              <w:t>&lt;=9.50%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8A1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0C1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FA4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C53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04F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F1D9D">
            <w:pPr>
              <w:jc w:val="center"/>
            </w:pPr>
            <w:r>
              <w:rPr>
                <w:rFonts w:ascii="宋体" w:hAnsi="宋体" w:eastAsia="宋体"/>
                <w:sz w:val="16"/>
              </w:rPr>
              <w:t>=0.63%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E5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C3E55">
            <w:pPr>
              <w:jc w:val="center"/>
            </w:pPr>
          </w:p>
        </w:tc>
      </w:tr>
      <w:tr w14:paraId="6023B0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882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F23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B8A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7BBC7">
            <w:pPr>
              <w:jc w:val="center"/>
            </w:pPr>
            <w:r>
              <w:rPr>
                <w:rFonts w:ascii="宋体" w:hAnsi="宋体" w:eastAsia="宋体"/>
                <w:sz w:val="16"/>
              </w:rPr>
              <w:t>项目区群众满意度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7221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D79D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0E3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5F2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6921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556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B94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FDF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98CEB">
            <w:pPr>
              <w:jc w:val="center"/>
            </w:pPr>
            <w:r>
              <w:rPr>
                <w:rFonts w:ascii="宋体" w:hAnsi="宋体" w:eastAsia="宋体"/>
                <w:sz w:val="16"/>
              </w:rPr>
              <w:t>偏差原因：年初指标制定存在偏差。改进措施：加强学习，科学合理制定绩效目标。</w:t>
            </w:r>
          </w:p>
        </w:tc>
      </w:tr>
      <w:tr w14:paraId="2F25893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C82BB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118C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D30BA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98916">
            <w:pPr>
              <w:jc w:val="center"/>
            </w:pPr>
            <w:r>
              <w:rPr>
                <w:rFonts w:ascii="宋体" w:hAnsi="宋体" w:eastAsia="宋体"/>
                <w:sz w:val="16"/>
              </w:rPr>
              <w:t>99.8分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89EDE19"/>
        </w:tc>
      </w:tr>
    </w:tbl>
    <w:p w14:paraId="519C27B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48C9B58B">
        <w:tblPrEx>
          <w:tblCellMar>
            <w:top w:w="0" w:type="dxa"/>
            <w:left w:w="108" w:type="dxa"/>
            <w:bottom w:w="0" w:type="dxa"/>
            <w:right w:w="108" w:type="dxa"/>
          </w:tblCellMar>
        </w:tblPrEx>
        <w:tc>
          <w:tcPr>
            <w:tcW w:w="8848" w:type="dxa"/>
            <w:gridSpan w:val="14"/>
            <w:vAlign w:val="center"/>
          </w:tcPr>
          <w:p w14:paraId="5E30C1C4">
            <w:pPr>
              <w:jc w:val="center"/>
            </w:pPr>
            <w:r>
              <w:rPr>
                <w:rFonts w:ascii="宋体" w:hAnsi="宋体" w:eastAsia="宋体"/>
                <w:sz w:val="24"/>
              </w:rPr>
              <w:t>项目支出绩效自评表</w:t>
            </w:r>
          </w:p>
        </w:tc>
      </w:tr>
      <w:tr w14:paraId="239CB741">
        <w:tblPrEx>
          <w:tblCellMar>
            <w:top w:w="0" w:type="dxa"/>
            <w:left w:w="108" w:type="dxa"/>
            <w:bottom w:w="0" w:type="dxa"/>
            <w:right w:w="108" w:type="dxa"/>
          </w:tblCellMar>
        </w:tblPrEx>
        <w:tc>
          <w:tcPr>
            <w:tcW w:w="8848" w:type="dxa"/>
            <w:gridSpan w:val="14"/>
            <w:vAlign w:val="center"/>
          </w:tcPr>
          <w:p w14:paraId="3C247D94">
            <w:pPr>
              <w:jc w:val="center"/>
            </w:pPr>
            <w:r>
              <w:rPr>
                <w:rFonts w:ascii="宋体" w:hAnsi="宋体" w:eastAsia="宋体"/>
                <w:sz w:val="24"/>
              </w:rPr>
              <w:t>(2024年度)</w:t>
            </w:r>
          </w:p>
        </w:tc>
      </w:tr>
      <w:tr w14:paraId="29D071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62D1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8F6916">
            <w:pPr>
              <w:jc w:val="center"/>
            </w:pPr>
            <w:r>
              <w:rPr>
                <w:rFonts w:ascii="宋体" w:hAnsi="宋体" w:eastAsia="宋体"/>
                <w:sz w:val="16"/>
              </w:rPr>
              <w:t>喀什地区2024年自治区林草专项资金(草原植被恢复费—草原资源和有害生物常规监测）项目</w:t>
            </w:r>
          </w:p>
        </w:tc>
      </w:tr>
      <w:tr w14:paraId="424DA6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4AC6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834933">
            <w:pPr>
              <w:jc w:val="center"/>
            </w:pPr>
            <w:r>
              <w:rPr>
                <w:rFonts w:ascii="宋体" w:hAnsi="宋体" w:eastAsia="宋体"/>
                <w:sz w:val="16"/>
              </w:rPr>
              <w:t>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67A4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51C2F2">
            <w:pPr>
              <w:jc w:val="center"/>
            </w:pPr>
            <w:r>
              <w:rPr>
                <w:rFonts w:ascii="宋体" w:hAnsi="宋体" w:eastAsia="宋体"/>
                <w:sz w:val="16"/>
              </w:rPr>
              <w:t>喀什地区草原站</w:t>
            </w:r>
          </w:p>
        </w:tc>
      </w:tr>
      <w:tr w14:paraId="3DF3D5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1BDE7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EF1A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4B1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7281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88BD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7EF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320F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9083A">
            <w:pPr>
              <w:jc w:val="center"/>
            </w:pPr>
            <w:r>
              <w:rPr>
                <w:rFonts w:ascii="宋体" w:hAnsi="宋体" w:eastAsia="宋体"/>
                <w:sz w:val="16"/>
              </w:rPr>
              <w:t>得分</w:t>
            </w:r>
          </w:p>
        </w:tc>
      </w:tr>
      <w:tr w14:paraId="172FAC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C59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8929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A1E29">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D5C8A">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9C994">
            <w:pPr>
              <w:jc w:val="center"/>
            </w:pPr>
            <w:r>
              <w:rPr>
                <w:rFonts w:ascii="宋体" w:hAnsi="宋体" w:eastAsia="宋体"/>
                <w:sz w:val="16"/>
              </w:rPr>
              <w:t>10.91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D73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68A6B">
            <w:pPr>
              <w:jc w:val="center"/>
            </w:pPr>
            <w:r>
              <w:rPr>
                <w:rFonts w:ascii="宋体" w:hAnsi="宋体" w:eastAsia="宋体"/>
                <w:sz w:val="16"/>
              </w:rPr>
              <w:t>72.7%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0B2CE">
            <w:pPr>
              <w:jc w:val="center"/>
            </w:pPr>
            <w:r>
              <w:rPr>
                <w:rFonts w:ascii="宋体" w:hAnsi="宋体" w:eastAsia="宋体"/>
                <w:sz w:val="16"/>
              </w:rPr>
              <w:t>3.18分</w:t>
            </w:r>
          </w:p>
        </w:tc>
      </w:tr>
      <w:tr w14:paraId="636B96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673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9F0D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3BCEA">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65BF5">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9FA33">
            <w:pPr>
              <w:jc w:val="center"/>
            </w:pPr>
            <w:r>
              <w:rPr>
                <w:rFonts w:ascii="宋体" w:hAnsi="宋体" w:eastAsia="宋体"/>
                <w:sz w:val="16"/>
              </w:rPr>
              <w:t>10.91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138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047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3AFE2">
            <w:pPr>
              <w:jc w:val="center"/>
            </w:pPr>
            <w:r>
              <w:rPr>
                <w:rFonts w:ascii="宋体" w:hAnsi="宋体" w:eastAsia="宋体"/>
                <w:sz w:val="16"/>
              </w:rPr>
              <w:t>—</w:t>
            </w:r>
          </w:p>
        </w:tc>
      </w:tr>
      <w:tr w14:paraId="03E78C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336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3306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076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639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0B7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B84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412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7356E">
            <w:pPr>
              <w:jc w:val="center"/>
            </w:pPr>
            <w:r>
              <w:rPr>
                <w:rFonts w:ascii="宋体" w:hAnsi="宋体" w:eastAsia="宋体"/>
                <w:sz w:val="16"/>
              </w:rPr>
              <w:t>—</w:t>
            </w:r>
          </w:p>
        </w:tc>
      </w:tr>
      <w:tr w14:paraId="431E25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B6282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C7F00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81EC4A">
            <w:pPr>
              <w:jc w:val="center"/>
            </w:pPr>
            <w:r>
              <w:rPr>
                <w:rFonts w:ascii="宋体" w:hAnsi="宋体" w:eastAsia="宋体"/>
                <w:sz w:val="16"/>
              </w:rPr>
              <w:t>实际完成情况</w:t>
            </w:r>
          </w:p>
        </w:tc>
      </w:tr>
      <w:tr w14:paraId="5D3A0D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A937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73C44A">
            <w:pPr>
              <w:jc w:val="both"/>
            </w:pPr>
            <w:r>
              <w:rPr>
                <w:rFonts w:ascii="宋体" w:hAnsi="宋体" w:eastAsia="宋体"/>
                <w:sz w:val="16"/>
              </w:rPr>
              <w:t>项目资金15万，主要开展工作内容为：对喀什地区11个县的111个天然草原生态监测样地开展草原物候期（返青期、生长盛期、枯黄期）监测，掌握草原生态和生产力状况，形成草原资源监测报告。对喀什地区草原有害生物发生面积、分布及危害程度进行常规监测，掌握草原有害生物发生危害现状及趋势，形成草原有害生物防治报告。对喀什地区实施的退耕还草、退化草原生态修复治理、林草湿荒一体化保护修复等项目区</w:t>
            </w:r>
            <w:r>
              <w:rPr>
                <w:rFonts w:hint="eastAsia" w:ascii="宋体" w:hAnsi="宋体"/>
                <w:sz w:val="16"/>
                <w:lang w:eastAsia="zh-CN"/>
              </w:rPr>
              <w:t>实施</w:t>
            </w:r>
            <w:r>
              <w:rPr>
                <w:rFonts w:ascii="宋体" w:hAnsi="宋体" w:eastAsia="宋体"/>
                <w:sz w:val="16"/>
              </w:rPr>
              <w:t>效果监测，并开展技术服务指导工作。草类植物种质资源圃日常监测管理：通过对喀什地区草类植物种质资源圃内收集、种植保存的65种草类植物品种开展日常监测管理，掌握草类植物生长、生产性状，为保存、筛选、扩繁适宜在喀什地区本地具有生产价值或科研价值的野生优良牧草、生态草、乡土草种以及开展牧草育种和科学研究提供育种材料和实验材料。</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B782CB">
            <w:pPr>
              <w:jc w:val="both"/>
            </w:pPr>
            <w:r>
              <w:rPr>
                <w:rFonts w:ascii="宋体" w:hAnsi="宋体" w:eastAsia="宋体"/>
                <w:sz w:val="16"/>
              </w:rPr>
              <w:t>积极推进退耕还草项目3月-8月，我站持续派出业务骨干赴各项目县开展服务指导，今年全地区退耕还草项目需补播补种面积6.58万亩，种植面积6.132万亩，种植整改完成率93.19 %，发放补助资金3300万元，县级验收合格面积17.22万亩，合格率72.32%；积极开展草原有害生物治理工作，2024年7.5万亩（虫害防治面积2万亩，鼠害防治面积5.5万亩）草原有害生物防治任务全面完成，其中地区本级防治面积4万亩，指导县级防治面积3.5万亩；全面完成草原生态样地调查（草原生态综合监测）工作，一是我站于7月17日举办了喀什地区2024年草原生态综合监测工作启动仪式暨草原样地调查技术培训会，培训地县技术人员27名，二是及时协调各县积极配合第三方工作，全程为调查组开展工作做好保障工作；三是做好监测质量监督检查，组织业务干部对第三方调查数据开展检查，对发现的问题第一时间反馈至第三方进行修正；认真开展草地资源返青期、枯黄期监测工作，完成年度草原返青期监测工作和枯黄期监测工作；落实治理草原超载过牧专项行动，我局先后多次组织力量开展禁牧和草畜平衡工作指导服务和巡查巡护21人·次，培训基层干部和农牧民280余名。</w:t>
            </w:r>
          </w:p>
        </w:tc>
      </w:tr>
      <w:tr w14:paraId="6ED2BD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32A5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89C9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F2CB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1009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C874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94DD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F693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ABC4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91C1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BEF9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0148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0CC6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1286A">
            <w:pPr>
              <w:jc w:val="center"/>
            </w:pPr>
            <w:r>
              <w:rPr>
                <w:rFonts w:ascii="宋体" w:hAnsi="宋体" w:eastAsia="宋体"/>
                <w:sz w:val="16"/>
              </w:rPr>
              <w:t>偏差原因分析及改进措施</w:t>
            </w:r>
          </w:p>
        </w:tc>
      </w:tr>
      <w:tr w14:paraId="6D3EE6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CAA99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D8C8F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2229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ECFA9">
            <w:pPr>
              <w:jc w:val="center"/>
            </w:pPr>
            <w:r>
              <w:rPr>
                <w:rFonts w:ascii="宋体" w:hAnsi="宋体" w:eastAsia="宋体"/>
                <w:sz w:val="16"/>
              </w:rPr>
              <w:t>开展草原资源常规监测（人次）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40E0A">
            <w:pPr>
              <w:jc w:val="center"/>
            </w:pPr>
            <w:r>
              <w:rPr>
                <w:rFonts w:ascii="宋体" w:hAnsi="宋体" w:eastAsia="宋体"/>
                <w:sz w:val="16"/>
              </w:rPr>
              <w:t>&gt;=40人次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6F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0EF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9A0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FD8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1BE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CDB09">
            <w:pPr>
              <w:jc w:val="center"/>
            </w:pPr>
            <w:r>
              <w:rPr>
                <w:rFonts w:ascii="宋体" w:hAnsi="宋体" w:eastAsia="宋体"/>
                <w:sz w:val="16"/>
              </w:rPr>
              <w:t>=40人次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4436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6FF92">
            <w:pPr>
              <w:jc w:val="center"/>
            </w:pPr>
          </w:p>
        </w:tc>
      </w:tr>
      <w:tr w14:paraId="13A4BC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6DE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E29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403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6AA60">
            <w:pPr>
              <w:jc w:val="center"/>
            </w:pPr>
            <w:r>
              <w:rPr>
                <w:rFonts w:ascii="宋体" w:hAnsi="宋体" w:eastAsia="宋体"/>
                <w:sz w:val="16"/>
              </w:rPr>
              <w:t>开展草原有害生物常规监测（人次）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C7DE6">
            <w:pPr>
              <w:jc w:val="center"/>
            </w:pPr>
            <w:r>
              <w:rPr>
                <w:rFonts w:ascii="宋体" w:hAnsi="宋体" w:eastAsia="宋体"/>
                <w:sz w:val="16"/>
              </w:rPr>
              <w:t>&gt;=30人次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6FF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43C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CCE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B83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E8A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43CA8">
            <w:pPr>
              <w:jc w:val="center"/>
            </w:pPr>
            <w:r>
              <w:rPr>
                <w:rFonts w:ascii="宋体" w:hAnsi="宋体" w:eastAsia="宋体"/>
                <w:sz w:val="16"/>
              </w:rPr>
              <w:t>=30人次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70E7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6C4C6">
            <w:pPr>
              <w:jc w:val="center"/>
            </w:pPr>
          </w:p>
        </w:tc>
      </w:tr>
      <w:tr w14:paraId="721063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B66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F78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664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7A532">
            <w:pPr>
              <w:jc w:val="center"/>
            </w:pPr>
            <w:r>
              <w:rPr>
                <w:rFonts w:ascii="宋体" w:hAnsi="宋体" w:eastAsia="宋体"/>
                <w:sz w:val="16"/>
              </w:rPr>
              <w:t>草原类项目服务指导（人次）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565C1">
            <w:pPr>
              <w:jc w:val="center"/>
            </w:pPr>
            <w:r>
              <w:rPr>
                <w:rFonts w:ascii="宋体" w:hAnsi="宋体" w:eastAsia="宋体"/>
                <w:sz w:val="16"/>
              </w:rPr>
              <w:t>&gt;=90人次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D6D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329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EC2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07A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ACF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68151">
            <w:pPr>
              <w:jc w:val="center"/>
            </w:pPr>
            <w:r>
              <w:rPr>
                <w:rFonts w:ascii="宋体" w:hAnsi="宋体" w:eastAsia="宋体"/>
                <w:sz w:val="16"/>
              </w:rPr>
              <w:t>=90人次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8AF7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60766">
            <w:pPr>
              <w:jc w:val="center"/>
            </w:pPr>
          </w:p>
        </w:tc>
      </w:tr>
      <w:tr w14:paraId="74353A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5B8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C32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DA7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FA52B">
            <w:pPr>
              <w:jc w:val="center"/>
            </w:pPr>
            <w:r>
              <w:rPr>
                <w:rFonts w:ascii="宋体" w:hAnsi="宋体" w:eastAsia="宋体"/>
                <w:sz w:val="16"/>
              </w:rPr>
              <w:t>参加地区外相关会议、培训、考察学习交流（人次）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4A2C3">
            <w:pPr>
              <w:jc w:val="center"/>
            </w:pPr>
            <w:r>
              <w:rPr>
                <w:rFonts w:ascii="宋体" w:hAnsi="宋体" w:eastAsia="宋体"/>
                <w:sz w:val="16"/>
              </w:rPr>
              <w:t>&gt;=40人次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B74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978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DB0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70F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D5E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689E6">
            <w:pPr>
              <w:jc w:val="center"/>
            </w:pPr>
            <w:r>
              <w:rPr>
                <w:rFonts w:ascii="宋体" w:hAnsi="宋体" w:eastAsia="宋体"/>
                <w:sz w:val="16"/>
              </w:rPr>
              <w:t>=40人次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84EA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2CC6B">
            <w:pPr>
              <w:jc w:val="center"/>
            </w:pPr>
          </w:p>
        </w:tc>
      </w:tr>
      <w:tr w14:paraId="184D0B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5B8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EB0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2E3A5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EDE35">
            <w:pPr>
              <w:jc w:val="center"/>
            </w:pPr>
            <w:r>
              <w:rPr>
                <w:rFonts w:ascii="宋体" w:hAnsi="宋体" w:eastAsia="宋体"/>
                <w:sz w:val="16"/>
              </w:rPr>
              <w:t>返青期监测完成率（%）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55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AEE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B50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779A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F3DA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5B1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0A2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4A41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7C640">
            <w:pPr>
              <w:jc w:val="center"/>
            </w:pPr>
          </w:p>
        </w:tc>
      </w:tr>
      <w:tr w14:paraId="3AE111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A24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EBF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197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158F2">
            <w:pPr>
              <w:jc w:val="center"/>
            </w:pPr>
            <w:r>
              <w:rPr>
                <w:rFonts w:ascii="宋体" w:hAnsi="宋体" w:eastAsia="宋体"/>
                <w:sz w:val="16"/>
              </w:rPr>
              <w:t>枯黄期监测完成率（%）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269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A4D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BE3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C303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A207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8A4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4A5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9DF7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8B7D9">
            <w:pPr>
              <w:jc w:val="center"/>
            </w:pPr>
          </w:p>
        </w:tc>
      </w:tr>
      <w:tr w14:paraId="5FB36F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B23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ED8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DD2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CC71E">
            <w:pPr>
              <w:jc w:val="center"/>
            </w:pPr>
            <w:r>
              <w:rPr>
                <w:rFonts w:ascii="宋体" w:hAnsi="宋体" w:eastAsia="宋体"/>
                <w:sz w:val="16"/>
              </w:rPr>
              <w:t>草原有害生物常规监测完成率（%）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6CC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BCF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A5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2CB6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391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189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BF3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D325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5F368">
            <w:pPr>
              <w:jc w:val="center"/>
            </w:pPr>
          </w:p>
        </w:tc>
      </w:tr>
      <w:tr w14:paraId="532A3C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7CF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6E7B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4A097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980B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D60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62D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86B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BC89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5337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156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D6A8C">
            <w:pPr>
              <w:jc w:val="center"/>
            </w:pPr>
            <w:r>
              <w:rPr>
                <w:rFonts w:ascii="宋体" w:hAnsi="宋体" w:eastAsia="宋体"/>
                <w:sz w:val="16"/>
              </w:rPr>
              <w:t>=72.74%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0A7A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CF1F2">
            <w:pPr>
              <w:jc w:val="center"/>
            </w:pPr>
            <w:r>
              <w:rPr>
                <w:rFonts w:ascii="宋体" w:hAnsi="宋体" w:eastAsia="宋体"/>
                <w:sz w:val="16"/>
              </w:rPr>
              <w:t>偏差原因：结余资金为结转资金。改进措施：按照财务管理工作要求合理使用项目结转资金，继续做好项目监督和管理，提高资金使用效益和项目执行效率。</w:t>
            </w:r>
          </w:p>
        </w:tc>
      </w:tr>
      <w:tr w14:paraId="0E7DD7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1FA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76E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B49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C470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288A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144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384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A1BA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71E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B9E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893F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0ACF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548B1">
            <w:pPr>
              <w:jc w:val="center"/>
            </w:pPr>
          </w:p>
        </w:tc>
      </w:tr>
      <w:tr w14:paraId="49B0C3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810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A4BFA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40BF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130CD">
            <w:pPr>
              <w:jc w:val="center"/>
            </w:pPr>
            <w:r>
              <w:rPr>
                <w:rFonts w:ascii="宋体" w:hAnsi="宋体" w:eastAsia="宋体"/>
                <w:sz w:val="16"/>
              </w:rPr>
              <w:t>其他交通成本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09A0B">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8E1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E8A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FB08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091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CF2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76ED8">
            <w:pPr>
              <w:jc w:val="center"/>
            </w:pPr>
            <w:r>
              <w:rPr>
                <w:rFonts w:ascii="宋体" w:hAnsi="宋体" w:eastAsia="宋体"/>
                <w:sz w:val="16"/>
              </w:rPr>
              <w:t>=5.05万元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D83D6">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E7EB9">
            <w:pPr>
              <w:jc w:val="center"/>
            </w:pPr>
            <w:r>
              <w:rPr>
                <w:rFonts w:ascii="宋体" w:hAnsi="宋体" w:eastAsia="宋体"/>
                <w:sz w:val="16"/>
              </w:rPr>
              <w:t>偏差原因：无正式文件通知，无法参加外出参会、学习、培训，无法按时支付差费以及租车费，因此产生偏差。改进措施：加强预算绩效目标管理，明确绩效目标编制要求，建立科学、细化、量化、可比可测的预算绩效指标体系。</w:t>
            </w:r>
          </w:p>
        </w:tc>
      </w:tr>
      <w:tr w14:paraId="474767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D0C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1EE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F05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A5DCD">
            <w:pPr>
              <w:jc w:val="center"/>
            </w:pPr>
            <w:r>
              <w:rPr>
                <w:rFonts w:ascii="宋体" w:hAnsi="宋体" w:eastAsia="宋体"/>
                <w:sz w:val="16"/>
              </w:rPr>
              <w:t>办公费成本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28995">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232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ACC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697F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AC1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5E2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D69BB">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3008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29522">
            <w:pPr>
              <w:jc w:val="center"/>
            </w:pPr>
          </w:p>
        </w:tc>
      </w:tr>
      <w:tr w14:paraId="78BFC8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2B3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EDD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E11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96D76">
            <w:pPr>
              <w:jc w:val="center"/>
            </w:pPr>
            <w:r>
              <w:rPr>
                <w:rFonts w:ascii="宋体" w:hAnsi="宋体" w:eastAsia="宋体"/>
                <w:sz w:val="16"/>
              </w:rPr>
              <w:t>印刷成本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AE954">
            <w:pPr>
              <w:jc w:val="center"/>
            </w:pPr>
            <w:r>
              <w:rPr>
                <w:rFonts w:ascii="宋体" w:hAnsi="宋体" w:eastAsia="宋体"/>
                <w:sz w:val="16"/>
              </w:rPr>
              <w:t>&lt;=0.30万元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C79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3AF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2B4A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75E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2D7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E932B">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543B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8BFB9">
            <w:pPr>
              <w:jc w:val="center"/>
            </w:pPr>
          </w:p>
        </w:tc>
      </w:tr>
      <w:tr w14:paraId="112BFF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559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572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A4F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FB7D4">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3408A">
            <w:pPr>
              <w:jc w:val="center"/>
            </w:pPr>
            <w:r>
              <w:rPr>
                <w:rFonts w:ascii="宋体" w:hAnsi="宋体" w:eastAsia="宋体"/>
                <w:sz w:val="16"/>
              </w:rPr>
              <w:t>&lt;=7.40万元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6F9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E72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29D7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CD3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704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10A83">
            <w:pPr>
              <w:jc w:val="center"/>
            </w:pPr>
            <w:r>
              <w:rPr>
                <w:rFonts w:ascii="宋体" w:hAnsi="宋体" w:eastAsia="宋体"/>
                <w:sz w:val="16"/>
              </w:rPr>
              <w:t>=4.04万元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ED6E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EB365">
            <w:pPr>
              <w:jc w:val="center"/>
            </w:pPr>
            <w:r>
              <w:rPr>
                <w:rFonts w:ascii="宋体" w:hAnsi="宋体" w:eastAsia="宋体"/>
                <w:sz w:val="16"/>
              </w:rPr>
              <w:t>偏差原因：无正式文件通知，无法参加外出参会、学习、培训，无法按时支付差费以及租车费，因此产生偏差。改进措施：提前做好计划安排，做好项目预算管理制度。</w:t>
            </w:r>
          </w:p>
        </w:tc>
      </w:tr>
      <w:tr w14:paraId="399BEC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18B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BD9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A78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0E96A">
            <w:pPr>
              <w:jc w:val="center"/>
            </w:pPr>
            <w:r>
              <w:rPr>
                <w:rFonts w:ascii="宋体" w:hAnsi="宋体" w:eastAsia="宋体"/>
                <w:sz w:val="16"/>
              </w:rPr>
              <w:t>专用设备购置成本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392D0">
            <w:pPr>
              <w:jc w:val="center"/>
            </w:pPr>
            <w:r>
              <w:rPr>
                <w:rFonts w:ascii="宋体" w:hAnsi="宋体" w:eastAsia="宋体"/>
                <w:sz w:val="16"/>
              </w:rPr>
              <w:t>&lt;=0.80万元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0A0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74C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F25F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C10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643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F50EB">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97CE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4D163">
            <w:pPr>
              <w:jc w:val="center"/>
            </w:pPr>
          </w:p>
        </w:tc>
      </w:tr>
      <w:tr w14:paraId="1C0138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7D4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6C5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D01D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C9E42">
            <w:pPr>
              <w:jc w:val="center"/>
            </w:pPr>
            <w:r>
              <w:rPr>
                <w:rFonts w:ascii="宋体" w:hAnsi="宋体" w:eastAsia="宋体"/>
                <w:sz w:val="16"/>
              </w:rPr>
              <w:t>提升草原资源可持续利用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A32C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8C4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FD7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AE3C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CDF1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77D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2AF9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41B6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8C240">
            <w:pPr>
              <w:jc w:val="center"/>
            </w:pPr>
          </w:p>
        </w:tc>
      </w:tr>
      <w:tr w14:paraId="7464E8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FB3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8F0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547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9A208">
            <w:pPr>
              <w:jc w:val="center"/>
            </w:pPr>
            <w:r>
              <w:rPr>
                <w:rFonts w:ascii="宋体" w:hAnsi="宋体" w:eastAsia="宋体"/>
                <w:sz w:val="16"/>
              </w:rPr>
              <w:t>县级技术人员满意度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7CB6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12B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70B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6DB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412E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438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C45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F91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B2890">
            <w:pPr>
              <w:jc w:val="center"/>
            </w:pPr>
            <w:r>
              <w:rPr>
                <w:rFonts w:ascii="宋体" w:hAnsi="宋体" w:eastAsia="宋体"/>
                <w:sz w:val="16"/>
              </w:rPr>
              <w:t>偏差原因：年初指标制定存在偏差。改进措施：加强学习，科学合理制定绩效目标。</w:t>
            </w:r>
          </w:p>
        </w:tc>
      </w:tr>
      <w:tr w14:paraId="60FADF2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7E6E3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C7B2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C91F1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D1051">
            <w:pPr>
              <w:jc w:val="center"/>
            </w:pPr>
            <w:r>
              <w:rPr>
                <w:rFonts w:ascii="宋体" w:hAnsi="宋体" w:eastAsia="宋体"/>
                <w:sz w:val="16"/>
              </w:rPr>
              <w:t>83.6分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B54A7CA"/>
        </w:tc>
      </w:tr>
    </w:tbl>
    <w:p w14:paraId="67D95EE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3E661B3">
        <w:tblPrEx>
          <w:tblCellMar>
            <w:top w:w="0" w:type="dxa"/>
            <w:left w:w="108" w:type="dxa"/>
            <w:bottom w:w="0" w:type="dxa"/>
            <w:right w:w="108" w:type="dxa"/>
          </w:tblCellMar>
        </w:tblPrEx>
        <w:tc>
          <w:tcPr>
            <w:tcW w:w="8848" w:type="dxa"/>
            <w:gridSpan w:val="14"/>
            <w:vAlign w:val="center"/>
          </w:tcPr>
          <w:p w14:paraId="5231BA08">
            <w:pPr>
              <w:jc w:val="center"/>
            </w:pPr>
            <w:r>
              <w:rPr>
                <w:rFonts w:ascii="宋体" w:hAnsi="宋体" w:eastAsia="宋体"/>
                <w:sz w:val="24"/>
              </w:rPr>
              <w:t>项目支出绩效自评表</w:t>
            </w:r>
          </w:p>
        </w:tc>
      </w:tr>
      <w:tr w14:paraId="1866EFD3">
        <w:tblPrEx>
          <w:tblCellMar>
            <w:top w:w="0" w:type="dxa"/>
            <w:left w:w="108" w:type="dxa"/>
            <w:bottom w:w="0" w:type="dxa"/>
            <w:right w:w="108" w:type="dxa"/>
          </w:tblCellMar>
        </w:tblPrEx>
        <w:tc>
          <w:tcPr>
            <w:tcW w:w="8848" w:type="dxa"/>
            <w:gridSpan w:val="14"/>
            <w:vAlign w:val="center"/>
          </w:tcPr>
          <w:p w14:paraId="51FBCAAC">
            <w:pPr>
              <w:jc w:val="center"/>
            </w:pPr>
            <w:r>
              <w:rPr>
                <w:rFonts w:ascii="宋体" w:hAnsi="宋体" w:eastAsia="宋体"/>
                <w:sz w:val="24"/>
              </w:rPr>
              <w:t>(2024年度)</w:t>
            </w:r>
          </w:p>
        </w:tc>
      </w:tr>
      <w:tr w14:paraId="5A6DD2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9EFB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73F8CE">
            <w:pPr>
              <w:jc w:val="center"/>
            </w:pPr>
            <w:r>
              <w:rPr>
                <w:rFonts w:ascii="宋体" w:hAnsi="宋体" w:eastAsia="宋体"/>
                <w:sz w:val="16"/>
              </w:rPr>
              <w:t>喀什地区2024年自治区林草专项资金（种苗培育补助）自治区草品种区域试验补助项目</w:t>
            </w:r>
          </w:p>
        </w:tc>
      </w:tr>
      <w:tr w14:paraId="227365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4393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29FD91">
            <w:pPr>
              <w:jc w:val="center"/>
            </w:pPr>
            <w:r>
              <w:rPr>
                <w:rFonts w:ascii="宋体" w:hAnsi="宋体" w:eastAsia="宋体"/>
                <w:sz w:val="16"/>
              </w:rPr>
              <w:t>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D009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FE692B">
            <w:pPr>
              <w:jc w:val="center"/>
            </w:pPr>
            <w:r>
              <w:rPr>
                <w:rFonts w:ascii="宋体" w:hAnsi="宋体" w:eastAsia="宋体"/>
                <w:sz w:val="16"/>
              </w:rPr>
              <w:t>喀什地区草原站</w:t>
            </w:r>
          </w:p>
        </w:tc>
      </w:tr>
      <w:tr w14:paraId="040D42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11E0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AEF8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A048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7ACE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C3F1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9239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855A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17D02">
            <w:pPr>
              <w:jc w:val="center"/>
            </w:pPr>
            <w:r>
              <w:rPr>
                <w:rFonts w:ascii="宋体" w:hAnsi="宋体" w:eastAsia="宋体"/>
                <w:sz w:val="16"/>
              </w:rPr>
              <w:t>得分</w:t>
            </w:r>
          </w:p>
        </w:tc>
      </w:tr>
      <w:tr w14:paraId="5FE8DC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B19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19C7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974E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179D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478C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D2E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0C96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F7E49">
            <w:pPr>
              <w:jc w:val="center"/>
            </w:pPr>
            <w:r>
              <w:rPr>
                <w:rFonts w:ascii="宋体" w:hAnsi="宋体" w:eastAsia="宋体"/>
                <w:sz w:val="16"/>
              </w:rPr>
              <w:t>10.00分</w:t>
            </w:r>
          </w:p>
        </w:tc>
      </w:tr>
      <w:tr w14:paraId="7EF647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419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DDA8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CB16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377C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46CE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7B1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7E8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84D43">
            <w:pPr>
              <w:jc w:val="center"/>
            </w:pPr>
            <w:r>
              <w:rPr>
                <w:rFonts w:ascii="宋体" w:hAnsi="宋体" w:eastAsia="宋体"/>
                <w:sz w:val="16"/>
              </w:rPr>
              <w:t>—</w:t>
            </w:r>
          </w:p>
        </w:tc>
      </w:tr>
      <w:tr w14:paraId="609177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69B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CDDB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EA2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7EC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DBE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A2C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941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B838F">
            <w:pPr>
              <w:jc w:val="center"/>
            </w:pPr>
            <w:r>
              <w:rPr>
                <w:rFonts w:ascii="宋体" w:hAnsi="宋体" w:eastAsia="宋体"/>
                <w:sz w:val="16"/>
              </w:rPr>
              <w:t>—</w:t>
            </w:r>
          </w:p>
        </w:tc>
      </w:tr>
      <w:tr w14:paraId="36C0A5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3B66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2DE80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3DEB19">
            <w:pPr>
              <w:jc w:val="center"/>
            </w:pPr>
            <w:r>
              <w:rPr>
                <w:rFonts w:ascii="宋体" w:hAnsi="宋体" w:eastAsia="宋体"/>
                <w:sz w:val="16"/>
              </w:rPr>
              <w:t>实际完成情况</w:t>
            </w:r>
          </w:p>
        </w:tc>
      </w:tr>
      <w:tr w14:paraId="22695F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3923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9C7E9E">
            <w:pPr>
              <w:jc w:val="both"/>
            </w:pPr>
            <w:r>
              <w:rPr>
                <w:rFonts w:ascii="宋体" w:hAnsi="宋体" w:eastAsia="宋体"/>
                <w:sz w:val="16"/>
              </w:rPr>
              <w:t>项目资金10万元，6.1万元用于购买相关材料，3万元用于支付劳务费，0.9万元用于项目管理。该项目主要用于完成10个草品种区域试验，选出</w:t>
            </w:r>
            <w:r>
              <w:rPr>
                <w:rFonts w:hint="eastAsia" w:ascii="宋体" w:hAnsi="宋体"/>
                <w:sz w:val="16"/>
                <w:lang w:eastAsia="zh-CN"/>
              </w:rPr>
              <w:t>2～3个</w:t>
            </w:r>
            <w:r>
              <w:rPr>
                <w:rFonts w:ascii="宋体" w:hAnsi="宋体" w:eastAsia="宋体"/>
                <w:sz w:val="16"/>
              </w:rPr>
              <w:t>适宜种植喀什地区的优质、高产的牧草品种。通过项目实施，为广大农牧民及退化草原改良项目提供优选品种，进一步提高饲草产量、促进草原生态保护修复、改善生态环境。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A30645">
            <w:pPr>
              <w:jc w:val="both"/>
            </w:pPr>
            <w:r>
              <w:rPr>
                <w:rFonts w:ascii="宋体" w:hAnsi="宋体" w:eastAsia="宋体"/>
                <w:sz w:val="16"/>
              </w:rPr>
              <w:t>项目主要完成了10个草品种区域试验，选出</w:t>
            </w:r>
            <w:r>
              <w:rPr>
                <w:rFonts w:hint="eastAsia" w:ascii="宋体" w:hAnsi="宋体"/>
                <w:sz w:val="16"/>
                <w:lang w:eastAsia="zh-CN"/>
              </w:rPr>
              <w:t>2～3个</w:t>
            </w:r>
            <w:r>
              <w:rPr>
                <w:rFonts w:ascii="宋体" w:hAnsi="宋体" w:eastAsia="宋体"/>
                <w:sz w:val="16"/>
              </w:rPr>
              <w:t>适宜种植喀什地区的优质、高产的牧草品种。通过项目实施，为广大农牧民及退化草原改良项目提供优选品种，进一步提高饲草产量、促进草原生态保护修复、改善生态环境。</w:t>
            </w:r>
          </w:p>
        </w:tc>
      </w:tr>
      <w:tr w14:paraId="599896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613A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1E12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C301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CF98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3DB6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6C14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DC07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460C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045C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1EC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A414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DB30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A2440">
            <w:pPr>
              <w:jc w:val="center"/>
            </w:pPr>
            <w:r>
              <w:rPr>
                <w:rFonts w:ascii="宋体" w:hAnsi="宋体" w:eastAsia="宋体"/>
                <w:sz w:val="16"/>
              </w:rPr>
              <w:t>偏差原因分析及改进措施</w:t>
            </w:r>
          </w:p>
        </w:tc>
      </w:tr>
      <w:tr w14:paraId="786164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2555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CBAF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B40F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C834F">
            <w:pPr>
              <w:jc w:val="center"/>
            </w:pPr>
            <w:r>
              <w:rPr>
                <w:rFonts w:ascii="宋体" w:hAnsi="宋体" w:eastAsia="宋体"/>
                <w:sz w:val="16"/>
              </w:rPr>
              <w:t>建设规模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841E8">
            <w:pPr>
              <w:jc w:val="center"/>
            </w:pPr>
            <w:r>
              <w:rPr>
                <w:rFonts w:ascii="宋体" w:hAnsi="宋体" w:eastAsia="宋体"/>
                <w:sz w:val="16"/>
              </w:rPr>
              <w:t>&gt;=2亩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666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333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AFC9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3A9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6B7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D1D2C">
            <w:pPr>
              <w:jc w:val="center"/>
            </w:pPr>
            <w:r>
              <w:rPr>
                <w:rFonts w:ascii="宋体" w:hAnsi="宋体" w:eastAsia="宋体"/>
                <w:sz w:val="16"/>
              </w:rPr>
              <w:t>=2亩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A1FA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6FE86">
            <w:pPr>
              <w:jc w:val="center"/>
            </w:pPr>
          </w:p>
        </w:tc>
      </w:tr>
      <w:tr w14:paraId="55E74D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56E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18C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F75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9A29A">
            <w:pPr>
              <w:jc w:val="center"/>
            </w:pPr>
            <w:r>
              <w:rPr>
                <w:rFonts w:ascii="宋体" w:hAnsi="宋体" w:eastAsia="宋体"/>
                <w:sz w:val="16"/>
              </w:rPr>
              <w:t>区域试验草品种个数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28E95">
            <w:pPr>
              <w:jc w:val="center"/>
            </w:pPr>
            <w:r>
              <w:rPr>
                <w:rFonts w:ascii="宋体" w:hAnsi="宋体" w:eastAsia="宋体"/>
                <w:sz w:val="16"/>
              </w:rPr>
              <w:t>&gt;=10种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AD0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371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E70A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640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722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3393D">
            <w:pPr>
              <w:jc w:val="center"/>
            </w:pPr>
            <w:r>
              <w:rPr>
                <w:rFonts w:ascii="宋体" w:hAnsi="宋体" w:eastAsia="宋体"/>
                <w:sz w:val="16"/>
              </w:rPr>
              <w:t>=10种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A7BD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DC4D7">
            <w:pPr>
              <w:jc w:val="center"/>
            </w:pPr>
          </w:p>
        </w:tc>
      </w:tr>
      <w:tr w14:paraId="43242B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490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AC0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36E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7C15A">
            <w:pPr>
              <w:jc w:val="center"/>
            </w:pPr>
            <w:r>
              <w:rPr>
                <w:rFonts w:ascii="宋体" w:hAnsi="宋体" w:eastAsia="宋体"/>
                <w:sz w:val="16"/>
              </w:rPr>
              <w:t>筛选品种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C0BE2">
            <w:pPr>
              <w:jc w:val="center"/>
            </w:pPr>
            <w:r>
              <w:rPr>
                <w:rFonts w:ascii="宋体" w:hAnsi="宋体" w:eastAsia="宋体"/>
                <w:sz w:val="16"/>
              </w:rPr>
              <w:t>&gt;=3种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83C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71A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FBD1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CF2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DB0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5853F">
            <w:pPr>
              <w:jc w:val="center"/>
            </w:pPr>
            <w:r>
              <w:rPr>
                <w:rFonts w:ascii="宋体" w:hAnsi="宋体" w:eastAsia="宋体"/>
                <w:sz w:val="16"/>
              </w:rPr>
              <w:t>=3种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8468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CFB17">
            <w:pPr>
              <w:jc w:val="center"/>
            </w:pPr>
          </w:p>
        </w:tc>
      </w:tr>
      <w:tr w14:paraId="6C1613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6D2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927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DB4BC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5ADC5">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1ED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BA9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9AB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DADD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E677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314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453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4DCA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CB7E9">
            <w:pPr>
              <w:jc w:val="center"/>
            </w:pPr>
          </w:p>
        </w:tc>
      </w:tr>
      <w:tr w14:paraId="5CB0D5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596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9DF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3A9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5066A">
            <w:pPr>
              <w:jc w:val="center"/>
            </w:pPr>
            <w:r>
              <w:rPr>
                <w:rFonts w:ascii="宋体" w:hAnsi="宋体" w:eastAsia="宋体"/>
                <w:sz w:val="16"/>
              </w:rPr>
              <w:t>草品种区域试验数据准确率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26C9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82A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639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AAAD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1C7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591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A958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2A64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73F4C">
            <w:pPr>
              <w:jc w:val="center"/>
            </w:pPr>
          </w:p>
        </w:tc>
      </w:tr>
      <w:tr w14:paraId="770B22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E73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CCC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2D87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D5B4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6F3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DDE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55D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F92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7F01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B53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9B8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CBB2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A96FA">
            <w:pPr>
              <w:jc w:val="center"/>
            </w:pPr>
          </w:p>
        </w:tc>
      </w:tr>
      <w:tr w14:paraId="1AEEC5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662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560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3C3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BACB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0DF0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693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5D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31F8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7F2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A82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4A75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CD41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0A258">
            <w:pPr>
              <w:jc w:val="center"/>
            </w:pPr>
          </w:p>
        </w:tc>
      </w:tr>
      <w:tr w14:paraId="5311AC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497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61560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2069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8FF16">
            <w:pPr>
              <w:jc w:val="center"/>
            </w:pPr>
            <w:r>
              <w:rPr>
                <w:rFonts w:ascii="宋体" w:hAnsi="宋体" w:eastAsia="宋体"/>
                <w:sz w:val="16"/>
              </w:rPr>
              <w:t>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0C40A">
            <w:pPr>
              <w:jc w:val="center"/>
            </w:pPr>
            <w:r>
              <w:rPr>
                <w:rFonts w:ascii="宋体" w:hAnsi="宋体" w:eastAsia="宋体"/>
                <w:sz w:val="16"/>
              </w:rPr>
              <w:t>&lt;=6.10万元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1E4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CC1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5647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60A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F0E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40B03">
            <w:pPr>
              <w:jc w:val="center"/>
            </w:pPr>
            <w:r>
              <w:rPr>
                <w:rFonts w:ascii="宋体" w:hAnsi="宋体" w:eastAsia="宋体"/>
                <w:sz w:val="16"/>
              </w:rPr>
              <w:t>=6.1万元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5960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B0BBC">
            <w:pPr>
              <w:jc w:val="center"/>
            </w:pPr>
          </w:p>
        </w:tc>
      </w:tr>
      <w:tr w14:paraId="59A766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B2F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F89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EB2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0C814">
            <w:pPr>
              <w:jc w:val="center"/>
            </w:pPr>
            <w:r>
              <w:rPr>
                <w:rFonts w:ascii="宋体" w:hAnsi="宋体" w:eastAsia="宋体"/>
                <w:sz w:val="16"/>
              </w:rPr>
              <w:t>劳务成本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0C5A4">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AB2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39A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392C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065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361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8F6C">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15B4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95551">
            <w:pPr>
              <w:jc w:val="center"/>
            </w:pPr>
          </w:p>
        </w:tc>
      </w:tr>
      <w:tr w14:paraId="080FBE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9ED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A2B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D1A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FFEC6">
            <w:pPr>
              <w:jc w:val="center"/>
            </w:pPr>
            <w:r>
              <w:rPr>
                <w:rFonts w:ascii="宋体" w:hAnsi="宋体" w:eastAsia="宋体"/>
                <w:sz w:val="16"/>
              </w:rPr>
              <w:t>项目管理成本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7700A">
            <w:pPr>
              <w:jc w:val="center"/>
            </w:pPr>
            <w:r>
              <w:rPr>
                <w:rFonts w:ascii="宋体" w:hAnsi="宋体" w:eastAsia="宋体"/>
                <w:sz w:val="16"/>
              </w:rPr>
              <w:t>&lt;=0.90万元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C0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C4F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0434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05D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FFA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010F0">
            <w:pPr>
              <w:jc w:val="center"/>
            </w:pPr>
            <w:r>
              <w:rPr>
                <w:rFonts w:ascii="宋体" w:hAnsi="宋体" w:eastAsia="宋体"/>
                <w:sz w:val="16"/>
              </w:rPr>
              <w:t>=0.9万元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C3D5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0FC91">
            <w:pPr>
              <w:jc w:val="center"/>
            </w:pPr>
          </w:p>
        </w:tc>
      </w:tr>
      <w:tr w14:paraId="4B8E7D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2D8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1506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34AB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DB21B">
            <w:pPr>
              <w:jc w:val="center"/>
            </w:pPr>
            <w:r>
              <w:rPr>
                <w:rFonts w:ascii="宋体" w:hAnsi="宋体" w:eastAsia="宋体"/>
                <w:sz w:val="16"/>
              </w:rPr>
              <w:t>提升种植生产水平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4F06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AD07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34D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BFA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89B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157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5D72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848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69BDB">
            <w:pPr>
              <w:jc w:val="center"/>
            </w:pPr>
          </w:p>
        </w:tc>
      </w:tr>
      <w:tr w14:paraId="5E678A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E7F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2A7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3DFB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C4AFD">
            <w:pPr>
              <w:jc w:val="center"/>
            </w:pPr>
            <w:r>
              <w:rPr>
                <w:rFonts w:ascii="宋体" w:hAnsi="宋体" w:eastAsia="宋体"/>
                <w:sz w:val="16"/>
              </w:rPr>
              <w:t>筛选优良草品种以促进草原资源可持续利用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DF07D">
            <w:pPr>
              <w:jc w:val="center"/>
            </w:pPr>
            <w:r>
              <w:rPr>
                <w:rFonts w:ascii="宋体" w:hAnsi="宋体" w:eastAsia="宋体"/>
                <w:sz w:val="16"/>
              </w:rPr>
              <w:t>&gt;=3种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773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8C0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12F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54C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EC1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C80EE">
            <w:pPr>
              <w:jc w:val="center"/>
            </w:pPr>
            <w:r>
              <w:rPr>
                <w:rFonts w:ascii="宋体" w:hAnsi="宋体" w:eastAsia="宋体"/>
                <w:sz w:val="16"/>
              </w:rPr>
              <w:t>=3种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CFF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07916">
            <w:pPr>
              <w:jc w:val="center"/>
            </w:pPr>
          </w:p>
        </w:tc>
      </w:tr>
      <w:tr w14:paraId="1D528A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7A1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2D5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10E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D1D96">
            <w:pPr>
              <w:jc w:val="center"/>
            </w:pPr>
            <w:r>
              <w:rPr>
                <w:rFonts w:ascii="宋体" w:hAnsi="宋体" w:eastAsia="宋体"/>
                <w:sz w:val="16"/>
              </w:rPr>
              <w:t>项目组成员满意度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F35D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DA9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0E7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894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DFDE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64C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7FE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2C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14A61">
            <w:pPr>
              <w:jc w:val="center"/>
            </w:pPr>
            <w:r>
              <w:rPr>
                <w:rFonts w:ascii="宋体" w:hAnsi="宋体" w:eastAsia="宋体"/>
                <w:sz w:val="16"/>
              </w:rPr>
              <w:t>偏差原因：年初指标制定存在偏差。改进措施：加强学习，科学合理制定绩效目标。</w:t>
            </w:r>
          </w:p>
        </w:tc>
      </w:tr>
      <w:tr w14:paraId="2B5AAFD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EA1CF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C355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863D9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FA6A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E05C80"/>
        </w:tc>
      </w:tr>
    </w:tbl>
    <w:p w14:paraId="1EA7843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27BEF752">
        <w:tblPrEx>
          <w:tblCellMar>
            <w:top w:w="0" w:type="dxa"/>
            <w:left w:w="108" w:type="dxa"/>
            <w:bottom w:w="0" w:type="dxa"/>
            <w:right w:w="108" w:type="dxa"/>
          </w:tblCellMar>
        </w:tblPrEx>
        <w:tc>
          <w:tcPr>
            <w:tcW w:w="8848" w:type="dxa"/>
            <w:gridSpan w:val="14"/>
            <w:vAlign w:val="center"/>
          </w:tcPr>
          <w:p w14:paraId="2A632655">
            <w:pPr>
              <w:jc w:val="center"/>
            </w:pPr>
            <w:r>
              <w:rPr>
                <w:rFonts w:ascii="宋体" w:hAnsi="宋体" w:eastAsia="宋体"/>
                <w:sz w:val="24"/>
              </w:rPr>
              <w:t>项目支出绩效自评表</w:t>
            </w:r>
          </w:p>
        </w:tc>
      </w:tr>
      <w:tr w14:paraId="5E4AE48D">
        <w:tblPrEx>
          <w:tblCellMar>
            <w:top w:w="0" w:type="dxa"/>
            <w:left w:w="108" w:type="dxa"/>
            <w:bottom w:w="0" w:type="dxa"/>
            <w:right w:w="108" w:type="dxa"/>
          </w:tblCellMar>
        </w:tblPrEx>
        <w:tc>
          <w:tcPr>
            <w:tcW w:w="8848" w:type="dxa"/>
            <w:gridSpan w:val="14"/>
            <w:vAlign w:val="center"/>
          </w:tcPr>
          <w:p w14:paraId="489EF730">
            <w:pPr>
              <w:jc w:val="center"/>
            </w:pPr>
            <w:r>
              <w:rPr>
                <w:rFonts w:ascii="宋体" w:hAnsi="宋体" w:eastAsia="宋体"/>
                <w:sz w:val="24"/>
              </w:rPr>
              <w:t>(2024年度)</w:t>
            </w:r>
          </w:p>
        </w:tc>
      </w:tr>
      <w:tr w14:paraId="0E1DB4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E4B2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59E4EC">
            <w:pPr>
              <w:jc w:val="center"/>
            </w:pPr>
            <w:r>
              <w:rPr>
                <w:rFonts w:ascii="宋体" w:hAnsi="宋体" w:eastAsia="宋体"/>
                <w:sz w:val="16"/>
              </w:rPr>
              <w:t>喀什地区高值多抗苜蓿种质资源收集保存、品种筛选与示范推广应用研究项目</w:t>
            </w:r>
          </w:p>
        </w:tc>
      </w:tr>
      <w:tr w14:paraId="08E0B0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2258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E2643E">
            <w:pPr>
              <w:jc w:val="center"/>
            </w:pPr>
            <w:r>
              <w:rPr>
                <w:rFonts w:ascii="宋体" w:hAnsi="宋体" w:eastAsia="宋体"/>
                <w:sz w:val="16"/>
              </w:rPr>
              <w:t>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CB3C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1D789C">
            <w:pPr>
              <w:jc w:val="center"/>
            </w:pPr>
            <w:r>
              <w:rPr>
                <w:rFonts w:ascii="宋体" w:hAnsi="宋体" w:eastAsia="宋体"/>
                <w:sz w:val="16"/>
              </w:rPr>
              <w:t>喀什地区草原站</w:t>
            </w:r>
          </w:p>
        </w:tc>
      </w:tr>
      <w:tr w14:paraId="1DCACE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CBA7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4C4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B183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1B40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B9A3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F614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F6FA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CD16B">
            <w:pPr>
              <w:jc w:val="center"/>
            </w:pPr>
            <w:r>
              <w:rPr>
                <w:rFonts w:ascii="宋体" w:hAnsi="宋体" w:eastAsia="宋体"/>
                <w:sz w:val="16"/>
              </w:rPr>
              <w:t>得分</w:t>
            </w:r>
          </w:p>
        </w:tc>
      </w:tr>
      <w:tr w14:paraId="499D44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275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8A79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D283B">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26345">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D89A7">
            <w:pPr>
              <w:jc w:val="center"/>
            </w:pPr>
            <w:r>
              <w:rPr>
                <w:rFonts w:ascii="宋体" w:hAnsi="宋体" w:eastAsia="宋体"/>
                <w:sz w:val="16"/>
              </w:rPr>
              <w:t>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DDA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06C34">
            <w:pPr>
              <w:jc w:val="center"/>
            </w:pPr>
            <w:r>
              <w:rPr>
                <w:rFonts w:ascii="宋体" w:hAnsi="宋体" w:eastAsia="宋体"/>
                <w:sz w:val="16"/>
              </w:rPr>
              <w:t>93.9%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AC19">
            <w:pPr>
              <w:jc w:val="center"/>
            </w:pPr>
            <w:r>
              <w:rPr>
                <w:rFonts w:hint="eastAsia" w:ascii="宋体" w:hAnsi="宋体"/>
                <w:sz w:val="16"/>
                <w:lang w:val="en-US" w:eastAsia="zh-CN"/>
              </w:rPr>
              <w:t>9.39</w:t>
            </w:r>
            <w:r>
              <w:rPr>
                <w:rFonts w:ascii="宋体" w:hAnsi="宋体" w:eastAsia="宋体"/>
                <w:sz w:val="16"/>
              </w:rPr>
              <w:t>分</w:t>
            </w:r>
          </w:p>
        </w:tc>
      </w:tr>
      <w:tr w14:paraId="6E42AF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B13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33A2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25432">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608BC">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76D91">
            <w:pPr>
              <w:jc w:val="center"/>
            </w:pPr>
            <w:r>
              <w:rPr>
                <w:rFonts w:ascii="宋体" w:hAnsi="宋体" w:eastAsia="宋体"/>
                <w:sz w:val="16"/>
              </w:rPr>
              <w:t>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363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82C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7D38C">
            <w:pPr>
              <w:jc w:val="center"/>
            </w:pPr>
            <w:r>
              <w:rPr>
                <w:rFonts w:ascii="宋体" w:hAnsi="宋体" w:eastAsia="宋体"/>
                <w:sz w:val="16"/>
              </w:rPr>
              <w:t>—</w:t>
            </w:r>
          </w:p>
        </w:tc>
      </w:tr>
      <w:tr w14:paraId="3D575F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367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9D72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D27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BD2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91C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AF8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AFD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41EBF">
            <w:pPr>
              <w:jc w:val="center"/>
            </w:pPr>
            <w:r>
              <w:rPr>
                <w:rFonts w:ascii="宋体" w:hAnsi="宋体" w:eastAsia="宋体"/>
                <w:sz w:val="16"/>
              </w:rPr>
              <w:t>—</w:t>
            </w:r>
          </w:p>
        </w:tc>
      </w:tr>
      <w:tr w14:paraId="4A09C5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0C8E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93C52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B576F1">
            <w:pPr>
              <w:jc w:val="center"/>
            </w:pPr>
            <w:r>
              <w:rPr>
                <w:rFonts w:ascii="宋体" w:hAnsi="宋体" w:eastAsia="宋体"/>
                <w:sz w:val="16"/>
              </w:rPr>
              <w:t>实际完成情况</w:t>
            </w:r>
          </w:p>
        </w:tc>
      </w:tr>
      <w:tr w14:paraId="113B33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2408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9942A8">
            <w:pPr>
              <w:jc w:val="both"/>
            </w:pPr>
            <w:r>
              <w:rPr>
                <w:rFonts w:ascii="宋体" w:hAnsi="宋体" w:eastAsia="宋体"/>
                <w:sz w:val="16"/>
              </w:rPr>
              <w:t>项目总投资30万元，2024年到位资金9万元。通过建立属于喀什本地的苜蓿种质资源圃。有针对性</w:t>
            </w:r>
            <w:r>
              <w:rPr>
                <w:rFonts w:hint="eastAsia" w:ascii="宋体" w:hAnsi="宋体"/>
                <w:sz w:val="16"/>
                <w:lang w:eastAsia="zh-CN"/>
              </w:rPr>
              <w:t>地</w:t>
            </w:r>
            <w:r>
              <w:rPr>
                <w:rFonts w:ascii="宋体" w:hAnsi="宋体" w:eastAsia="宋体"/>
                <w:sz w:val="16"/>
              </w:rPr>
              <w:t>选择高值、多抗的苜蓿资源，为喀什地区苜蓿品种的筛选栽培提供材料来源。以喀什地区草原生态修复中提供高值、多抗的苜蓿品种为主要目标，通过品种性能测试、分析评价及示范推广，形成苜蓿栽培模式，为喀什地区草原苜蓿推广提供技术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F5156D">
            <w:pPr>
              <w:jc w:val="both"/>
            </w:pPr>
            <w:r>
              <w:rPr>
                <w:rFonts w:ascii="宋体" w:hAnsi="宋体" w:eastAsia="宋体"/>
                <w:sz w:val="16"/>
              </w:rPr>
              <w:t>收集、保存高值多抗苜蓿种质资源40份，开展16个苜蓿品种区域试验，建立种质资源圃；抗旱性、耐盐碱性生理生化指标测定；产量对比测定；品种栽培模式对比分析；品种特性综合对比试验、测定不同品种抗逆性，评价筛选品种1</w:t>
            </w:r>
            <w:r>
              <w:rPr>
                <w:rFonts w:hint="eastAsia" w:ascii="宋体" w:hAnsi="宋体"/>
                <w:sz w:val="16"/>
                <w:lang w:eastAsia="zh-CN"/>
              </w:rPr>
              <w:t>～</w:t>
            </w:r>
            <w:r>
              <w:rPr>
                <w:rFonts w:ascii="宋体" w:hAnsi="宋体" w:eastAsia="宋体"/>
                <w:sz w:val="16"/>
              </w:rPr>
              <w:t>2个；示范推广面积2000亩；组织开展2次培训班，培训人数150人次；形成1份工作总结和1份技术报告。项目团队建立了喀什地区首个苜蓿种质资源圃及苜蓿草品种区域试验地，收集国内外苜蓿优良品种（种质）种植保存40份，开展16个苜蓿品种区域试验，试验地建设标准高、田间管理规范，观测记录详细，掌握了我区多品种苜蓿种植试验的第一手资料。同时技术人员的专业技术水平得到提高，尤其是对苜蓿种植生产管理环节实用技术的掌握显著提升。</w:t>
            </w:r>
          </w:p>
        </w:tc>
      </w:tr>
      <w:tr w14:paraId="5F5109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EC79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530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F26E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223C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A913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B4D4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A90F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1F47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244A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8F4C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6B8A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F7A5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3EB9C">
            <w:pPr>
              <w:jc w:val="center"/>
            </w:pPr>
            <w:r>
              <w:rPr>
                <w:rFonts w:ascii="宋体" w:hAnsi="宋体" w:eastAsia="宋体"/>
                <w:sz w:val="16"/>
              </w:rPr>
              <w:t>偏差原因分析及改进措施</w:t>
            </w:r>
          </w:p>
        </w:tc>
      </w:tr>
      <w:tr w14:paraId="706922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118B8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866B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0E74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F2412">
            <w:pPr>
              <w:jc w:val="center"/>
            </w:pPr>
            <w:r>
              <w:rPr>
                <w:rFonts w:ascii="宋体" w:hAnsi="宋体" w:eastAsia="宋体"/>
                <w:sz w:val="16"/>
              </w:rPr>
              <w:t>收集苜蓿优良品种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C9B7A">
            <w:pPr>
              <w:jc w:val="center"/>
            </w:pPr>
            <w:r>
              <w:rPr>
                <w:rFonts w:ascii="宋体" w:hAnsi="宋体" w:eastAsia="宋体"/>
                <w:sz w:val="16"/>
              </w:rPr>
              <w:t>&gt;=20种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07D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8DD8E">
            <w:pPr>
              <w:jc w:val="center"/>
            </w:pPr>
            <w:r>
              <w:rPr>
                <w:rFonts w:ascii="宋体" w:hAnsi="宋体" w:eastAsia="宋体"/>
                <w:sz w:val="16"/>
              </w:rPr>
              <w:t>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222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6C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552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0B79D">
            <w:pPr>
              <w:jc w:val="center"/>
            </w:pPr>
            <w:r>
              <w:rPr>
                <w:rFonts w:ascii="宋体" w:hAnsi="宋体" w:eastAsia="宋体"/>
                <w:sz w:val="16"/>
              </w:rPr>
              <w:t>=20种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EF11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2CCD6">
            <w:pPr>
              <w:jc w:val="center"/>
            </w:pPr>
          </w:p>
        </w:tc>
      </w:tr>
      <w:tr w14:paraId="1CC4B2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E05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3F6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B1F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DEA75">
            <w:pPr>
              <w:jc w:val="center"/>
            </w:pPr>
            <w:r>
              <w:rPr>
                <w:rFonts w:ascii="宋体" w:hAnsi="宋体" w:eastAsia="宋体"/>
                <w:sz w:val="16"/>
              </w:rPr>
              <w:t>建立种质资源圃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08FF3">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D06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EDB4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C925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D8A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7DD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4CC4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94F2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A2765">
            <w:pPr>
              <w:jc w:val="center"/>
            </w:pPr>
          </w:p>
        </w:tc>
      </w:tr>
      <w:tr w14:paraId="3FE20C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DB6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BD9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DD9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30FB5">
            <w:pPr>
              <w:jc w:val="center"/>
            </w:pPr>
            <w:r>
              <w:rPr>
                <w:rFonts w:ascii="宋体" w:hAnsi="宋体" w:eastAsia="宋体"/>
                <w:sz w:val="16"/>
              </w:rPr>
              <w:t>种质资源圃面积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71A8C">
            <w:pPr>
              <w:jc w:val="center"/>
            </w:pPr>
            <w:r>
              <w:rPr>
                <w:rFonts w:ascii="宋体" w:hAnsi="宋体" w:eastAsia="宋体"/>
                <w:sz w:val="16"/>
              </w:rPr>
              <w:t>&gt;=6亩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56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FE6EC">
            <w:pPr>
              <w:jc w:val="center"/>
            </w:pPr>
            <w:r>
              <w:rPr>
                <w:rFonts w:ascii="宋体" w:hAnsi="宋体" w:eastAsia="宋体"/>
                <w:sz w:val="16"/>
              </w:rPr>
              <w:t>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F775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9B0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07D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BC16E">
            <w:pPr>
              <w:jc w:val="center"/>
            </w:pPr>
            <w:r>
              <w:rPr>
                <w:rFonts w:ascii="宋体" w:hAnsi="宋体" w:eastAsia="宋体"/>
                <w:sz w:val="16"/>
              </w:rPr>
              <w:t>=6亩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CC7B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C1D8F">
            <w:pPr>
              <w:jc w:val="center"/>
            </w:pPr>
          </w:p>
        </w:tc>
      </w:tr>
      <w:tr w14:paraId="37197A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B7C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912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9842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DA42D">
            <w:pPr>
              <w:jc w:val="center"/>
            </w:pPr>
            <w:r>
              <w:rPr>
                <w:rFonts w:ascii="宋体" w:hAnsi="宋体" w:eastAsia="宋体"/>
                <w:sz w:val="16"/>
              </w:rPr>
              <w:t>苜蓿优良品种收集率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964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2E4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90D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9CD8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DD0D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F5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F32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68FC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B8CD0">
            <w:pPr>
              <w:jc w:val="center"/>
            </w:pPr>
          </w:p>
        </w:tc>
      </w:tr>
      <w:tr w14:paraId="6F8DF3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355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E13F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6186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4E93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16A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D04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D83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106C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B4C3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3A2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E70D7">
            <w:pPr>
              <w:jc w:val="center"/>
            </w:pPr>
            <w:r>
              <w:rPr>
                <w:rFonts w:ascii="宋体" w:hAnsi="宋体" w:eastAsia="宋体"/>
                <w:sz w:val="16"/>
              </w:rPr>
              <w:t>=93.88%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7599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B080A">
            <w:pPr>
              <w:jc w:val="center"/>
            </w:pPr>
            <w:r>
              <w:rPr>
                <w:rFonts w:ascii="宋体" w:hAnsi="宋体" w:eastAsia="宋体"/>
                <w:sz w:val="16"/>
              </w:rPr>
              <w:t>偏差原因：项目资金6月份下达，导致支出缓慢，因此产生偏差。采取的措施：严格按照计划执行，加快资金支付。</w:t>
            </w:r>
          </w:p>
        </w:tc>
      </w:tr>
      <w:tr w14:paraId="17FA00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AE7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902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2F9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CFD7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E0672">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A7A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FD1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7FEB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265A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D92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9FA5A">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78F5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75701">
            <w:pPr>
              <w:jc w:val="center"/>
            </w:pPr>
          </w:p>
        </w:tc>
      </w:tr>
      <w:tr w14:paraId="41FCA0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008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2646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02A59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354C1">
            <w:pPr>
              <w:jc w:val="center"/>
            </w:pPr>
            <w:r>
              <w:rPr>
                <w:rFonts w:ascii="宋体" w:hAnsi="宋体" w:eastAsia="宋体"/>
                <w:sz w:val="16"/>
              </w:rPr>
              <w:t>专用材料成本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678DD">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FAC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C9407">
            <w:pPr>
              <w:jc w:val="center"/>
            </w:pPr>
            <w:r>
              <w:rPr>
                <w:rFonts w:ascii="宋体" w:hAnsi="宋体" w:eastAsia="宋体"/>
                <w:sz w:val="16"/>
              </w:rPr>
              <w:t>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B5A6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E55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A25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9D95E">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07BA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B8675">
            <w:pPr>
              <w:jc w:val="center"/>
            </w:pPr>
          </w:p>
        </w:tc>
      </w:tr>
      <w:tr w14:paraId="34CAA9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921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FFA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856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6F93">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C88E5">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737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F2953">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9CBB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3E2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45B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8A876">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B7CB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2303F">
            <w:pPr>
              <w:jc w:val="center"/>
            </w:pPr>
          </w:p>
        </w:tc>
      </w:tr>
      <w:tr w14:paraId="2B7F79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29E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C4C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2DE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F1698">
            <w:pPr>
              <w:jc w:val="center"/>
            </w:pPr>
            <w:r>
              <w:rPr>
                <w:rFonts w:ascii="宋体" w:hAnsi="宋体" w:eastAsia="宋体"/>
                <w:sz w:val="16"/>
              </w:rPr>
              <w:t>专用燃料费成本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9AB4C">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E73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500EA">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9C84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8EF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433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6772A">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856A6">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31B1A">
            <w:pPr>
              <w:jc w:val="center"/>
            </w:pPr>
          </w:p>
        </w:tc>
      </w:tr>
      <w:tr w14:paraId="0E51A4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CCC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788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292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F270E">
            <w:pPr>
              <w:jc w:val="center"/>
            </w:pPr>
            <w:r>
              <w:rPr>
                <w:rFonts w:ascii="宋体" w:hAnsi="宋体" w:eastAsia="宋体"/>
                <w:sz w:val="16"/>
              </w:rPr>
              <w:t>劳务费成本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F9099">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FE4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E2C20">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2A84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E87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D75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5CDAB">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F561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E73A2">
            <w:pPr>
              <w:jc w:val="center"/>
            </w:pPr>
          </w:p>
        </w:tc>
      </w:tr>
      <w:tr w14:paraId="51D097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165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10F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FA4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2F5EC">
            <w:pPr>
              <w:jc w:val="center"/>
            </w:pPr>
            <w:r>
              <w:rPr>
                <w:rFonts w:ascii="宋体" w:hAnsi="宋体" w:eastAsia="宋体"/>
                <w:sz w:val="16"/>
              </w:rPr>
              <w:t>测试化验加工费成本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E579E">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CF1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84AB7">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7EA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518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99E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9901D">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3A9A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22A65">
            <w:pPr>
              <w:jc w:val="center"/>
            </w:pPr>
          </w:p>
        </w:tc>
      </w:tr>
      <w:tr w14:paraId="41E596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5C7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0AE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346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7F7ED">
            <w:pPr>
              <w:jc w:val="center"/>
            </w:pPr>
            <w:r>
              <w:rPr>
                <w:rFonts w:ascii="宋体" w:hAnsi="宋体" w:eastAsia="宋体"/>
                <w:sz w:val="16"/>
              </w:rPr>
              <w:t>知识产权费成本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10868">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CD4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51EBA">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5FEF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9C2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58E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A51C6">
            <w:pPr>
              <w:jc w:val="center"/>
            </w:pPr>
            <w:r>
              <w:rPr>
                <w:rFonts w:ascii="宋体" w:hAnsi="宋体" w:eastAsia="宋体"/>
                <w:sz w:val="16"/>
              </w:rPr>
              <w: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FBFE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9D6FC">
            <w:pPr>
              <w:jc w:val="center"/>
            </w:pPr>
            <w:r>
              <w:rPr>
                <w:rFonts w:ascii="宋体" w:hAnsi="宋体" w:eastAsia="宋体"/>
                <w:sz w:val="16"/>
              </w:rPr>
              <w:t>偏差原因：本项目期限为3年，自治区有关规定项目在研期间，剩余资金结转到下一年度使用，因此产生偏差。采取的措施：严格按照项目目标计划执行，加快论文出版以及时支付资金。</w:t>
            </w:r>
          </w:p>
        </w:tc>
      </w:tr>
      <w:tr w14:paraId="2F72C4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CD2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257D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2F1A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B68A">
            <w:pPr>
              <w:jc w:val="center"/>
            </w:pPr>
            <w:r>
              <w:rPr>
                <w:rFonts w:ascii="宋体" w:hAnsi="宋体" w:eastAsia="宋体"/>
                <w:sz w:val="16"/>
              </w:rPr>
              <w:t>持续发挥苜蓿品种试验、示范、推广等技术服务作用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DA01C">
            <w:pPr>
              <w:jc w:val="center"/>
            </w:pPr>
            <w:r>
              <w:rPr>
                <w:rFonts w:ascii="宋体" w:hAnsi="宋体" w:eastAsia="宋体"/>
                <w:sz w:val="16"/>
              </w:rPr>
              <w:t>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AB1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F1981">
            <w:pPr>
              <w:jc w:val="center"/>
            </w:pPr>
            <w:r>
              <w:rPr>
                <w:rFonts w:ascii="宋体" w:hAnsi="宋体" w:eastAsia="宋体"/>
                <w:sz w:val="16"/>
              </w:rPr>
              <w:t>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5634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F7A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A53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0B335">
            <w:pPr>
              <w:jc w:val="center"/>
            </w:pPr>
            <w:r>
              <w:rPr>
                <w:rFonts w:ascii="宋体" w:hAnsi="宋体" w:eastAsia="宋体"/>
                <w:sz w:val="16"/>
              </w:rPr>
              <w:t>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778E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627EE">
            <w:pPr>
              <w:jc w:val="center"/>
            </w:pPr>
          </w:p>
        </w:tc>
      </w:tr>
      <w:tr w14:paraId="3561EA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46A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496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7B9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65567">
            <w:pPr>
              <w:jc w:val="center"/>
            </w:pPr>
            <w:r>
              <w:rPr>
                <w:rFonts w:ascii="宋体" w:hAnsi="宋体" w:eastAsia="宋体"/>
                <w:sz w:val="16"/>
              </w:rPr>
              <w:t>项目组人员满意度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28F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5C8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C84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AAD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8E3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62C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6CE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34D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CD8EE">
            <w:pPr>
              <w:jc w:val="center"/>
            </w:pPr>
          </w:p>
        </w:tc>
      </w:tr>
      <w:tr w14:paraId="01916B9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2BF7B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830D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E6DC9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CF801">
            <w:pPr>
              <w:jc w:val="center"/>
            </w:pPr>
            <w:r>
              <w:rPr>
                <w:rFonts w:ascii="宋体" w:hAnsi="宋体" w:eastAsia="宋体"/>
                <w:sz w:val="16"/>
              </w:rPr>
              <w:t>91分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D08A3A3"/>
        </w:tc>
      </w:tr>
    </w:tbl>
    <w:p w14:paraId="0A01EE5F">
      <w:r>
        <w:br w:type="page"/>
      </w:r>
    </w:p>
    <w:p w14:paraId="6229B28A">
      <w:pPr>
        <w:spacing w:line="640" w:lineRule="exact"/>
        <w:ind w:firstLine="640"/>
        <w:jc w:val="both"/>
        <w:outlineLvl w:val="2"/>
      </w:pPr>
      <w:r>
        <w:rPr>
          <w:rFonts w:ascii="黑体" w:hAnsi="黑体" w:eastAsia="黑体"/>
          <w:sz w:val="32"/>
        </w:rPr>
        <w:t>十二、其他需说明的事项</w:t>
      </w:r>
    </w:p>
    <w:p w14:paraId="160E6B05">
      <w:pPr>
        <w:spacing w:line="580" w:lineRule="exact"/>
        <w:ind w:firstLine="640"/>
        <w:jc w:val="both"/>
      </w:pPr>
      <w:r>
        <w:rPr>
          <w:rFonts w:ascii="仿宋_GB2312" w:hAnsi="仿宋_GB2312" w:eastAsia="仿宋_GB2312"/>
          <w:b w:val="0"/>
          <w:sz w:val="32"/>
        </w:rPr>
        <w:t>本部门无其他需说明的事项。</w:t>
      </w:r>
    </w:p>
    <w:p w14:paraId="173F4365">
      <w:r>
        <w:br w:type="page"/>
      </w:r>
    </w:p>
    <w:p w14:paraId="531836CC">
      <w:pPr>
        <w:spacing w:line="240" w:lineRule="auto"/>
        <w:jc w:val="center"/>
        <w:outlineLvl w:val="1"/>
      </w:pPr>
      <w:r>
        <w:rPr>
          <w:rFonts w:ascii="黑体" w:hAnsi="黑体" w:eastAsia="黑体"/>
          <w:sz w:val="32"/>
        </w:rPr>
        <w:t>第三部分 专业名词解释</w:t>
      </w:r>
    </w:p>
    <w:p w14:paraId="74C0D8E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97CC74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587229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587896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2C3FA2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4B57C8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BF9A46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3F87FB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CFA2F1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EB0746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0212C6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E8337B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28E9B8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2A9F6E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26BFB25">
      <w:r>
        <w:br w:type="page"/>
      </w:r>
    </w:p>
    <w:p w14:paraId="2EB49F2C">
      <w:pPr>
        <w:spacing w:line="240" w:lineRule="auto"/>
        <w:jc w:val="center"/>
        <w:outlineLvl w:val="1"/>
      </w:pPr>
      <w:r>
        <w:rPr>
          <w:rFonts w:ascii="黑体" w:hAnsi="黑体" w:eastAsia="黑体"/>
          <w:sz w:val="32"/>
        </w:rPr>
        <w:t>第四部分 部门决算报表（见附表）</w:t>
      </w:r>
    </w:p>
    <w:p w14:paraId="0326F99E">
      <w:pPr>
        <w:spacing w:line="240" w:lineRule="auto"/>
        <w:ind w:firstLine="640"/>
        <w:jc w:val="both"/>
      </w:pPr>
      <w:r>
        <w:rPr>
          <w:rFonts w:ascii="仿宋_GB2312" w:hAnsi="仿宋_GB2312" w:eastAsia="仿宋_GB2312"/>
          <w:b w:val="0"/>
          <w:sz w:val="32"/>
        </w:rPr>
        <w:t>一、《收入支出决算总表》</w:t>
      </w:r>
    </w:p>
    <w:p w14:paraId="6F9D3736">
      <w:pPr>
        <w:spacing w:line="240" w:lineRule="auto"/>
        <w:ind w:firstLine="640"/>
        <w:jc w:val="both"/>
      </w:pPr>
      <w:r>
        <w:rPr>
          <w:rFonts w:ascii="仿宋_GB2312" w:hAnsi="仿宋_GB2312" w:eastAsia="仿宋_GB2312"/>
          <w:b w:val="0"/>
          <w:sz w:val="32"/>
        </w:rPr>
        <w:t>二、《收入决算表》</w:t>
      </w:r>
    </w:p>
    <w:p w14:paraId="10BCDAD8">
      <w:pPr>
        <w:spacing w:line="240" w:lineRule="auto"/>
        <w:ind w:firstLine="640"/>
        <w:jc w:val="both"/>
      </w:pPr>
      <w:r>
        <w:rPr>
          <w:rFonts w:ascii="仿宋_GB2312" w:hAnsi="仿宋_GB2312" w:eastAsia="仿宋_GB2312"/>
          <w:b w:val="0"/>
          <w:sz w:val="32"/>
        </w:rPr>
        <w:t>三、《支出决算表》</w:t>
      </w:r>
    </w:p>
    <w:p w14:paraId="55414EC1">
      <w:pPr>
        <w:spacing w:line="240" w:lineRule="auto"/>
        <w:ind w:firstLine="640"/>
        <w:jc w:val="both"/>
      </w:pPr>
      <w:r>
        <w:rPr>
          <w:rFonts w:ascii="仿宋_GB2312" w:hAnsi="仿宋_GB2312" w:eastAsia="仿宋_GB2312"/>
          <w:b w:val="0"/>
          <w:sz w:val="32"/>
        </w:rPr>
        <w:t>四、《财政拨款收入支出决算总表》</w:t>
      </w:r>
    </w:p>
    <w:p w14:paraId="57DC6E74">
      <w:pPr>
        <w:spacing w:line="240" w:lineRule="auto"/>
        <w:ind w:firstLine="640"/>
        <w:jc w:val="both"/>
      </w:pPr>
      <w:r>
        <w:rPr>
          <w:rFonts w:ascii="仿宋_GB2312" w:hAnsi="仿宋_GB2312" w:eastAsia="仿宋_GB2312"/>
          <w:b w:val="0"/>
          <w:sz w:val="32"/>
        </w:rPr>
        <w:t>五、《一般公共预算财政拨款支出决算表》</w:t>
      </w:r>
    </w:p>
    <w:p w14:paraId="12B9A8F9">
      <w:pPr>
        <w:spacing w:line="240" w:lineRule="auto"/>
        <w:ind w:firstLine="640"/>
        <w:jc w:val="both"/>
      </w:pPr>
      <w:r>
        <w:rPr>
          <w:rFonts w:ascii="仿宋_GB2312" w:hAnsi="仿宋_GB2312" w:eastAsia="仿宋_GB2312"/>
          <w:b w:val="0"/>
          <w:sz w:val="32"/>
        </w:rPr>
        <w:t>六、《一般公共预算财政拨款基本支出决算表》</w:t>
      </w:r>
    </w:p>
    <w:p w14:paraId="00D112E4">
      <w:pPr>
        <w:spacing w:line="240" w:lineRule="auto"/>
        <w:ind w:firstLine="640"/>
        <w:jc w:val="both"/>
      </w:pPr>
      <w:r>
        <w:rPr>
          <w:rFonts w:ascii="仿宋_GB2312" w:hAnsi="仿宋_GB2312" w:eastAsia="仿宋_GB2312"/>
          <w:b w:val="0"/>
          <w:sz w:val="32"/>
        </w:rPr>
        <w:t>七、《政府性基金预算财政拨款收入支出决算表》</w:t>
      </w:r>
    </w:p>
    <w:p w14:paraId="5664D83F">
      <w:pPr>
        <w:spacing w:line="240" w:lineRule="auto"/>
        <w:ind w:firstLine="640"/>
        <w:jc w:val="both"/>
      </w:pPr>
      <w:r>
        <w:rPr>
          <w:rFonts w:ascii="仿宋_GB2312" w:hAnsi="仿宋_GB2312" w:eastAsia="仿宋_GB2312"/>
          <w:b w:val="0"/>
          <w:sz w:val="32"/>
        </w:rPr>
        <w:t>八、《国有资本经营预算财政拨款收入支出决算表》</w:t>
      </w:r>
    </w:p>
    <w:p w14:paraId="158EC622">
      <w:pPr>
        <w:spacing w:line="240" w:lineRule="auto"/>
        <w:ind w:firstLine="640"/>
        <w:jc w:val="both"/>
      </w:pPr>
      <w:r>
        <w:rPr>
          <w:rFonts w:ascii="仿宋_GB2312" w:hAnsi="仿宋_GB2312" w:eastAsia="仿宋_GB2312"/>
          <w:b w:val="0"/>
          <w:sz w:val="32"/>
        </w:rPr>
        <w:t>九、《财政拨款“三公”经费支出决算表》</w:t>
      </w:r>
    </w:p>
    <w:p w14:paraId="0AF94683">
      <w:pPr>
        <w:spacing w:line="240" w:lineRule="auto"/>
        <w:ind w:firstLine="640"/>
        <w:jc w:val="both"/>
      </w:pPr>
    </w:p>
    <w:p w14:paraId="1CA79B62">
      <w:pPr>
        <w:spacing w:line="240" w:lineRule="auto"/>
        <w:ind w:firstLine="640"/>
        <w:jc w:val="both"/>
      </w:pPr>
    </w:p>
    <w:p w14:paraId="14AC9DBD">
      <w:pPr>
        <w:spacing w:line="240" w:lineRule="auto"/>
        <w:ind w:firstLine="640"/>
        <w:jc w:val="both"/>
      </w:pPr>
    </w:p>
    <w:p w14:paraId="6C639B88">
      <w:pPr>
        <w:spacing w:line="240" w:lineRule="auto"/>
        <w:ind w:firstLine="640"/>
        <w:jc w:val="both"/>
      </w:pPr>
    </w:p>
    <w:p w14:paraId="42AE489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DE38FA"/>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872E16"/>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5247</Words>
  <Characters>5975</Characters>
  <Lines>0</Lines>
  <Paragraphs>0</Paragraphs>
  <TotalTime>6</TotalTime>
  <ScaleCrop>false</ScaleCrop>
  <LinksUpToDate>false</LinksUpToDate>
  <CharactersWithSpaces>5983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