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新疆喀什国家粮食质量监测站2024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4DB447D">
      <w:r>
        <w:br w:type="page"/>
      </w:r>
    </w:p>
    <w:p w14:paraId="5645602C">
      <w:pPr>
        <w:spacing w:line="640" w:lineRule="exact"/>
        <w:jc w:val="center"/>
        <w:outlineLvl w:val="1"/>
      </w:pPr>
      <w:r>
        <w:rPr>
          <w:rFonts w:ascii="黑体" w:hAnsi="黑体" w:eastAsia="黑体"/>
          <w:sz w:val="32"/>
        </w:rPr>
        <w:t>第一部分 部门概况</w:t>
      </w:r>
    </w:p>
    <w:p w14:paraId="5839A086">
      <w:pPr>
        <w:spacing w:line="640" w:lineRule="exact"/>
        <w:ind w:firstLine="640"/>
        <w:jc w:val="both"/>
        <w:outlineLvl w:val="2"/>
      </w:pPr>
      <w:r>
        <w:rPr>
          <w:rFonts w:ascii="黑体" w:hAnsi="黑体" w:eastAsia="黑体"/>
          <w:sz w:val="32"/>
        </w:rPr>
        <w:t>一、主要职能</w:t>
      </w:r>
    </w:p>
    <w:p w14:paraId="44797E52">
      <w:pPr>
        <w:spacing w:line="580" w:lineRule="exact"/>
        <w:ind w:firstLine="640"/>
        <w:jc w:val="both"/>
      </w:pPr>
      <w:r>
        <w:rPr>
          <w:rFonts w:ascii="仿宋_GB2312" w:hAnsi="仿宋_GB2312" w:eastAsia="仿宋_GB2312"/>
          <w:sz w:val="32"/>
        </w:rPr>
        <w:t>对区域范围内粮油生产、收购、储存、加工、运输和销售环节原粮、成品、半成品等产品的相关质量、品质、卫生指标进行检验检测，为辖区内的粮食生产和经营者服务。</w:t>
      </w:r>
    </w:p>
    <w:p w14:paraId="51D7517E">
      <w:pPr>
        <w:spacing w:line="640" w:lineRule="exact"/>
        <w:ind w:firstLine="640"/>
        <w:jc w:val="both"/>
        <w:outlineLvl w:val="2"/>
      </w:pPr>
      <w:r>
        <w:rPr>
          <w:rFonts w:ascii="黑体" w:hAnsi="黑体" w:eastAsia="黑体"/>
          <w:sz w:val="32"/>
        </w:rPr>
        <w:t>二、机构设置及人员情况</w:t>
      </w:r>
    </w:p>
    <w:p w14:paraId="319B20E8">
      <w:pPr>
        <w:spacing w:line="580" w:lineRule="exact"/>
        <w:ind w:firstLine="640"/>
        <w:jc w:val="both"/>
      </w:pPr>
      <w:r>
        <w:rPr>
          <w:rFonts w:ascii="仿宋_GB2312" w:hAnsi="仿宋_GB2312" w:eastAsia="仿宋_GB2312"/>
          <w:sz w:val="32"/>
        </w:rPr>
        <w:t>新疆喀什国家粮食质量监测站2024年度，实有人数8人，其中：在职人员8人，增加0人；离休人员0人，增加0人；退休人员0人,增加0人。</w:t>
      </w:r>
    </w:p>
    <w:p w14:paraId="65C54CC9">
      <w:pPr>
        <w:spacing w:line="580" w:lineRule="exact"/>
        <w:ind w:firstLine="640"/>
        <w:jc w:val="both"/>
      </w:pPr>
      <w:r>
        <w:rPr>
          <w:rFonts w:ascii="仿宋_GB2312" w:hAnsi="仿宋_GB2312" w:eastAsia="仿宋_GB2312"/>
          <w:sz w:val="32"/>
        </w:rPr>
        <w:t>新疆喀什国家粮食质量监测站无下属预算单位，下设1个科室，分别是：粮食质量监测站。</w:t>
      </w:r>
    </w:p>
    <w:p w14:paraId="187C7574">
      <w:r>
        <w:br w:type="page"/>
      </w:r>
    </w:p>
    <w:p w14:paraId="47849069">
      <w:pPr>
        <w:spacing w:line="240" w:lineRule="auto"/>
        <w:jc w:val="center"/>
        <w:outlineLvl w:val="1"/>
      </w:pPr>
      <w:r>
        <w:rPr>
          <w:rFonts w:ascii="黑体" w:hAnsi="黑体" w:eastAsia="黑体"/>
          <w:sz w:val="32"/>
        </w:rPr>
        <w:t>第二部分 部门决算情况说明</w:t>
      </w:r>
    </w:p>
    <w:p w14:paraId="3984F226">
      <w:pPr>
        <w:spacing w:line="640" w:lineRule="exact"/>
        <w:ind w:firstLine="640"/>
        <w:jc w:val="both"/>
        <w:outlineLvl w:val="2"/>
      </w:pPr>
      <w:r>
        <w:rPr>
          <w:rFonts w:ascii="黑体" w:hAnsi="黑体" w:eastAsia="黑体"/>
          <w:sz w:val="32"/>
        </w:rPr>
        <w:t>一、收入支出决算总体情况说明</w:t>
      </w:r>
    </w:p>
    <w:p w14:paraId="5AE6761E">
      <w:pPr>
        <w:spacing w:line="580" w:lineRule="exact"/>
        <w:ind w:firstLine="640"/>
        <w:jc w:val="both"/>
      </w:pPr>
      <w:r>
        <w:rPr>
          <w:rFonts w:ascii="仿宋_GB2312" w:hAnsi="仿宋_GB2312" w:eastAsia="仿宋_GB2312"/>
          <w:b/>
          <w:sz w:val="32"/>
        </w:rPr>
        <w:t>2024年度收入总计186.64万元，</w:t>
      </w:r>
      <w:r>
        <w:rPr>
          <w:rFonts w:ascii="仿宋_GB2312" w:hAnsi="仿宋_GB2312" w:eastAsia="仿宋_GB2312"/>
          <w:b w:val="0"/>
          <w:sz w:val="32"/>
        </w:rPr>
        <w:t>其中：本年收入合计186.64万元，使用非财政拨款结余（含专用结余）0.00万元，年初结转和结余0.00万元。</w:t>
      </w:r>
    </w:p>
    <w:p w14:paraId="580387F2">
      <w:pPr>
        <w:spacing w:line="580" w:lineRule="exact"/>
        <w:ind w:firstLine="640"/>
        <w:jc w:val="both"/>
      </w:pPr>
      <w:r>
        <w:rPr>
          <w:rFonts w:ascii="仿宋_GB2312" w:hAnsi="仿宋_GB2312" w:eastAsia="仿宋_GB2312"/>
          <w:b/>
          <w:sz w:val="32"/>
        </w:rPr>
        <w:t>2024年度支出总计186.64万元，</w:t>
      </w:r>
      <w:r>
        <w:rPr>
          <w:rFonts w:ascii="仿宋_GB2312" w:hAnsi="仿宋_GB2312" w:eastAsia="仿宋_GB2312"/>
          <w:b w:val="0"/>
          <w:sz w:val="32"/>
        </w:rPr>
        <w:t>其中：本年支出合计186.64万元，结余分配0.00万元，年末结转和结余0.00万元。</w:t>
      </w:r>
    </w:p>
    <w:p w14:paraId="698AF1B3">
      <w:pPr>
        <w:spacing w:line="580" w:lineRule="exact"/>
        <w:ind w:firstLine="640"/>
        <w:jc w:val="both"/>
      </w:pPr>
      <w:r>
        <w:rPr>
          <w:rFonts w:ascii="仿宋_GB2312" w:hAnsi="仿宋_GB2312" w:eastAsia="仿宋_GB2312"/>
          <w:b w:val="0"/>
          <w:sz w:val="32"/>
        </w:rPr>
        <w:t>收入支出总体与上年相比，增加42.21万元，增长29.23%，主要原因是：本年度新增购买仪器和仪器鉴定以及仪器维护费项目。</w:t>
      </w:r>
    </w:p>
    <w:p w14:paraId="58622033">
      <w:pPr>
        <w:spacing w:line="640" w:lineRule="exact"/>
        <w:ind w:firstLine="640"/>
        <w:jc w:val="both"/>
        <w:outlineLvl w:val="2"/>
      </w:pPr>
      <w:r>
        <w:rPr>
          <w:rFonts w:ascii="黑体" w:hAnsi="黑体" w:eastAsia="黑体"/>
          <w:sz w:val="32"/>
        </w:rPr>
        <w:t>二、收入决算情况说明</w:t>
      </w:r>
    </w:p>
    <w:p w14:paraId="21B53074">
      <w:pPr>
        <w:spacing w:line="580" w:lineRule="exact"/>
        <w:ind w:firstLine="640"/>
        <w:jc w:val="both"/>
      </w:pPr>
      <w:r>
        <w:rPr>
          <w:rFonts w:ascii="仿宋_GB2312" w:hAnsi="仿宋_GB2312" w:eastAsia="仿宋_GB2312"/>
          <w:b/>
          <w:sz w:val="32"/>
        </w:rPr>
        <w:t>本年收入186.64万元，</w:t>
      </w:r>
      <w:r>
        <w:rPr>
          <w:rFonts w:ascii="仿宋_GB2312" w:hAnsi="仿宋_GB2312" w:eastAsia="仿宋_GB2312"/>
          <w:b w:val="0"/>
          <w:sz w:val="32"/>
        </w:rPr>
        <w:t>其中：财政拨款收入186.64万元，占100.00%；上级补助收入0.00万元，占0.00%；事业收入0.00万元，占0.00%；经营收入0.00万元，占0.00%；附属单位上缴收入0.00万元，占0.00%；其他收入0.00万元，占0.00%。</w:t>
      </w:r>
    </w:p>
    <w:p w14:paraId="35172559">
      <w:pPr>
        <w:spacing w:line="640" w:lineRule="exact"/>
        <w:ind w:firstLine="640"/>
        <w:jc w:val="both"/>
        <w:outlineLvl w:val="2"/>
      </w:pPr>
      <w:r>
        <w:rPr>
          <w:rFonts w:ascii="黑体" w:hAnsi="黑体" w:eastAsia="黑体"/>
          <w:sz w:val="32"/>
        </w:rPr>
        <w:t>三、支出决算情况说明</w:t>
      </w:r>
    </w:p>
    <w:p w14:paraId="5507DF73">
      <w:pPr>
        <w:spacing w:line="580" w:lineRule="exact"/>
        <w:ind w:firstLine="640"/>
        <w:jc w:val="both"/>
      </w:pPr>
      <w:r>
        <w:rPr>
          <w:rFonts w:ascii="仿宋_GB2312" w:hAnsi="仿宋_GB2312" w:eastAsia="仿宋_GB2312"/>
          <w:b/>
          <w:sz w:val="32"/>
        </w:rPr>
        <w:t>本年支出186.64万元，</w:t>
      </w:r>
      <w:r>
        <w:rPr>
          <w:rFonts w:ascii="仿宋_GB2312" w:hAnsi="仿宋_GB2312" w:eastAsia="仿宋_GB2312"/>
          <w:b w:val="0"/>
          <w:sz w:val="32"/>
        </w:rPr>
        <w:t>其中：基本支出137.10万元，占73.46%；项目支出49.54万元，占26.54%；上缴上级支出0.00万元，占0.00%；经营支出0.00万元，占0.00%；对附属单位补助支出0.00万元，占0.00%。</w:t>
      </w:r>
    </w:p>
    <w:p w14:paraId="641B1CF8">
      <w:pPr>
        <w:spacing w:line="640" w:lineRule="exact"/>
        <w:ind w:firstLine="640"/>
        <w:jc w:val="both"/>
        <w:outlineLvl w:val="2"/>
      </w:pPr>
      <w:r>
        <w:rPr>
          <w:rFonts w:ascii="黑体" w:hAnsi="黑体" w:eastAsia="黑体"/>
          <w:sz w:val="32"/>
        </w:rPr>
        <w:t>四、财政拨款收入支出决算总体情况说明</w:t>
      </w:r>
    </w:p>
    <w:p w14:paraId="24E8554E">
      <w:pPr>
        <w:spacing w:line="580" w:lineRule="exact"/>
        <w:ind w:firstLine="640"/>
        <w:jc w:val="both"/>
      </w:pPr>
      <w:r>
        <w:rPr>
          <w:rFonts w:ascii="仿宋_GB2312" w:hAnsi="仿宋_GB2312" w:eastAsia="仿宋_GB2312"/>
          <w:b/>
          <w:sz w:val="32"/>
        </w:rPr>
        <w:t>2024年度财政拨款收入总计186.64万元，</w:t>
      </w:r>
      <w:r>
        <w:rPr>
          <w:rFonts w:ascii="仿宋_GB2312" w:hAnsi="仿宋_GB2312" w:eastAsia="仿宋_GB2312"/>
          <w:b w:val="0"/>
          <w:sz w:val="32"/>
        </w:rPr>
        <w:t>其中：年初财政拨款结转和结余0.00万元，本年财政拨款收入186.64万元。</w:t>
      </w:r>
      <w:r>
        <w:rPr>
          <w:rFonts w:ascii="仿宋_GB2312" w:hAnsi="仿宋_GB2312" w:eastAsia="仿宋_GB2312"/>
          <w:b/>
          <w:sz w:val="32"/>
        </w:rPr>
        <w:t>财政拨款支出总计186.64万元，</w:t>
      </w:r>
      <w:r>
        <w:rPr>
          <w:rFonts w:ascii="仿宋_GB2312" w:hAnsi="仿宋_GB2312" w:eastAsia="仿宋_GB2312"/>
          <w:b w:val="0"/>
          <w:sz w:val="32"/>
        </w:rPr>
        <w:t>其中：年末财政拨款结转和结余0.00万元，本年财政拨款支出186.64万元。</w:t>
      </w:r>
    </w:p>
    <w:p w14:paraId="5B6DF71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增加42.21万元，增长29.23%，主要原因是：本年度新增购买仪器和仪器鉴定以及仪器维护费项目。</w:t>
      </w:r>
      <w:r>
        <w:rPr>
          <w:rFonts w:ascii="仿宋_GB2312" w:hAnsi="仿宋_GB2312" w:eastAsia="仿宋_GB2312"/>
          <w:b/>
          <w:sz w:val="32"/>
        </w:rPr>
        <w:t>与年初预算相比，</w:t>
      </w:r>
      <w:r>
        <w:rPr>
          <w:rFonts w:ascii="仿宋_GB2312" w:hAnsi="仿宋_GB2312" w:eastAsia="仿宋_GB2312"/>
          <w:b w:val="0"/>
          <w:sz w:val="32"/>
        </w:rPr>
        <w:t>年初预算数201.59万元，决算数186.64万元，预决算差异率-7.42%，主要原因是：仪器和仪器鉴定以及仪器维护费项目未执行完，年中调减经费。</w:t>
      </w:r>
    </w:p>
    <w:p w14:paraId="5137E649">
      <w:pPr>
        <w:spacing w:line="640" w:lineRule="exact"/>
        <w:ind w:firstLine="640"/>
        <w:jc w:val="both"/>
        <w:outlineLvl w:val="2"/>
      </w:pPr>
      <w:r>
        <w:rPr>
          <w:rFonts w:ascii="黑体" w:hAnsi="黑体" w:eastAsia="黑体"/>
          <w:sz w:val="32"/>
        </w:rPr>
        <w:t>五、一般公共预算财政拨款支出决算情况说明</w:t>
      </w:r>
    </w:p>
    <w:p w14:paraId="607CE603">
      <w:pPr>
        <w:spacing w:line="640" w:lineRule="exact"/>
        <w:ind w:firstLine="640"/>
        <w:jc w:val="both"/>
        <w:outlineLvl w:val="3"/>
      </w:pPr>
      <w:r>
        <w:rPr>
          <w:rFonts w:ascii="楷体_GB2312" w:hAnsi="楷体_GB2312" w:eastAsia="楷体_GB2312"/>
          <w:b/>
          <w:sz w:val="32"/>
        </w:rPr>
        <w:t>（一）一般公共预算财政拨款支出决算总体情况</w:t>
      </w:r>
    </w:p>
    <w:p w14:paraId="6C9425A3">
      <w:pPr>
        <w:spacing w:line="580" w:lineRule="exact"/>
        <w:ind w:firstLine="640"/>
        <w:jc w:val="both"/>
      </w:pPr>
      <w:r>
        <w:rPr>
          <w:rFonts w:ascii="仿宋_GB2312" w:hAnsi="仿宋_GB2312" w:eastAsia="仿宋_GB2312"/>
          <w:b/>
          <w:sz w:val="32"/>
        </w:rPr>
        <w:t>2024年度一般公共预算财政拨款支出186.64万元，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增加42.21万元，增长29.23%，主要原因是：本年度新增购买仪器和仪器</w:t>
      </w:r>
      <w:r>
        <w:rPr>
          <w:rFonts w:hint="eastAsia" w:ascii="仿宋_GB2312" w:hAnsi="仿宋_GB2312" w:eastAsia="仿宋_GB2312"/>
          <w:b w:val="0"/>
          <w:sz w:val="32"/>
          <w:lang w:eastAsia="zh-CN"/>
        </w:rPr>
        <w:t>检定</w:t>
      </w:r>
      <w:r>
        <w:rPr>
          <w:rFonts w:ascii="仿宋_GB2312" w:hAnsi="仿宋_GB2312" w:eastAsia="仿宋_GB2312"/>
          <w:b w:val="0"/>
          <w:sz w:val="32"/>
        </w:rPr>
        <w:t>以及仪器维护费项目。</w:t>
      </w:r>
      <w:r>
        <w:rPr>
          <w:rFonts w:ascii="仿宋_GB2312" w:hAnsi="仿宋_GB2312" w:eastAsia="仿宋_GB2312"/>
          <w:b/>
          <w:sz w:val="32"/>
        </w:rPr>
        <w:t>与年初预算相比,</w:t>
      </w:r>
      <w:r>
        <w:rPr>
          <w:rFonts w:ascii="仿宋_GB2312" w:hAnsi="仿宋_GB2312" w:eastAsia="仿宋_GB2312"/>
          <w:b w:val="0"/>
          <w:sz w:val="32"/>
        </w:rPr>
        <w:t>年初预算数201.59万元，决算数186.64万元，预决算差异率-7.42%，主要原因是：仪器和仪器鉴定以及仪器维护费项目未执行完，年中调减经费。</w:t>
      </w:r>
    </w:p>
    <w:p w14:paraId="22E2CA5D">
      <w:pPr>
        <w:spacing w:line="640" w:lineRule="exact"/>
        <w:ind w:firstLine="640"/>
        <w:jc w:val="both"/>
        <w:outlineLvl w:val="3"/>
      </w:pPr>
      <w:r>
        <w:rPr>
          <w:rFonts w:ascii="楷体_GB2312" w:hAnsi="楷体_GB2312" w:eastAsia="楷体_GB2312"/>
          <w:b/>
          <w:sz w:val="32"/>
        </w:rPr>
        <w:t>（二）一般公共预算财政拨款支出决算结构情况</w:t>
      </w:r>
    </w:p>
    <w:p w14:paraId="6D5EB60E">
      <w:pPr>
        <w:spacing w:line="580" w:lineRule="exact"/>
        <w:ind w:firstLine="640"/>
        <w:jc w:val="both"/>
      </w:pPr>
      <w:r>
        <w:rPr>
          <w:rFonts w:ascii="仿宋_GB2312" w:hAnsi="仿宋_GB2312" w:eastAsia="仿宋_GB2312"/>
          <w:b w:val="0"/>
          <w:sz w:val="32"/>
        </w:rPr>
        <w:t>1.社会保障和就业支出(类)13.34万元,占7.15%。</w:t>
      </w:r>
    </w:p>
    <w:p w14:paraId="79671210">
      <w:pPr>
        <w:spacing w:line="580" w:lineRule="exact"/>
        <w:ind w:firstLine="640"/>
        <w:jc w:val="both"/>
      </w:pPr>
      <w:r>
        <w:rPr>
          <w:rFonts w:ascii="仿宋_GB2312" w:hAnsi="仿宋_GB2312" w:eastAsia="仿宋_GB2312"/>
          <w:b w:val="0"/>
          <w:sz w:val="32"/>
        </w:rPr>
        <w:t>2.卫生健康支出(类)5.67万元,占3.04%。</w:t>
      </w:r>
    </w:p>
    <w:p w14:paraId="7CEBF238">
      <w:pPr>
        <w:spacing w:line="580" w:lineRule="exact"/>
        <w:ind w:firstLine="640"/>
        <w:jc w:val="both"/>
      </w:pPr>
      <w:r>
        <w:rPr>
          <w:rFonts w:ascii="仿宋_GB2312" w:hAnsi="仿宋_GB2312" w:eastAsia="仿宋_GB2312"/>
          <w:b w:val="0"/>
          <w:sz w:val="32"/>
        </w:rPr>
        <w:t>3.住房保障支出(类)11.59万元,占6.21%。</w:t>
      </w:r>
    </w:p>
    <w:p w14:paraId="3D211660">
      <w:pPr>
        <w:spacing w:line="580" w:lineRule="exact"/>
        <w:ind w:firstLine="640"/>
        <w:jc w:val="both"/>
      </w:pPr>
      <w:r>
        <w:rPr>
          <w:rFonts w:ascii="仿宋_GB2312" w:hAnsi="仿宋_GB2312" w:eastAsia="仿宋_GB2312"/>
          <w:b w:val="0"/>
          <w:sz w:val="32"/>
        </w:rPr>
        <w:t>4.粮油物资储备支出(类)156.03万元,占83.60%。</w:t>
      </w:r>
    </w:p>
    <w:p w14:paraId="3715B9B6">
      <w:pPr>
        <w:spacing w:line="640" w:lineRule="exact"/>
        <w:ind w:firstLine="640"/>
        <w:jc w:val="both"/>
        <w:outlineLvl w:val="3"/>
      </w:pPr>
      <w:r>
        <w:rPr>
          <w:rFonts w:ascii="楷体_GB2312" w:hAnsi="楷体_GB2312" w:eastAsia="楷体_GB2312"/>
          <w:b/>
          <w:sz w:val="32"/>
        </w:rPr>
        <w:t>（三）一般公共预算财政拨款支出决算具体情况</w:t>
      </w:r>
    </w:p>
    <w:p w14:paraId="729603D9">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13.34万元，比上年决算增加0.87万元，增长6.98%,主要原因是：本年在职人员工资基数调增，养老缴费基数上涨，相应支出增加。</w:t>
      </w:r>
    </w:p>
    <w:p w14:paraId="081341FF">
      <w:pPr>
        <w:spacing w:line="580" w:lineRule="exact"/>
        <w:ind w:firstLine="640"/>
        <w:jc w:val="both"/>
      </w:pPr>
      <w:r>
        <w:rPr>
          <w:rFonts w:ascii="仿宋_GB2312" w:hAnsi="仿宋_GB2312" w:eastAsia="仿宋_GB2312"/>
          <w:b w:val="0"/>
          <w:sz w:val="32"/>
        </w:rPr>
        <w:t>2.卫生健康支出(类)行政事业单位医疗(款)事业单位医疗(项):支出决算数为5.67万元，比上年决算增加0.37万元，增长6.98%,主要原因是：本年在职人员工资基数调增，医疗缴费基数上涨，相应支出增加。</w:t>
      </w:r>
    </w:p>
    <w:p w14:paraId="1BE4DA82">
      <w:pPr>
        <w:spacing w:line="580" w:lineRule="exact"/>
        <w:ind w:firstLine="640"/>
        <w:jc w:val="both"/>
      </w:pPr>
      <w:r>
        <w:rPr>
          <w:rFonts w:ascii="仿宋_GB2312" w:hAnsi="仿宋_GB2312" w:eastAsia="仿宋_GB2312"/>
          <w:b w:val="0"/>
          <w:sz w:val="32"/>
        </w:rPr>
        <w:t>3.住房保障支出(类)住房改革支出(款)住房公积金(项):支出决算数为11.59万元，比上年决算增加1.06万元，增长10.07%,主要原因是：本年在职人员工资基数调增，公积金缴费基数上涨，相应支出增加。</w:t>
      </w:r>
    </w:p>
    <w:p w14:paraId="5016ACA4">
      <w:pPr>
        <w:spacing w:line="580" w:lineRule="exact"/>
        <w:ind w:firstLine="640"/>
        <w:jc w:val="both"/>
      </w:pPr>
      <w:r>
        <w:rPr>
          <w:rFonts w:ascii="仿宋_GB2312" w:hAnsi="仿宋_GB2312" w:eastAsia="仿宋_GB2312"/>
          <w:b w:val="0"/>
          <w:sz w:val="32"/>
        </w:rPr>
        <w:t>4.粮油物资储备支出(类)粮油物资事务(款)事业运行(项):支出决算数为106.49万元，比上年决算减少0.64万元，下降0.60%,主要原因是：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减少为民办实事工作经费。</w:t>
      </w:r>
    </w:p>
    <w:p w14:paraId="1A9972B8">
      <w:pPr>
        <w:spacing w:line="580" w:lineRule="exact"/>
        <w:ind w:firstLine="640"/>
        <w:jc w:val="both"/>
      </w:pPr>
      <w:r>
        <w:rPr>
          <w:rFonts w:ascii="仿宋_GB2312" w:hAnsi="仿宋_GB2312" w:eastAsia="仿宋_GB2312"/>
          <w:b w:val="0"/>
          <w:sz w:val="32"/>
        </w:rPr>
        <w:t>5.粮油物资储备支出(类)粮油物资事务(款)其他粮油物资事务支出(项):支出决算数为49.54万元，比上年决算增加40.54万元，增长450.44%,主要原因是：本年度新增购买仪器和仪器鉴定以及仪器维护费项目。</w:t>
      </w:r>
    </w:p>
    <w:p w14:paraId="49C9AFB7">
      <w:pPr>
        <w:spacing w:line="640" w:lineRule="exact"/>
        <w:ind w:firstLine="640"/>
        <w:jc w:val="both"/>
        <w:outlineLvl w:val="2"/>
      </w:pPr>
      <w:r>
        <w:rPr>
          <w:rFonts w:ascii="黑体" w:hAnsi="黑体" w:eastAsia="黑体"/>
          <w:sz w:val="32"/>
        </w:rPr>
        <w:t>六、一般公共预算财政拨款基本支出决算情况说明</w:t>
      </w:r>
    </w:p>
    <w:p w14:paraId="7BCBED16">
      <w:pPr>
        <w:spacing w:line="580" w:lineRule="exact"/>
        <w:ind w:firstLine="640"/>
        <w:jc w:val="both"/>
      </w:pPr>
      <w:r>
        <w:rPr>
          <w:rFonts w:ascii="仿宋_GB2312" w:hAnsi="仿宋_GB2312" w:eastAsia="仿宋_GB2312"/>
          <w:b w:val="0"/>
          <w:sz w:val="32"/>
        </w:rPr>
        <w:t>2024年度一般公共预算财政拨款基本支出137.10万元，其中：</w:t>
      </w:r>
      <w:r>
        <w:rPr>
          <w:rFonts w:ascii="仿宋_GB2312" w:hAnsi="仿宋_GB2312" w:eastAsia="仿宋_GB2312"/>
          <w:b/>
          <w:sz w:val="32"/>
        </w:rPr>
        <w:t>人员经费128.97万元，</w:t>
      </w:r>
      <w:r>
        <w:rPr>
          <w:rFonts w:ascii="仿宋_GB2312" w:hAnsi="仿宋_GB2312" w:eastAsia="仿宋_GB2312"/>
          <w:b w:val="0"/>
          <w:sz w:val="32"/>
        </w:rPr>
        <w:t>包括：基本工资、津贴补贴、奖金、绩效工资、机关事业单位基本养老保险缴费、职工基本医疗保险缴费、其他社会保障缴费、住房公积金、奖励金。</w:t>
      </w:r>
    </w:p>
    <w:p w14:paraId="0DACBB80">
      <w:pPr>
        <w:spacing w:line="580" w:lineRule="exact"/>
        <w:ind w:firstLine="640"/>
        <w:jc w:val="both"/>
      </w:pPr>
      <w:r>
        <w:rPr>
          <w:rFonts w:ascii="仿宋_GB2312" w:hAnsi="仿宋_GB2312" w:eastAsia="仿宋_GB2312"/>
          <w:b/>
          <w:sz w:val="32"/>
        </w:rPr>
        <w:t>公用经费8.13万元，</w:t>
      </w:r>
      <w:r>
        <w:rPr>
          <w:rFonts w:ascii="仿宋_GB2312" w:hAnsi="仿宋_GB2312" w:eastAsia="仿宋_GB2312"/>
          <w:b w:val="0"/>
          <w:sz w:val="32"/>
        </w:rPr>
        <w:t>包括：办公费、邮电费、差旅费、专用材料费、工会经费、其他商品和服务支出。</w:t>
      </w:r>
    </w:p>
    <w:p w14:paraId="35C650F5">
      <w:pPr>
        <w:spacing w:line="640" w:lineRule="exact"/>
        <w:ind w:firstLine="640"/>
        <w:jc w:val="both"/>
        <w:outlineLvl w:val="2"/>
      </w:pPr>
      <w:r>
        <w:rPr>
          <w:rFonts w:ascii="黑体" w:hAnsi="黑体" w:eastAsia="黑体"/>
          <w:sz w:val="32"/>
        </w:rPr>
        <w:t>七、政府性基金预算财政拨款收入支出决算情况说明</w:t>
      </w:r>
    </w:p>
    <w:p w14:paraId="3B0459A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7DE9E7E">
      <w:pPr>
        <w:spacing w:line="640" w:lineRule="exact"/>
        <w:ind w:firstLine="640"/>
        <w:jc w:val="both"/>
        <w:outlineLvl w:val="2"/>
      </w:pPr>
      <w:r>
        <w:rPr>
          <w:rFonts w:ascii="黑体" w:hAnsi="黑体" w:eastAsia="黑体"/>
          <w:sz w:val="32"/>
        </w:rPr>
        <w:t>八、国有资本经营预算财政拨款收入支出决算情况说明</w:t>
      </w:r>
    </w:p>
    <w:p w14:paraId="49EE13A0">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CD75DFD">
      <w:pPr>
        <w:spacing w:line="640" w:lineRule="exact"/>
        <w:ind w:firstLine="640"/>
        <w:jc w:val="both"/>
        <w:outlineLvl w:val="2"/>
      </w:pPr>
      <w:r>
        <w:rPr>
          <w:rFonts w:ascii="黑体" w:hAnsi="黑体" w:eastAsia="黑体"/>
          <w:sz w:val="32"/>
        </w:rPr>
        <w:t>九、财政拨款“三公”经费支出决算情况说明</w:t>
      </w:r>
    </w:p>
    <w:p w14:paraId="5BFAEE1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9F383E6">
      <w:pPr>
        <w:spacing w:line="580" w:lineRule="exact"/>
        <w:ind w:firstLine="640"/>
        <w:jc w:val="both"/>
      </w:pPr>
      <w:r>
        <w:rPr>
          <w:rFonts w:ascii="仿宋_GB2312" w:hAnsi="仿宋_GB2312" w:eastAsia="仿宋_GB2312"/>
          <w:b/>
          <w:sz w:val="32"/>
        </w:rPr>
        <w:t>具体情况如下：</w:t>
      </w:r>
    </w:p>
    <w:p w14:paraId="42427FE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4C895D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29736253">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8FB79F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119B4413">
      <w:pPr>
        <w:spacing w:line="640" w:lineRule="exact"/>
        <w:ind w:firstLine="640"/>
        <w:jc w:val="both"/>
        <w:outlineLvl w:val="2"/>
      </w:pPr>
      <w:r>
        <w:rPr>
          <w:rFonts w:ascii="黑体" w:hAnsi="黑体" w:eastAsia="黑体"/>
          <w:sz w:val="32"/>
        </w:rPr>
        <w:t>十、其他重要事项的情况说明</w:t>
      </w:r>
    </w:p>
    <w:p w14:paraId="0AE0DBEA">
      <w:pPr>
        <w:spacing w:line="640" w:lineRule="exact"/>
        <w:ind w:firstLine="640"/>
        <w:jc w:val="both"/>
        <w:outlineLvl w:val="3"/>
      </w:pPr>
      <w:r>
        <w:rPr>
          <w:rFonts w:ascii="楷体_GB2312" w:hAnsi="楷体_GB2312" w:eastAsia="楷体_GB2312"/>
          <w:b/>
          <w:sz w:val="32"/>
        </w:rPr>
        <w:t>（一）机关运行经费及公用经费支出情况</w:t>
      </w:r>
    </w:p>
    <w:p w14:paraId="4BB8D3BD">
      <w:pPr>
        <w:spacing w:line="580" w:lineRule="exact"/>
        <w:ind w:firstLine="640"/>
        <w:jc w:val="both"/>
      </w:pPr>
      <w:r>
        <w:rPr>
          <w:rFonts w:ascii="仿宋_GB2312" w:hAnsi="仿宋_GB2312" w:eastAsia="仿宋_GB2312"/>
          <w:b w:val="0"/>
          <w:sz w:val="32"/>
        </w:rPr>
        <w:t>2024年度新疆喀什国家粮食质量监测站（事业单位）公用经费支出8.13万元，比上年增加1.38万元，增长20.44%，主要原因是：本年度联谊活动费、工会费等公用经费支出，导致经费支出较上年增加。</w:t>
      </w:r>
    </w:p>
    <w:p w14:paraId="5A4F8092">
      <w:pPr>
        <w:spacing w:line="640" w:lineRule="exact"/>
        <w:ind w:firstLine="640"/>
        <w:jc w:val="both"/>
        <w:outlineLvl w:val="3"/>
      </w:pPr>
      <w:r>
        <w:rPr>
          <w:rFonts w:ascii="楷体_GB2312" w:hAnsi="楷体_GB2312" w:eastAsia="楷体_GB2312"/>
          <w:b/>
          <w:sz w:val="32"/>
        </w:rPr>
        <w:t>（二）政府采购情况</w:t>
      </w:r>
    </w:p>
    <w:p w14:paraId="53256BBA">
      <w:pPr>
        <w:spacing w:line="580" w:lineRule="exact"/>
        <w:ind w:firstLine="640"/>
        <w:jc w:val="both"/>
      </w:pPr>
      <w:r>
        <w:rPr>
          <w:rFonts w:ascii="仿宋_GB2312" w:hAnsi="仿宋_GB2312" w:eastAsia="仿宋_GB2312"/>
          <w:b w:val="0"/>
          <w:sz w:val="32"/>
        </w:rPr>
        <w:t>2024年度政府采购支出总额51.86万元，其中：政府采购货物支出50.83万元、政府采购工程支出0.00万元、政府采购服务支出1.04万元。</w:t>
      </w:r>
    </w:p>
    <w:p w14:paraId="189AFCDC">
      <w:pPr>
        <w:spacing w:line="580" w:lineRule="exact"/>
        <w:ind w:firstLine="640"/>
        <w:jc w:val="both"/>
      </w:pPr>
      <w:r>
        <w:rPr>
          <w:rFonts w:ascii="仿宋_GB2312" w:hAnsi="仿宋_GB2312" w:eastAsia="仿宋_GB2312"/>
          <w:b w:val="0"/>
          <w:sz w:val="32"/>
        </w:rPr>
        <w:t>授予中小企业合同金额51.86万元，占政府采购支出总额的100.00%，其中：授予小微企业合同金额50.55万元，占政府采购支出总额的97.47%。</w:t>
      </w:r>
    </w:p>
    <w:p w14:paraId="0C560683">
      <w:pPr>
        <w:spacing w:line="640" w:lineRule="exact"/>
        <w:ind w:firstLine="640"/>
        <w:jc w:val="both"/>
        <w:outlineLvl w:val="3"/>
      </w:pPr>
      <w:r>
        <w:rPr>
          <w:rFonts w:ascii="楷体_GB2312" w:hAnsi="楷体_GB2312" w:eastAsia="楷体_GB2312"/>
          <w:b/>
          <w:sz w:val="32"/>
        </w:rPr>
        <w:t>（三）国有资产占用情况说明</w:t>
      </w:r>
    </w:p>
    <w:p w14:paraId="650B8BF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0E788BBA">
      <w:pPr>
        <w:spacing w:line="640" w:lineRule="exact"/>
        <w:ind w:firstLine="640"/>
        <w:jc w:val="both"/>
        <w:outlineLvl w:val="2"/>
      </w:pPr>
      <w:r>
        <w:rPr>
          <w:rFonts w:ascii="黑体" w:hAnsi="黑体" w:eastAsia="黑体"/>
          <w:sz w:val="32"/>
        </w:rPr>
        <w:t>十一、预算绩效的情况说明</w:t>
      </w:r>
    </w:p>
    <w:p w14:paraId="0F270B5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198.28万元，实际执行总额186.64万元；预算绩效评价项目2个，全年预算数61.18万元，全年执行数49.54万元。预算绩效管理取得的成效：一是在节点完成后公布实施较少的项目，组织项目负责人分享项目实施成效，增强全体人员对绩效理念的理解与重视，深化了绩效认知，提升了管理精度；二是规范了局预算收支核算，制定和完善了基本支出、项目支出等各项支出标准，通过预算执行差异，合理调整、纠正预算执行偏差，切实提高了部门预算收支管理水平；三是通过绩效工作的开展</w:t>
      </w:r>
      <w:bookmarkStart w:id="0" w:name="_GoBack"/>
      <w:r>
        <w:rPr>
          <w:rFonts w:hint="eastAsia" w:ascii="仿宋_GB2312" w:hAnsi="仿宋_GB2312" w:eastAsia="仿宋_GB2312"/>
          <w:b w:val="0"/>
          <w:sz w:val="32"/>
          <w:lang w:eastAsia="zh-CN"/>
        </w:rPr>
        <w:t>，</w:t>
      </w:r>
      <w:bookmarkEnd w:id="0"/>
      <w:r>
        <w:rPr>
          <w:rFonts w:ascii="仿宋_GB2312" w:hAnsi="仿宋_GB2312" w:eastAsia="仿宋_GB2312"/>
          <w:b w:val="0"/>
          <w:sz w:val="32"/>
        </w:rPr>
        <w:t>我单位</w:t>
      </w:r>
      <w:r>
        <w:rPr>
          <w:rFonts w:hint="eastAsia" w:ascii="仿宋_GB2312" w:hAnsi="仿宋_GB2312" w:eastAsia="仿宋_GB2312"/>
          <w:b w:val="0"/>
          <w:sz w:val="32"/>
          <w:lang w:eastAsia="zh-CN"/>
        </w:rPr>
        <w:t>对资金</w:t>
      </w:r>
      <w:r>
        <w:rPr>
          <w:rFonts w:ascii="仿宋_GB2312" w:hAnsi="仿宋_GB2312" w:eastAsia="仿宋_GB2312"/>
          <w:b w:val="0"/>
          <w:sz w:val="32"/>
        </w:rPr>
        <w:t>进度</w:t>
      </w:r>
      <w:r>
        <w:rPr>
          <w:rFonts w:hint="eastAsia" w:ascii="仿宋_GB2312" w:hAnsi="仿宋_GB2312" w:eastAsia="仿宋_GB2312"/>
          <w:b w:val="0"/>
          <w:sz w:val="32"/>
          <w:lang w:eastAsia="zh-CN"/>
        </w:rPr>
        <w:t>进行实时</w:t>
      </w:r>
      <w:r>
        <w:rPr>
          <w:rFonts w:ascii="仿宋_GB2312" w:hAnsi="仿宋_GB2312" w:eastAsia="仿宋_GB2312"/>
          <w:b w:val="0"/>
          <w:sz w:val="32"/>
        </w:rPr>
        <w:t>监测，全生命周期追溯，确保了项目实施的质量、成效</w:t>
      </w:r>
      <w:r>
        <w:rPr>
          <w:rFonts w:hint="eastAsia" w:ascii="仿宋_GB2312" w:hAnsi="仿宋_GB2312" w:eastAsia="仿宋_GB2312"/>
          <w:b w:val="0"/>
          <w:sz w:val="32"/>
          <w:lang w:eastAsia="zh-CN"/>
        </w:rPr>
        <w:t>，</w:t>
      </w:r>
      <w:r>
        <w:rPr>
          <w:rFonts w:ascii="仿宋_GB2312" w:hAnsi="仿宋_GB2312" w:eastAsia="仿宋_GB2312"/>
          <w:b w:val="0"/>
          <w:sz w:val="32"/>
        </w:rPr>
        <w:t>达到</w:t>
      </w:r>
      <w:r>
        <w:rPr>
          <w:rFonts w:hint="eastAsia" w:ascii="仿宋_GB2312" w:hAnsi="仿宋_GB2312" w:eastAsia="仿宋_GB2312"/>
          <w:b w:val="0"/>
          <w:sz w:val="32"/>
          <w:lang w:eastAsia="zh-CN"/>
        </w:rPr>
        <w:t>了预期</w:t>
      </w:r>
      <w:r>
        <w:rPr>
          <w:rFonts w:ascii="仿宋_GB2312" w:hAnsi="仿宋_GB2312" w:eastAsia="仿宋_GB2312"/>
          <w:b w:val="0"/>
          <w:sz w:val="32"/>
        </w:rPr>
        <w:t>的经济和社会效益，提高了资金的使用效率。发现的问题及原因：一是项目前期调研不充分、未制定合理的实施方案，没有提前洞察银行利率下调，绩效目标设置前未经过专业测算，导致后期成本指标设置不精准；二是项目的全过程监督不足，轮换未按计划时间完成，验收延迟，导致资金未及时支付；三是在年初对全年工作缺乏计划性，项目过程监管不足，对于可预见性偏差未及时进行目标调整，导致执行存在偏差。下一步改进措施：一是加大绩效工作人员培训力度，</w:t>
      </w:r>
      <w:r>
        <w:rPr>
          <w:rFonts w:hint="eastAsia" w:ascii="仿宋_GB2312" w:hAnsi="仿宋_GB2312" w:eastAsia="仿宋_GB2312"/>
          <w:b w:val="0"/>
          <w:sz w:val="32"/>
          <w:lang w:eastAsia="zh-CN"/>
        </w:rPr>
        <w:t>科学合理地</w:t>
      </w:r>
      <w:r>
        <w:rPr>
          <w:rFonts w:ascii="仿宋_GB2312" w:hAnsi="仿宋_GB2312" w:eastAsia="仿宋_GB2312"/>
          <w:b w:val="0"/>
          <w:sz w:val="32"/>
        </w:rPr>
        <w:t>设置年初绩效目标，做好前期调研，编制严谨合乎实际的绩效目标表和合理可行的实施方案；二是通过绩效管理，发现实施中存在漏洞，以后加强管理，及时掌握与之相关的各类信息，减少成本，使资金效益最大化；三是加强预算精细化管理，预算批复下达后组织全局学习掌握，细化资金支付方向，实现项目事前、事中、事后全链条管理。具体附部门整体支出绩效自评表，项目支出绩效自评表和部门评价报告。</w:t>
      </w:r>
    </w:p>
    <w:p w14:paraId="090CB12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51CC28">
        <w:tblPrEx>
          <w:tblCellMar>
            <w:top w:w="0" w:type="dxa"/>
            <w:left w:w="108" w:type="dxa"/>
            <w:bottom w:w="0" w:type="dxa"/>
            <w:right w:w="108" w:type="dxa"/>
          </w:tblCellMar>
        </w:tblPrEx>
        <w:tc>
          <w:tcPr>
            <w:tcW w:w="8847" w:type="dxa"/>
            <w:gridSpan w:val="9"/>
            <w:vAlign w:val="center"/>
          </w:tcPr>
          <w:p w14:paraId="03F7E6B9">
            <w:pPr>
              <w:jc w:val="center"/>
            </w:pPr>
            <w:r>
              <w:rPr>
                <w:rFonts w:ascii="宋体" w:hAnsi="宋体" w:eastAsia="宋体"/>
                <w:sz w:val="24"/>
              </w:rPr>
              <w:t>部门整体支出绩效自评表</w:t>
            </w:r>
          </w:p>
        </w:tc>
      </w:tr>
      <w:tr w14:paraId="4DBD3F7E">
        <w:tblPrEx>
          <w:tblCellMar>
            <w:top w:w="0" w:type="dxa"/>
            <w:left w:w="108" w:type="dxa"/>
            <w:bottom w:w="0" w:type="dxa"/>
            <w:right w:w="108" w:type="dxa"/>
          </w:tblCellMar>
        </w:tblPrEx>
        <w:tc>
          <w:tcPr>
            <w:tcW w:w="8847" w:type="dxa"/>
            <w:gridSpan w:val="9"/>
            <w:vAlign w:val="center"/>
          </w:tcPr>
          <w:p w14:paraId="109299CD">
            <w:pPr>
              <w:jc w:val="center"/>
            </w:pPr>
            <w:r>
              <w:rPr>
                <w:rFonts w:ascii="宋体" w:hAnsi="宋体" w:eastAsia="宋体"/>
                <w:sz w:val="24"/>
              </w:rPr>
              <w:t>（2024年度）</w:t>
            </w:r>
          </w:p>
        </w:tc>
      </w:tr>
      <w:tr w14:paraId="42D2B8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766F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B7B67F3">
            <w:pPr>
              <w:jc w:val="center"/>
            </w:pPr>
            <w:r>
              <w:rPr>
                <w:rFonts w:ascii="宋体" w:hAnsi="宋体" w:eastAsia="宋体"/>
                <w:sz w:val="16"/>
              </w:rPr>
              <w:t>新疆喀什国家粮食质量监测站</w:t>
            </w:r>
          </w:p>
        </w:tc>
      </w:tr>
      <w:tr w14:paraId="0E727B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0802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4CCF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40C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094F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D53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3A70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CAC4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86184">
            <w:pPr>
              <w:jc w:val="center"/>
            </w:pPr>
            <w:r>
              <w:rPr>
                <w:rFonts w:ascii="宋体" w:hAnsi="宋体" w:eastAsia="宋体"/>
                <w:sz w:val="16"/>
              </w:rPr>
              <w:t>得分</w:t>
            </w:r>
          </w:p>
        </w:tc>
      </w:tr>
      <w:tr w14:paraId="23E77E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AF5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A011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B398A">
            <w:pPr>
              <w:jc w:val="center"/>
            </w:pPr>
            <w:r>
              <w:rPr>
                <w:rFonts w:ascii="宋体" w:hAnsi="宋体" w:eastAsia="宋体"/>
                <w:sz w:val="16"/>
              </w:rPr>
              <w:t>201.59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F8212">
            <w:pPr>
              <w:jc w:val="center"/>
            </w:pPr>
            <w:r>
              <w:rPr>
                <w:rFonts w:ascii="宋体" w:hAnsi="宋体" w:eastAsia="宋体"/>
                <w:sz w:val="16"/>
              </w:rPr>
              <w:t>198.28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E5B35">
            <w:pPr>
              <w:jc w:val="center"/>
            </w:pPr>
            <w:r>
              <w:rPr>
                <w:rFonts w:ascii="宋体" w:hAnsi="宋体" w:eastAsia="宋体"/>
                <w:sz w:val="16"/>
              </w:rPr>
              <w:t>186.64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C98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2C0B9">
            <w:pPr>
              <w:jc w:val="center"/>
            </w:pPr>
            <w:r>
              <w:rPr>
                <w:rFonts w:ascii="宋体" w:hAnsi="宋体" w:eastAsia="宋体"/>
                <w:sz w:val="16"/>
              </w:rPr>
              <w:t>94.13%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1EF9F">
            <w:pPr>
              <w:jc w:val="center"/>
            </w:pPr>
            <w:r>
              <w:rPr>
                <w:rFonts w:ascii="宋体" w:hAnsi="宋体" w:eastAsia="宋体"/>
                <w:sz w:val="16"/>
              </w:rPr>
              <w:t>9.41</w:t>
            </w:r>
          </w:p>
        </w:tc>
      </w:tr>
      <w:tr w14:paraId="7C9FC8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B3D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D5E3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9FD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5C325">
            <w:pPr>
              <w:jc w:val="center"/>
            </w:pPr>
            <w:r>
              <w:rPr>
                <w:rFonts w:ascii="宋体" w:hAnsi="宋体" w:eastAsia="宋体"/>
                <w:sz w:val="16"/>
              </w:rPr>
              <w:t>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B1887">
            <w:pPr>
              <w:jc w:val="center"/>
            </w:pPr>
            <w:r>
              <w:rPr>
                <w:rFonts w:ascii="宋体" w:hAnsi="宋体" w:eastAsia="宋体"/>
                <w:sz w:val="16"/>
              </w:rPr>
              <w:t>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272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B14E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C8EF0">
            <w:pPr>
              <w:jc w:val="center"/>
            </w:pPr>
            <w:r>
              <w:rPr>
                <w:rFonts w:ascii="宋体" w:hAnsi="宋体" w:eastAsia="宋体"/>
                <w:sz w:val="16"/>
              </w:rPr>
              <w:t>—</w:t>
            </w:r>
          </w:p>
        </w:tc>
      </w:tr>
      <w:tr w14:paraId="3087E1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EA9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1045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B60E4">
            <w:pPr>
              <w:jc w:val="center"/>
            </w:pPr>
            <w:r>
              <w:rPr>
                <w:rFonts w:ascii="宋体" w:hAnsi="宋体" w:eastAsia="宋体"/>
                <w:sz w:val="16"/>
              </w:rPr>
              <w:t>201.59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AC8CB">
            <w:pPr>
              <w:jc w:val="center"/>
            </w:pPr>
            <w:r>
              <w:rPr>
                <w:rFonts w:ascii="宋体" w:hAnsi="宋体" w:eastAsia="宋体"/>
                <w:sz w:val="16"/>
              </w:rPr>
              <w:t>196.14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54FC3">
            <w:pPr>
              <w:jc w:val="center"/>
            </w:pPr>
            <w:r>
              <w:rPr>
                <w:rFonts w:ascii="宋体" w:hAnsi="宋体" w:eastAsia="宋体"/>
                <w:sz w:val="16"/>
              </w:rPr>
              <w:t>184.50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9BC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88DD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65218">
            <w:pPr>
              <w:jc w:val="center"/>
            </w:pPr>
            <w:r>
              <w:rPr>
                <w:rFonts w:ascii="宋体" w:hAnsi="宋体" w:eastAsia="宋体"/>
                <w:sz w:val="16"/>
              </w:rPr>
              <w:t>—</w:t>
            </w:r>
          </w:p>
        </w:tc>
      </w:tr>
      <w:tr w14:paraId="03B86E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68FC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F5E1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902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AB9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A50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943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1716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5B3D">
            <w:pPr>
              <w:jc w:val="center"/>
            </w:pPr>
            <w:r>
              <w:rPr>
                <w:rFonts w:ascii="宋体" w:hAnsi="宋体" w:eastAsia="宋体"/>
                <w:sz w:val="16"/>
              </w:rPr>
              <w:t>—</w:t>
            </w:r>
          </w:p>
        </w:tc>
      </w:tr>
      <w:tr w14:paraId="63D2AB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E9C1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0BF9D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AEB07B">
            <w:pPr>
              <w:jc w:val="center"/>
            </w:pPr>
            <w:r>
              <w:rPr>
                <w:rFonts w:ascii="宋体" w:hAnsi="宋体" w:eastAsia="宋体"/>
                <w:sz w:val="16"/>
              </w:rPr>
              <w:t>实际完成情况</w:t>
            </w:r>
          </w:p>
        </w:tc>
      </w:tr>
      <w:tr w14:paraId="7E50F0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4B8A1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A106CD">
            <w:pPr>
              <w:jc w:val="both"/>
            </w:pPr>
            <w:r>
              <w:rPr>
                <w:rFonts w:ascii="宋体" w:hAnsi="宋体" w:eastAsia="宋体"/>
                <w:sz w:val="16"/>
              </w:rPr>
              <w:t>新疆喀什国家粮食质量监测站对区域范围内粮油生产、收购、储存、加工、运输和销售环节原粮、成品、半成品等产品的相关质量、品质、卫生指标进行检验检测，为辖区内的粮食生产和经营者服务。随同主管部门对管理的政府储备、企业储备以及储备政策落实情况和粮食流通进行监督检查，开展粮食收购、储存、运输环节质量安全和原粮卫生的监督管理工作。在喀什地区11个县市（塔县除外），对政策性粮食春季、秋季、2024年新收获小麦普查抽样县市覆盖率≥100%，对政策性粮食在收购、储存、出库环节质量安全监测把关次数≥3次，开展粮食样品扦样检验批次≥3次，严把粮食质量安全工作关，保障喀什地区广大人民群众“舌尖上的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00AA5F">
            <w:pPr>
              <w:jc w:val="both"/>
            </w:pPr>
            <w:r>
              <w:rPr>
                <w:rFonts w:ascii="宋体" w:hAnsi="宋体" w:eastAsia="宋体"/>
                <w:sz w:val="16"/>
              </w:rPr>
              <w:t>完成了对喀什地区小麦、面粉、大米、玉米等产品的相关质量、品质、卫生指标进行检验检测，为辖区内的粮食生产和经营者服务。在喀什地区11个县市（塔县除外），对政策性粮食春季、秋季、2024年新收获小麦普查抽样县市覆盖率100%，对政策性粮食在收购、储存、出库环节质量安全监测把关次数3次，开展粮食样品扦样检验批次3次，严把粮食质量安全工作关，保障喀什地区广大人民群众“舌尖上的安全”。</w:t>
            </w:r>
          </w:p>
        </w:tc>
      </w:tr>
      <w:tr w14:paraId="46A8CA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C596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D273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D5A6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A5FB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EC2C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9C2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300B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B6F8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AAF8F">
            <w:pPr>
              <w:jc w:val="center"/>
            </w:pPr>
            <w:r>
              <w:rPr>
                <w:rFonts w:ascii="宋体" w:hAnsi="宋体" w:eastAsia="宋体"/>
                <w:sz w:val="16"/>
              </w:rPr>
              <w:t>得分</w:t>
            </w:r>
          </w:p>
        </w:tc>
      </w:tr>
      <w:tr w14:paraId="062A0A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5C3F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0F07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946C2">
            <w:pPr>
              <w:jc w:val="center"/>
            </w:pPr>
            <w:r>
              <w:rPr>
                <w:rFonts w:ascii="宋体" w:hAnsi="宋体" w:eastAsia="宋体"/>
                <w:sz w:val="16"/>
              </w:rPr>
              <w:t>2024年新收获小麦质量监测县市覆盖率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E9F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3091F">
            <w:pPr>
              <w:jc w:val="center"/>
            </w:pPr>
            <w:r>
              <w:rPr>
                <w:rFonts w:ascii="宋体" w:hAnsi="宋体" w:eastAsia="宋体"/>
                <w:sz w:val="16"/>
              </w:rPr>
              <w:t>粮食质量安全监测2024年工作计划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5B38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323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52E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4AF5F">
            <w:pPr>
              <w:jc w:val="center"/>
            </w:pPr>
            <w:r>
              <w:rPr>
                <w:rFonts w:ascii="宋体" w:hAnsi="宋体" w:eastAsia="宋体"/>
                <w:sz w:val="16"/>
              </w:rPr>
              <w:t>20</w:t>
            </w:r>
          </w:p>
        </w:tc>
      </w:tr>
      <w:tr w14:paraId="5AB22F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A9B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BA08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5CD97">
            <w:pPr>
              <w:jc w:val="center"/>
            </w:pPr>
            <w:r>
              <w:rPr>
                <w:rFonts w:ascii="宋体" w:hAnsi="宋体" w:eastAsia="宋体"/>
                <w:sz w:val="16"/>
              </w:rPr>
              <w:t>开展粮食样品扦样检验批次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E331B">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425CD">
            <w:pPr>
              <w:jc w:val="center"/>
            </w:pPr>
            <w:r>
              <w:rPr>
                <w:rFonts w:ascii="宋体" w:hAnsi="宋体" w:eastAsia="宋体"/>
                <w:sz w:val="16"/>
              </w:rPr>
              <w:t>粮食质量安全监测2024年工作计划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3F73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DF78D">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5AE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DB744">
            <w:pPr>
              <w:jc w:val="center"/>
            </w:pPr>
            <w:r>
              <w:rPr>
                <w:rFonts w:ascii="宋体" w:hAnsi="宋体" w:eastAsia="宋体"/>
                <w:sz w:val="16"/>
              </w:rPr>
              <w:t>20</w:t>
            </w:r>
          </w:p>
        </w:tc>
      </w:tr>
      <w:tr w14:paraId="3BD231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379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9FC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7B8C1">
            <w:pPr>
              <w:jc w:val="center"/>
            </w:pPr>
            <w:r>
              <w:rPr>
                <w:rFonts w:ascii="宋体" w:hAnsi="宋体" w:eastAsia="宋体"/>
                <w:sz w:val="16"/>
              </w:rPr>
              <w:t>对政策性粮食质量安全监测把关次数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D7C83">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7BA34">
            <w:pPr>
              <w:jc w:val="center"/>
            </w:pPr>
            <w:r>
              <w:rPr>
                <w:rFonts w:ascii="宋体" w:hAnsi="宋体" w:eastAsia="宋体"/>
                <w:sz w:val="16"/>
              </w:rPr>
              <w:t>粮食质量安全监测2024年工作计划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FD0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81654">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7BD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E3340">
            <w:pPr>
              <w:jc w:val="center"/>
            </w:pPr>
            <w:r>
              <w:rPr>
                <w:rFonts w:ascii="宋体" w:hAnsi="宋体" w:eastAsia="宋体"/>
                <w:sz w:val="16"/>
              </w:rPr>
              <w:t>10</w:t>
            </w:r>
          </w:p>
        </w:tc>
      </w:tr>
      <w:tr w14:paraId="50444C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305C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DC1F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523BE">
            <w:pPr>
              <w:jc w:val="center"/>
            </w:pPr>
            <w:r>
              <w:rPr>
                <w:rFonts w:ascii="宋体" w:hAnsi="宋体" w:eastAsia="宋体"/>
                <w:sz w:val="16"/>
              </w:rPr>
              <w:t>政策性粮食春季普查抽样县市覆盖率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424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88BAA">
            <w:pPr>
              <w:jc w:val="center"/>
            </w:pPr>
            <w:r>
              <w:rPr>
                <w:rFonts w:ascii="宋体" w:hAnsi="宋体" w:eastAsia="宋体"/>
                <w:sz w:val="16"/>
              </w:rPr>
              <w:t>粮食质量安全监测2024年工作计划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212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362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B54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AD7D3">
            <w:pPr>
              <w:jc w:val="center"/>
            </w:pPr>
            <w:r>
              <w:rPr>
                <w:rFonts w:ascii="宋体" w:hAnsi="宋体" w:eastAsia="宋体"/>
                <w:sz w:val="16"/>
              </w:rPr>
              <w:t>20</w:t>
            </w:r>
          </w:p>
        </w:tc>
      </w:tr>
      <w:tr w14:paraId="36BF28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44B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03B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6C7C7">
            <w:pPr>
              <w:jc w:val="center"/>
            </w:pPr>
            <w:r>
              <w:rPr>
                <w:rFonts w:ascii="宋体" w:hAnsi="宋体" w:eastAsia="宋体"/>
                <w:sz w:val="16"/>
              </w:rPr>
              <w:t>政策性粮食秋季普查抽样县市覆盖率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430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D4B97">
            <w:pPr>
              <w:jc w:val="center"/>
            </w:pPr>
            <w:r>
              <w:rPr>
                <w:rFonts w:ascii="宋体" w:hAnsi="宋体" w:eastAsia="宋体"/>
                <w:sz w:val="16"/>
              </w:rPr>
              <w:t>粮食质量安全监测2024年工作计划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F12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F72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230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900B2">
            <w:pPr>
              <w:jc w:val="center"/>
            </w:pPr>
            <w:r>
              <w:rPr>
                <w:rFonts w:ascii="宋体" w:hAnsi="宋体" w:eastAsia="宋体"/>
                <w:sz w:val="16"/>
              </w:rPr>
              <w:t>20</w:t>
            </w:r>
          </w:p>
        </w:tc>
      </w:tr>
    </w:tbl>
    <w:p w14:paraId="048443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5BF7255">
        <w:tc>
          <w:tcPr>
            <w:tcW w:w="8848" w:type="dxa"/>
            <w:gridSpan w:val="14"/>
            <w:vAlign w:val="center"/>
          </w:tcPr>
          <w:p w14:paraId="5523444A">
            <w:pPr>
              <w:jc w:val="center"/>
            </w:pPr>
            <w:r>
              <w:rPr>
                <w:rFonts w:ascii="宋体" w:hAnsi="宋体" w:eastAsia="宋体"/>
                <w:sz w:val="24"/>
              </w:rPr>
              <w:t>项目支出绩效自评表</w:t>
            </w:r>
          </w:p>
        </w:tc>
      </w:tr>
      <w:tr w14:paraId="699F8E76">
        <w:tblPrEx>
          <w:tblCellMar>
            <w:top w:w="0" w:type="dxa"/>
            <w:left w:w="108" w:type="dxa"/>
            <w:bottom w:w="0" w:type="dxa"/>
            <w:right w:w="108" w:type="dxa"/>
          </w:tblCellMar>
        </w:tblPrEx>
        <w:tc>
          <w:tcPr>
            <w:tcW w:w="8848" w:type="dxa"/>
            <w:gridSpan w:val="14"/>
            <w:vAlign w:val="center"/>
          </w:tcPr>
          <w:p w14:paraId="74137AEC">
            <w:pPr>
              <w:jc w:val="center"/>
            </w:pPr>
            <w:r>
              <w:rPr>
                <w:rFonts w:ascii="宋体" w:hAnsi="宋体" w:eastAsia="宋体"/>
                <w:sz w:val="24"/>
              </w:rPr>
              <w:t>(2024年度)</w:t>
            </w:r>
          </w:p>
        </w:tc>
      </w:tr>
      <w:tr w14:paraId="58760F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37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1D8D94">
            <w:pPr>
              <w:jc w:val="center"/>
            </w:pPr>
            <w:r>
              <w:rPr>
                <w:rFonts w:ascii="宋体" w:hAnsi="宋体" w:eastAsia="宋体"/>
                <w:sz w:val="16"/>
              </w:rPr>
              <w:t>2024年度粮食质量安全检验监测项目</w:t>
            </w:r>
          </w:p>
        </w:tc>
      </w:tr>
      <w:tr w14:paraId="289D6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AD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CF2D83">
            <w:pPr>
              <w:jc w:val="center"/>
            </w:pPr>
            <w:r>
              <w:rPr>
                <w:rFonts w:ascii="宋体" w:hAnsi="宋体" w:eastAsia="宋体"/>
                <w:sz w:val="16"/>
              </w:rPr>
              <w:t>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E6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1605CD">
            <w:pPr>
              <w:jc w:val="center"/>
            </w:pPr>
            <w:r>
              <w:rPr>
                <w:rFonts w:ascii="宋体" w:hAnsi="宋体" w:eastAsia="宋体"/>
                <w:sz w:val="16"/>
              </w:rPr>
              <w:t>新疆喀什国家粮食质量监测站</w:t>
            </w:r>
          </w:p>
        </w:tc>
      </w:tr>
      <w:tr w14:paraId="415DCC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8D8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D40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DD7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46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5A6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4D3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36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EC93">
            <w:pPr>
              <w:jc w:val="center"/>
            </w:pPr>
            <w:r>
              <w:rPr>
                <w:rFonts w:ascii="宋体" w:hAnsi="宋体" w:eastAsia="宋体"/>
                <w:sz w:val="16"/>
              </w:rPr>
              <w:t>得分</w:t>
            </w:r>
          </w:p>
        </w:tc>
      </w:tr>
      <w:tr w14:paraId="5F284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DC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CF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921B3">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CA639">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2E901">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62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C9D5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476A">
            <w:pPr>
              <w:jc w:val="center"/>
            </w:pPr>
            <w:r>
              <w:rPr>
                <w:rFonts w:ascii="宋体" w:hAnsi="宋体" w:eastAsia="宋体"/>
                <w:sz w:val="16"/>
              </w:rPr>
              <w:t>10.00分</w:t>
            </w:r>
          </w:p>
        </w:tc>
      </w:tr>
      <w:tr w14:paraId="5756A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CD4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E23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96480">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3938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DC262">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D4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15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2651">
            <w:pPr>
              <w:jc w:val="center"/>
            </w:pPr>
            <w:r>
              <w:rPr>
                <w:rFonts w:ascii="宋体" w:hAnsi="宋体" w:eastAsia="宋体"/>
                <w:sz w:val="16"/>
              </w:rPr>
              <w:t>—</w:t>
            </w:r>
          </w:p>
        </w:tc>
      </w:tr>
      <w:tr w14:paraId="616B8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F05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DE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5F1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00A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148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243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B6F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EB90">
            <w:pPr>
              <w:jc w:val="center"/>
            </w:pPr>
            <w:r>
              <w:rPr>
                <w:rFonts w:ascii="宋体" w:hAnsi="宋体" w:eastAsia="宋体"/>
                <w:sz w:val="16"/>
              </w:rPr>
              <w:t>—</w:t>
            </w:r>
          </w:p>
        </w:tc>
      </w:tr>
      <w:tr w14:paraId="01CE51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73C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B81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EC388F">
            <w:pPr>
              <w:jc w:val="center"/>
            </w:pPr>
            <w:r>
              <w:rPr>
                <w:rFonts w:ascii="宋体" w:hAnsi="宋体" w:eastAsia="宋体"/>
                <w:sz w:val="16"/>
              </w:rPr>
              <w:t>实际完成情况</w:t>
            </w:r>
          </w:p>
        </w:tc>
      </w:tr>
      <w:tr w14:paraId="5D079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CAF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9F9392">
            <w:pPr>
              <w:jc w:val="both"/>
            </w:pPr>
            <w:r>
              <w:rPr>
                <w:rFonts w:ascii="宋体" w:hAnsi="宋体" w:eastAsia="宋体"/>
                <w:sz w:val="16"/>
              </w:rPr>
              <w:t>该项目预算资金总额为9万元。根据自治区下发的“关于对</w:t>
            </w:r>
            <w:r>
              <w:rPr>
                <w:rFonts w:hint="eastAsia" w:ascii="宋体" w:hAnsi="宋体"/>
                <w:sz w:val="16"/>
                <w:lang w:eastAsia="zh-CN"/>
              </w:rPr>
              <w:t>‘十二五’</w:t>
            </w:r>
            <w:r>
              <w:rPr>
                <w:rFonts w:ascii="宋体" w:hAnsi="宋体" w:eastAsia="宋体"/>
                <w:sz w:val="16"/>
              </w:rPr>
              <w:t>期间地州级粮食质量安全检验监测能力建设项目检查初验情况的通报”（新粮办储</w:t>
            </w:r>
            <w:r>
              <w:rPr>
                <w:rFonts w:hint="eastAsia" w:ascii="宋体" w:hAnsi="宋体"/>
                <w:sz w:val="16"/>
                <w:lang w:eastAsia="zh-CN"/>
              </w:rPr>
              <w:t>〔2017〕138号</w:t>
            </w:r>
            <w:r>
              <w:rPr>
                <w:rFonts w:ascii="宋体" w:hAnsi="宋体" w:eastAsia="宋体"/>
                <w:sz w:val="16"/>
              </w:rPr>
              <w:t>），经行署领导批示后，成立此项目。2024年粮食质量安全检验检测项目，预计抽检3批次以上，参与粮食检验作业人员持证上岗率100%，完成样品检查报告数量大于100个，通过项目的实施，做好新收获粮食常规质量、内在品质的会检及质量调查与品质测报，重点是加强对原粮卫生安全的检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B0076B">
            <w:pPr>
              <w:jc w:val="both"/>
            </w:pPr>
            <w:r>
              <w:rPr>
                <w:rFonts w:ascii="宋体" w:hAnsi="宋体" w:eastAsia="宋体"/>
                <w:sz w:val="16"/>
              </w:rPr>
              <w:t>2024年粮食质量安全检验检测项目，完成抽检3批次，参与粮食检验作业人员持证上岗率100%，完成样品检查报告数量100个，通过项目的实施，完成了新收获粮食常规质量、内在品质的会检及质量调查与品质测报，重点是加强对原粮卫生安全的检测。</w:t>
            </w:r>
          </w:p>
        </w:tc>
      </w:tr>
      <w:tr w14:paraId="0A5E1C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722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50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47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2F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0B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B2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72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DB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C3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10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1D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FE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E002A">
            <w:pPr>
              <w:jc w:val="center"/>
            </w:pPr>
            <w:r>
              <w:rPr>
                <w:rFonts w:ascii="宋体" w:hAnsi="宋体" w:eastAsia="宋体"/>
                <w:sz w:val="16"/>
              </w:rPr>
              <w:t>偏差原因分析及改进措施</w:t>
            </w:r>
          </w:p>
        </w:tc>
      </w:tr>
      <w:tr w14:paraId="33FFDD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B2F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29F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3BD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6E3B">
            <w:pPr>
              <w:jc w:val="center"/>
            </w:pPr>
            <w:r>
              <w:rPr>
                <w:rFonts w:ascii="宋体" w:hAnsi="宋体" w:eastAsia="宋体"/>
                <w:sz w:val="16"/>
              </w:rPr>
              <w:t>仪器</w:t>
            </w:r>
            <w:r>
              <w:rPr>
                <w:rFonts w:hint="eastAsia" w:ascii="宋体" w:hAnsi="宋体"/>
                <w:sz w:val="16"/>
                <w:lang w:eastAsia="zh-CN"/>
              </w:rPr>
              <w:t>检定</w:t>
            </w:r>
            <w:r>
              <w:rPr>
                <w:rFonts w:ascii="宋体" w:hAnsi="宋体" w:eastAsia="宋体"/>
                <w:sz w:val="16"/>
              </w:rPr>
              <w:t>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BA4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6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77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A8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81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54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DD9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68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4620B">
            <w:pPr>
              <w:jc w:val="center"/>
            </w:pPr>
          </w:p>
        </w:tc>
      </w:tr>
      <w:tr w14:paraId="5FF2B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B8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B1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311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AD0C">
            <w:pPr>
              <w:jc w:val="center"/>
            </w:pPr>
            <w:r>
              <w:rPr>
                <w:rFonts w:ascii="宋体" w:hAnsi="宋体" w:eastAsia="宋体"/>
                <w:sz w:val="16"/>
              </w:rPr>
              <w:t>赴县市粮食扦样人数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46B0">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C7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B9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54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7E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78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2391">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80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2E7A1">
            <w:pPr>
              <w:jc w:val="center"/>
            </w:pPr>
          </w:p>
        </w:tc>
      </w:tr>
      <w:tr w14:paraId="28141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0B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D9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0D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E481">
            <w:pPr>
              <w:jc w:val="center"/>
            </w:pPr>
            <w:r>
              <w:rPr>
                <w:rFonts w:ascii="宋体" w:hAnsi="宋体" w:eastAsia="宋体"/>
                <w:sz w:val="16"/>
              </w:rPr>
              <w:t>监测县市覆盖率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D8C6">
            <w:pPr>
              <w:jc w:val="center"/>
            </w:pPr>
            <w:r>
              <w:rPr>
                <w:rFonts w:ascii="宋体" w:hAnsi="宋体" w:eastAsia="宋体"/>
                <w:sz w:val="16"/>
              </w:rPr>
              <w:t>&gt;=91%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E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60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F6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0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75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24A2">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AF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0B895">
            <w:pPr>
              <w:jc w:val="center"/>
            </w:pPr>
          </w:p>
        </w:tc>
      </w:tr>
      <w:tr w14:paraId="5A1ED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60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9C4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BAA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97D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4D3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0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4B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EF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3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47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32F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3E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A7050">
            <w:pPr>
              <w:jc w:val="center"/>
            </w:pPr>
          </w:p>
        </w:tc>
      </w:tr>
      <w:tr w14:paraId="5111A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E1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C3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D0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EF2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4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7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32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5C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3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71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7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4F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EB95B">
            <w:pPr>
              <w:jc w:val="center"/>
            </w:pPr>
          </w:p>
        </w:tc>
      </w:tr>
      <w:tr w14:paraId="2982E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48C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243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9DB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4ED4">
            <w:pPr>
              <w:jc w:val="center"/>
            </w:pPr>
            <w:r>
              <w:rPr>
                <w:rFonts w:ascii="宋体" w:hAnsi="宋体" w:eastAsia="宋体"/>
                <w:sz w:val="16"/>
              </w:rPr>
              <w:t>采购专用材料成本费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4845">
            <w:pPr>
              <w:jc w:val="center"/>
            </w:pPr>
            <w:r>
              <w:rPr>
                <w:rFonts w:ascii="宋体" w:hAnsi="宋体" w:eastAsia="宋体"/>
                <w:sz w:val="16"/>
              </w:rPr>
              <w:t>&lt;=61000元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6F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AC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2D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AA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00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19D2">
            <w:pPr>
              <w:jc w:val="center"/>
            </w:pPr>
            <w:r>
              <w:rPr>
                <w:rFonts w:ascii="宋体" w:hAnsi="宋体" w:eastAsia="宋体"/>
                <w:sz w:val="16"/>
              </w:rPr>
              <w:t>=61000元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BD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8F11">
            <w:pPr>
              <w:jc w:val="center"/>
            </w:pPr>
          </w:p>
        </w:tc>
      </w:tr>
      <w:tr w14:paraId="7CEF4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8E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B4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CA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547F">
            <w:pPr>
              <w:jc w:val="center"/>
            </w:pPr>
            <w:r>
              <w:rPr>
                <w:rFonts w:ascii="宋体" w:hAnsi="宋体" w:eastAsia="宋体"/>
                <w:sz w:val="16"/>
              </w:rPr>
              <w:t>其他费用成本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42BF">
            <w:pPr>
              <w:jc w:val="center"/>
            </w:pPr>
            <w:r>
              <w:rPr>
                <w:rFonts w:ascii="宋体" w:hAnsi="宋体" w:eastAsia="宋体"/>
                <w:sz w:val="16"/>
              </w:rPr>
              <w:t>&lt;=29000元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F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9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1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F1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9A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0A95">
            <w:pPr>
              <w:jc w:val="center"/>
            </w:pPr>
            <w:r>
              <w:rPr>
                <w:rFonts w:ascii="宋体" w:hAnsi="宋体" w:eastAsia="宋体"/>
                <w:sz w:val="16"/>
              </w:rPr>
              <w:t>=29000元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0E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F2F52">
            <w:pPr>
              <w:jc w:val="center"/>
            </w:pPr>
          </w:p>
        </w:tc>
      </w:tr>
      <w:tr w14:paraId="6CE5F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08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CF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86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9154">
            <w:pPr>
              <w:jc w:val="center"/>
            </w:pPr>
            <w:r>
              <w:rPr>
                <w:rFonts w:ascii="宋体" w:hAnsi="宋体" w:eastAsia="宋体"/>
                <w:sz w:val="16"/>
              </w:rPr>
              <w:t>提升粮食质量安全检验监测能力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95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4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9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133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36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4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C99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9BC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B7D6">
            <w:pPr>
              <w:jc w:val="center"/>
            </w:pPr>
          </w:p>
        </w:tc>
      </w:tr>
      <w:tr w14:paraId="0CF370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72C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36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335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766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2AC9D5"/>
        </w:tc>
      </w:tr>
    </w:tbl>
    <w:p w14:paraId="074819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13FCDC6">
        <w:tblPrEx>
          <w:tblCellMar>
            <w:top w:w="0" w:type="dxa"/>
            <w:left w:w="108" w:type="dxa"/>
            <w:bottom w:w="0" w:type="dxa"/>
            <w:right w:w="108" w:type="dxa"/>
          </w:tblCellMar>
        </w:tblPrEx>
        <w:tc>
          <w:tcPr>
            <w:tcW w:w="8848" w:type="dxa"/>
            <w:gridSpan w:val="14"/>
            <w:vAlign w:val="center"/>
          </w:tcPr>
          <w:p w14:paraId="7BA9663B">
            <w:pPr>
              <w:jc w:val="center"/>
            </w:pPr>
            <w:r>
              <w:rPr>
                <w:rFonts w:ascii="宋体" w:hAnsi="宋体" w:eastAsia="宋体"/>
                <w:sz w:val="24"/>
              </w:rPr>
              <w:t>项目支出绩效自评表</w:t>
            </w:r>
          </w:p>
        </w:tc>
      </w:tr>
      <w:tr w14:paraId="150AD86D">
        <w:tblPrEx>
          <w:tblCellMar>
            <w:top w:w="0" w:type="dxa"/>
            <w:left w:w="108" w:type="dxa"/>
            <w:bottom w:w="0" w:type="dxa"/>
            <w:right w:w="108" w:type="dxa"/>
          </w:tblCellMar>
        </w:tblPrEx>
        <w:tc>
          <w:tcPr>
            <w:tcW w:w="8848" w:type="dxa"/>
            <w:gridSpan w:val="14"/>
            <w:vAlign w:val="center"/>
          </w:tcPr>
          <w:p w14:paraId="31BC15B6">
            <w:pPr>
              <w:jc w:val="center"/>
            </w:pPr>
            <w:r>
              <w:rPr>
                <w:rFonts w:ascii="宋体" w:hAnsi="宋体" w:eastAsia="宋体"/>
                <w:sz w:val="24"/>
              </w:rPr>
              <w:t>(2024年度)</w:t>
            </w:r>
          </w:p>
        </w:tc>
      </w:tr>
      <w:tr w14:paraId="30A4C8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7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3CF1C4">
            <w:pPr>
              <w:jc w:val="center"/>
            </w:pPr>
            <w:r>
              <w:rPr>
                <w:rFonts w:ascii="宋体" w:hAnsi="宋体" w:eastAsia="宋体"/>
                <w:sz w:val="16"/>
              </w:rPr>
              <w:t>购买仪器和仪器鉴定以及仪器维护费项目</w:t>
            </w:r>
          </w:p>
        </w:tc>
      </w:tr>
      <w:tr w14:paraId="5178C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71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9B657">
            <w:pPr>
              <w:jc w:val="center"/>
            </w:pPr>
            <w:r>
              <w:rPr>
                <w:rFonts w:ascii="宋体" w:hAnsi="宋体" w:eastAsia="宋体"/>
                <w:sz w:val="16"/>
              </w:rPr>
              <w:t>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1C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F8BC88">
            <w:pPr>
              <w:jc w:val="center"/>
            </w:pPr>
            <w:r>
              <w:rPr>
                <w:rFonts w:ascii="宋体" w:hAnsi="宋体" w:eastAsia="宋体"/>
                <w:sz w:val="16"/>
              </w:rPr>
              <w:t>新疆喀什国家粮食质量监测站</w:t>
            </w:r>
          </w:p>
        </w:tc>
      </w:tr>
      <w:tr w14:paraId="178554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4BE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9BB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182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F2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F08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CA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44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90B1">
            <w:pPr>
              <w:jc w:val="center"/>
            </w:pPr>
            <w:r>
              <w:rPr>
                <w:rFonts w:ascii="宋体" w:hAnsi="宋体" w:eastAsia="宋体"/>
                <w:sz w:val="16"/>
              </w:rPr>
              <w:t>得分</w:t>
            </w:r>
          </w:p>
        </w:tc>
      </w:tr>
      <w:tr w14:paraId="291B3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B0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25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86972">
            <w:pPr>
              <w:jc w:val="center"/>
            </w:pPr>
            <w:r>
              <w:rPr>
                <w:rFonts w:ascii="宋体" w:hAnsi="宋体" w:eastAsia="宋体"/>
                <w:sz w:val="16"/>
              </w:rPr>
              <w:t>52.18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C6B3">
            <w:pPr>
              <w:jc w:val="center"/>
            </w:pPr>
            <w:r>
              <w:rPr>
                <w:rFonts w:ascii="宋体" w:hAnsi="宋体" w:eastAsia="宋体"/>
                <w:sz w:val="16"/>
              </w:rPr>
              <w:t>52.18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CFA55">
            <w:pPr>
              <w:jc w:val="center"/>
            </w:pPr>
            <w:r>
              <w:rPr>
                <w:rFonts w:ascii="宋体" w:hAnsi="宋体" w:eastAsia="宋体"/>
                <w:sz w:val="16"/>
              </w:rPr>
              <w:t>40.54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280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9FC4D">
            <w:pPr>
              <w:jc w:val="center"/>
            </w:pPr>
            <w:r>
              <w:rPr>
                <w:rFonts w:ascii="宋体" w:hAnsi="宋体" w:eastAsia="宋体"/>
                <w:sz w:val="16"/>
              </w:rPr>
              <w:t>77.7%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F6A7">
            <w:pPr>
              <w:jc w:val="center"/>
            </w:pPr>
            <w:r>
              <w:rPr>
                <w:rFonts w:ascii="宋体" w:hAnsi="宋体" w:eastAsia="宋体"/>
                <w:sz w:val="16"/>
              </w:rPr>
              <w:t>4.42分</w:t>
            </w:r>
          </w:p>
        </w:tc>
      </w:tr>
      <w:tr w14:paraId="0E037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531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589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0C39">
            <w:pPr>
              <w:jc w:val="center"/>
            </w:pPr>
            <w:r>
              <w:rPr>
                <w:rFonts w:ascii="宋体" w:hAnsi="宋体" w:eastAsia="宋体"/>
                <w:sz w:val="16"/>
              </w:rPr>
              <w:t>52.18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872E2">
            <w:pPr>
              <w:jc w:val="center"/>
            </w:pPr>
            <w:r>
              <w:rPr>
                <w:rFonts w:ascii="宋体" w:hAnsi="宋体" w:eastAsia="宋体"/>
                <w:sz w:val="16"/>
              </w:rPr>
              <w:t>52.18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EEB7E">
            <w:pPr>
              <w:jc w:val="center"/>
            </w:pPr>
            <w:r>
              <w:rPr>
                <w:rFonts w:ascii="宋体" w:hAnsi="宋体" w:eastAsia="宋体"/>
                <w:sz w:val="16"/>
              </w:rPr>
              <w:t>40.54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E1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33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38AB">
            <w:pPr>
              <w:jc w:val="center"/>
            </w:pPr>
            <w:r>
              <w:rPr>
                <w:rFonts w:ascii="宋体" w:hAnsi="宋体" w:eastAsia="宋体"/>
                <w:sz w:val="16"/>
              </w:rPr>
              <w:t>—</w:t>
            </w:r>
          </w:p>
        </w:tc>
      </w:tr>
      <w:tr w14:paraId="720E2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C08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B19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F88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7D1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53F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163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17A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4C72">
            <w:pPr>
              <w:jc w:val="center"/>
            </w:pPr>
            <w:r>
              <w:rPr>
                <w:rFonts w:ascii="宋体" w:hAnsi="宋体" w:eastAsia="宋体"/>
                <w:sz w:val="16"/>
              </w:rPr>
              <w:t>—</w:t>
            </w:r>
          </w:p>
        </w:tc>
      </w:tr>
      <w:tr w14:paraId="09365F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D18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79C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5772B0">
            <w:pPr>
              <w:jc w:val="center"/>
            </w:pPr>
            <w:r>
              <w:rPr>
                <w:rFonts w:ascii="宋体" w:hAnsi="宋体" w:eastAsia="宋体"/>
                <w:sz w:val="16"/>
              </w:rPr>
              <w:t>实际完成情况</w:t>
            </w:r>
          </w:p>
        </w:tc>
      </w:tr>
      <w:tr w14:paraId="79280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386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07042">
            <w:pPr>
              <w:jc w:val="both"/>
            </w:pPr>
            <w:r>
              <w:rPr>
                <w:rFonts w:ascii="宋体" w:hAnsi="宋体" w:eastAsia="宋体"/>
                <w:sz w:val="16"/>
              </w:rPr>
              <w:t>购买仪器和仪器鉴定以及仪器维护费项目按照2023年5月12日自治区质量强区工作领导小组办公室关于印发《2023 年质量强区暨质量提升行动工作要点》的通知精神，与喀什地区新疆喀什国家粮食质量监测站的粮食质量安全监测职能相关，认真落实粮食质量安全监测工作，有效保障人民群众的口粮安全。项目资金来源于财政预算，项目总预算52.18万元。主要用于购买仪器和仪器鉴定以及仪器维护费项目，用于采购磷化物检测前处理仪器10.38万元、用于采购微波消解仪13.8万元、用于采购农药残留快速监测仪16万元、用于采购重金属快速监测仪12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E541ED">
            <w:pPr>
              <w:jc w:val="both"/>
            </w:pPr>
            <w:r>
              <w:rPr>
                <w:rFonts w:ascii="宋体" w:hAnsi="宋体" w:eastAsia="宋体"/>
                <w:sz w:val="16"/>
              </w:rPr>
              <w:t>2024年5月30日对参加竞价的7个经销商进行综合分析后，与江西宁科贸易有限公司以40.54万元（磷化物检测前处理仪器9.2</w:t>
            </w:r>
            <w:r>
              <w:rPr>
                <w:rFonts w:hint="eastAsia" w:ascii="宋体" w:hAnsi="宋体"/>
                <w:sz w:val="16"/>
                <w:lang w:eastAsia="zh-CN"/>
              </w:rPr>
              <w:t>万元</w:t>
            </w:r>
            <w:r>
              <w:rPr>
                <w:rFonts w:ascii="宋体" w:hAnsi="宋体" w:eastAsia="宋体"/>
                <w:sz w:val="16"/>
              </w:rPr>
              <w:t>、农药残留快速监测仪14.16万元、微波消解仪12.18万元、重金属快速监测仪5万元）成交，并签订了合同。6月下旬收到厂家发货磷化物检测前处理仪器、农药残留快速监测仪、微波消解仪、重金属快速监测仪，并且对收到仪器进行了验收。8月7日对项目资金进行了支付。通过该项目的实施，有效提升了我站粮食质量的快速监测能力。</w:t>
            </w:r>
            <w:r>
              <w:rPr>
                <w:rFonts w:ascii="宋体" w:hAnsi="宋体" w:eastAsia="宋体"/>
                <w:sz w:val="16"/>
              </w:rPr>
              <w:br w:type="textWrapping"/>
            </w:r>
          </w:p>
        </w:tc>
      </w:tr>
      <w:tr w14:paraId="5938C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38A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35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11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9C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25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9C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A5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EC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A0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42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A4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F3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7A2C2">
            <w:pPr>
              <w:jc w:val="center"/>
            </w:pPr>
            <w:r>
              <w:rPr>
                <w:rFonts w:ascii="宋体" w:hAnsi="宋体" w:eastAsia="宋体"/>
                <w:sz w:val="16"/>
              </w:rPr>
              <w:t>偏差原因分析及改进措施</w:t>
            </w:r>
          </w:p>
        </w:tc>
      </w:tr>
      <w:tr w14:paraId="090107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8D8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B7C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DD1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F8C3">
            <w:pPr>
              <w:jc w:val="center"/>
            </w:pPr>
            <w:r>
              <w:rPr>
                <w:rFonts w:ascii="宋体" w:hAnsi="宋体" w:eastAsia="宋体"/>
                <w:sz w:val="16"/>
              </w:rPr>
              <w:t>采购磷化物检测前处理仪器数量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C1D9">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8D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14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D8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38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CB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583D">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67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74D6E">
            <w:pPr>
              <w:jc w:val="center"/>
            </w:pPr>
          </w:p>
        </w:tc>
      </w:tr>
      <w:tr w14:paraId="7518965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B8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E2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39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2EA2">
            <w:pPr>
              <w:jc w:val="center"/>
            </w:pPr>
            <w:r>
              <w:rPr>
                <w:rFonts w:ascii="宋体" w:hAnsi="宋体" w:eastAsia="宋体"/>
                <w:sz w:val="16"/>
              </w:rPr>
              <w:t>采购微波消解仪数量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DD21">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01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73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15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61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5F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AB4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63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C2FE2">
            <w:pPr>
              <w:jc w:val="center"/>
            </w:pPr>
          </w:p>
        </w:tc>
      </w:tr>
      <w:tr w14:paraId="19CD5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6C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BE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52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44FA">
            <w:pPr>
              <w:jc w:val="center"/>
            </w:pPr>
            <w:r>
              <w:rPr>
                <w:rFonts w:ascii="宋体" w:hAnsi="宋体" w:eastAsia="宋体"/>
                <w:sz w:val="16"/>
              </w:rPr>
              <w:t>采购农药残留快速监测仪数量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33E1">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A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5E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28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E3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F9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96BA">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B4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81466">
            <w:pPr>
              <w:jc w:val="center"/>
            </w:pPr>
          </w:p>
        </w:tc>
      </w:tr>
      <w:tr w14:paraId="3B2F8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A5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ED3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3F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4ADC">
            <w:pPr>
              <w:jc w:val="center"/>
            </w:pPr>
            <w:r>
              <w:rPr>
                <w:rFonts w:ascii="宋体" w:hAnsi="宋体" w:eastAsia="宋体"/>
                <w:sz w:val="16"/>
              </w:rPr>
              <w:t>采购重金属快速</w:t>
            </w:r>
            <w:r>
              <w:rPr>
                <w:rFonts w:hint="eastAsia" w:ascii="宋体" w:hAnsi="宋体"/>
                <w:sz w:val="16"/>
                <w:lang w:eastAsia="zh-CN"/>
              </w:rPr>
              <w:t>检测仪</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2840">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0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F8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69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85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C7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7B25">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53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2BF3D">
            <w:pPr>
              <w:jc w:val="center"/>
            </w:pPr>
          </w:p>
        </w:tc>
      </w:tr>
      <w:tr w14:paraId="04CD0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56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9B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82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449E">
            <w:pPr>
              <w:jc w:val="center"/>
            </w:pPr>
            <w:r>
              <w:rPr>
                <w:rFonts w:ascii="宋体" w:hAnsi="宋体" w:eastAsia="宋体"/>
                <w:sz w:val="16"/>
              </w:rPr>
              <w:t>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D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6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7C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0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1D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74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8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C3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2C7B7">
            <w:pPr>
              <w:jc w:val="center"/>
            </w:pPr>
          </w:p>
        </w:tc>
      </w:tr>
      <w:tr w14:paraId="65019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8C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45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C4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E83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68E6">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9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82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C8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8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12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7C01">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DC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11446">
            <w:pPr>
              <w:jc w:val="center"/>
            </w:pPr>
          </w:p>
        </w:tc>
      </w:tr>
      <w:tr w14:paraId="7DABF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687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638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10A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248D">
            <w:pPr>
              <w:jc w:val="center"/>
            </w:pPr>
            <w:r>
              <w:rPr>
                <w:rFonts w:ascii="宋体" w:hAnsi="宋体" w:eastAsia="宋体"/>
                <w:sz w:val="16"/>
              </w:rPr>
              <w:t>采购磷化物检测前处理仪器费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F1E0">
            <w:pPr>
              <w:jc w:val="center"/>
            </w:pPr>
            <w:r>
              <w:rPr>
                <w:rFonts w:ascii="宋体" w:hAnsi="宋体" w:eastAsia="宋体"/>
                <w:sz w:val="16"/>
              </w:rPr>
              <w:t>&lt;=10.38万元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9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00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64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39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FC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CCCB">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7317">
            <w:pPr>
              <w:jc w:val="center"/>
            </w:pPr>
            <w:r>
              <w:rPr>
                <w:rFonts w:ascii="宋体" w:hAnsi="宋体" w:eastAsia="宋体"/>
                <w:sz w:val="16"/>
              </w:rPr>
              <w:t>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C8D4C">
            <w:pPr>
              <w:jc w:val="center"/>
            </w:pPr>
            <w:r>
              <w:rPr>
                <w:rFonts w:ascii="宋体" w:hAnsi="宋体" w:eastAsia="宋体"/>
                <w:sz w:val="16"/>
              </w:rPr>
              <w:t>通过政采云平台在线竞价，采购磷化物检测前处理仪器费用有所节约。改进措施：把预算做</w:t>
            </w:r>
            <w:r>
              <w:rPr>
                <w:rFonts w:hint="eastAsia" w:ascii="宋体" w:hAnsi="宋体"/>
                <w:sz w:val="16"/>
                <w:lang w:eastAsia="zh-CN"/>
              </w:rPr>
              <w:t>得</w:t>
            </w:r>
            <w:r>
              <w:rPr>
                <w:rFonts w:ascii="宋体" w:hAnsi="宋体" w:eastAsia="宋体"/>
                <w:sz w:val="16"/>
              </w:rPr>
              <w:t>更准确。</w:t>
            </w:r>
          </w:p>
        </w:tc>
      </w:tr>
      <w:tr w14:paraId="2EF09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DF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F4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95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E235">
            <w:pPr>
              <w:jc w:val="center"/>
            </w:pPr>
            <w:r>
              <w:rPr>
                <w:rFonts w:ascii="宋体" w:hAnsi="宋体" w:eastAsia="宋体"/>
                <w:sz w:val="16"/>
              </w:rPr>
              <w:t>采购微波消解仪费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0597">
            <w:pPr>
              <w:jc w:val="center"/>
            </w:pPr>
            <w:r>
              <w:rPr>
                <w:rFonts w:ascii="宋体" w:hAnsi="宋体" w:eastAsia="宋体"/>
                <w:sz w:val="16"/>
              </w:rPr>
              <w:t>&lt;=13.80万元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6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D8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4F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BB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32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7EF6">
            <w:pPr>
              <w:jc w:val="center"/>
            </w:pPr>
            <w:r>
              <w:rPr>
                <w:rFonts w:ascii="宋体" w:hAnsi="宋体" w:eastAsia="宋体"/>
                <w:sz w:val="16"/>
              </w:rPr>
              <w:t>=12.18万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E1C7">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7DE03">
            <w:pPr>
              <w:jc w:val="center"/>
            </w:pPr>
            <w:r>
              <w:rPr>
                <w:rFonts w:ascii="宋体" w:hAnsi="宋体" w:eastAsia="宋体"/>
                <w:sz w:val="16"/>
              </w:rPr>
              <w:t>通过政采云平台在线竞价，采购微波消解仪费用与预算稍有偏差。改进措施：把预算做</w:t>
            </w:r>
            <w:r>
              <w:rPr>
                <w:rFonts w:hint="eastAsia" w:ascii="宋体" w:hAnsi="宋体"/>
                <w:sz w:val="16"/>
                <w:lang w:eastAsia="zh-CN"/>
              </w:rPr>
              <w:t>得</w:t>
            </w:r>
            <w:r>
              <w:rPr>
                <w:rFonts w:ascii="宋体" w:hAnsi="宋体" w:eastAsia="宋体"/>
                <w:sz w:val="16"/>
              </w:rPr>
              <w:t>更准确。</w:t>
            </w:r>
          </w:p>
        </w:tc>
      </w:tr>
      <w:tr w14:paraId="43796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07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5D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01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6ED4">
            <w:pPr>
              <w:jc w:val="center"/>
            </w:pPr>
            <w:r>
              <w:rPr>
                <w:rFonts w:ascii="宋体" w:hAnsi="宋体" w:eastAsia="宋体"/>
                <w:sz w:val="16"/>
              </w:rPr>
              <w:t>采购农药残留快速监测仪费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2567">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9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F7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45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7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F8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A441">
            <w:pPr>
              <w:jc w:val="center"/>
            </w:pPr>
            <w:r>
              <w:rPr>
                <w:rFonts w:ascii="宋体" w:hAnsi="宋体" w:eastAsia="宋体"/>
                <w:sz w:val="16"/>
              </w:rPr>
              <w:t>=14.16万元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F2FC">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8E391">
            <w:pPr>
              <w:jc w:val="center"/>
            </w:pPr>
            <w:r>
              <w:rPr>
                <w:rFonts w:ascii="宋体" w:hAnsi="宋体" w:eastAsia="宋体"/>
                <w:sz w:val="16"/>
              </w:rPr>
              <w:t>通过政采云平台在线竞价，采购农药残留快速监测仪费用有所节约。改进措施：把预算做</w:t>
            </w:r>
            <w:r>
              <w:rPr>
                <w:rFonts w:hint="eastAsia" w:ascii="宋体" w:hAnsi="宋体"/>
                <w:sz w:val="16"/>
                <w:lang w:eastAsia="zh-CN"/>
              </w:rPr>
              <w:t>得</w:t>
            </w:r>
            <w:r>
              <w:rPr>
                <w:rFonts w:ascii="宋体" w:hAnsi="宋体" w:eastAsia="宋体"/>
                <w:sz w:val="16"/>
              </w:rPr>
              <w:t>更准确。</w:t>
            </w:r>
          </w:p>
        </w:tc>
      </w:tr>
      <w:tr w14:paraId="21145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06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69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19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1BBC">
            <w:pPr>
              <w:jc w:val="center"/>
            </w:pPr>
            <w:r>
              <w:rPr>
                <w:rFonts w:ascii="宋体" w:hAnsi="宋体" w:eastAsia="宋体"/>
                <w:sz w:val="16"/>
              </w:rPr>
              <w:t>采购重金属快速监测仪费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8FD7">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0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5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80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D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72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ED9F">
            <w:pPr>
              <w:jc w:val="center"/>
            </w:pPr>
            <w:r>
              <w:rPr>
                <w:rFonts w:ascii="宋体" w:hAnsi="宋体" w:eastAsia="宋体"/>
                <w:sz w:val="16"/>
              </w:rPr>
              <w:t>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10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2D5DF">
            <w:pPr>
              <w:jc w:val="center"/>
            </w:pPr>
            <w:r>
              <w:rPr>
                <w:rFonts w:ascii="宋体" w:hAnsi="宋体" w:eastAsia="宋体"/>
                <w:sz w:val="16"/>
              </w:rPr>
              <w:t>通过政采云平台在线竞价，采购重金属快速</w:t>
            </w:r>
            <w:r>
              <w:rPr>
                <w:rFonts w:hint="eastAsia" w:ascii="宋体" w:hAnsi="宋体"/>
                <w:sz w:val="16"/>
                <w:lang w:eastAsia="zh-CN"/>
              </w:rPr>
              <w:t>检测仪</w:t>
            </w:r>
            <w:r>
              <w:rPr>
                <w:rFonts w:ascii="宋体" w:hAnsi="宋体" w:eastAsia="宋体"/>
                <w:sz w:val="16"/>
              </w:rPr>
              <w:t>费用有所节约。改进措施：把预算做</w:t>
            </w:r>
            <w:r>
              <w:rPr>
                <w:rFonts w:hint="eastAsia" w:ascii="宋体" w:hAnsi="宋体"/>
                <w:sz w:val="16"/>
                <w:lang w:eastAsia="zh-CN"/>
              </w:rPr>
              <w:t>得</w:t>
            </w:r>
            <w:r>
              <w:rPr>
                <w:rFonts w:ascii="宋体" w:hAnsi="宋体" w:eastAsia="宋体"/>
                <w:sz w:val="16"/>
              </w:rPr>
              <w:t>更准确。</w:t>
            </w:r>
          </w:p>
        </w:tc>
      </w:tr>
      <w:tr w14:paraId="617C6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8A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E3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F4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0E5B">
            <w:pPr>
              <w:jc w:val="center"/>
            </w:pPr>
            <w:r>
              <w:rPr>
                <w:rFonts w:ascii="宋体" w:hAnsi="宋体" w:eastAsia="宋体"/>
                <w:sz w:val="16"/>
              </w:rPr>
              <w:t>提升快速监测能力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5B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10F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4B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8B3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2A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85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453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BE0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7B5C5">
            <w:pPr>
              <w:jc w:val="center"/>
            </w:pPr>
          </w:p>
        </w:tc>
      </w:tr>
      <w:tr w14:paraId="47FC66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009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8A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58FE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8D30">
            <w:pPr>
              <w:jc w:val="center"/>
            </w:pPr>
            <w:r>
              <w:rPr>
                <w:rFonts w:ascii="宋体" w:hAnsi="宋体" w:eastAsia="宋体"/>
                <w:sz w:val="16"/>
              </w:rPr>
              <w:t>85.09分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492541"/>
        </w:tc>
      </w:tr>
    </w:tbl>
    <w:p w14:paraId="7FDE43AA">
      <w:r>
        <w:br w:type="page"/>
      </w:r>
    </w:p>
    <w:p w14:paraId="6F9D6518">
      <w:pPr>
        <w:spacing w:line="640" w:lineRule="exact"/>
        <w:ind w:firstLine="640"/>
        <w:jc w:val="both"/>
        <w:outlineLvl w:val="2"/>
      </w:pPr>
      <w:r>
        <w:rPr>
          <w:rFonts w:ascii="黑体" w:hAnsi="黑体" w:eastAsia="黑体"/>
          <w:sz w:val="32"/>
        </w:rPr>
        <w:t>十二、其他需说明的事项</w:t>
      </w:r>
    </w:p>
    <w:p w14:paraId="0A4B286C">
      <w:pPr>
        <w:spacing w:line="580" w:lineRule="exact"/>
        <w:ind w:firstLine="640"/>
        <w:jc w:val="both"/>
      </w:pPr>
      <w:r>
        <w:rPr>
          <w:rFonts w:ascii="仿宋_GB2312" w:hAnsi="仿宋_GB2312" w:eastAsia="仿宋_GB2312"/>
          <w:b w:val="0"/>
          <w:sz w:val="32"/>
        </w:rPr>
        <w:t>本部门无其他需说明的事项。</w:t>
      </w:r>
    </w:p>
    <w:p w14:paraId="00D92DD3">
      <w:r>
        <w:br w:type="page"/>
      </w:r>
    </w:p>
    <w:p w14:paraId="60CF2D83">
      <w:pPr>
        <w:spacing w:line="240" w:lineRule="auto"/>
        <w:jc w:val="center"/>
        <w:outlineLvl w:val="1"/>
      </w:pPr>
      <w:r>
        <w:rPr>
          <w:rFonts w:ascii="黑体" w:hAnsi="黑体" w:eastAsia="黑体"/>
          <w:sz w:val="32"/>
        </w:rPr>
        <w:t>第三部分 专业名词解释</w:t>
      </w:r>
    </w:p>
    <w:p w14:paraId="0BF9AC1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5DA86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187A8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05801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7DE63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77C75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84651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5F9C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DEB47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2D56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9066B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041D84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56FC5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BCC54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2CB294">
      <w:r>
        <w:br w:type="page"/>
      </w:r>
    </w:p>
    <w:p w14:paraId="49E3D388">
      <w:pPr>
        <w:spacing w:line="240" w:lineRule="auto"/>
        <w:jc w:val="center"/>
        <w:outlineLvl w:val="1"/>
      </w:pPr>
      <w:r>
        <w:rPr>
          <w:rFonts w:ascii="黑体" w:hAnsi="黑体" w:eastAsia="黑体"/>
          <w:sz w:val="32"/>
        </w:rPr>
        <w:t>第四部分 部门决算报表（见附表）</w:t>
      </w:r>
    </w:p>
    <w:p w14:paraId="62BA9C30">
      <w:pPr>
        <w:spacing w:line="240" w:lineRule="auto"/>
        <w:ind w:firstLine="640"/>
        <w:jc w:val="both"/>
      </w:pPr>
      <w:r>
        <w:rPr>
          <w:rFonts w:ascii="仿宋_GB2312" w:hAnsi="仿宋_GB2312" w:eastAsia="仿宋_GB2312"/>
          <w:b w:val="0"/>
          <w:sz w:val="32"/>
        </w:rPr>
        <w:t>一、《收入支出决算总表》</w:t>
      </w:r>
    </w:p>
    <w:p w14:paraId="18BBB85F">
      <w:pPr>
        <w:spacing w:line="240" w:lineRule="auto"/>
        <w:ind w:firstLine="640"/>
        <w:jc w:val="both"/>
      </w:pPr>
      <w:r>
        <w:rPr>
          <w:rFonts w:ascii="仿宋_GB2312" w:hAnsi="仿宋_GB2312" w:eastAsia="仿宋_GB2312"/>
          <w:b w:val="0"/>
          <w:sz w:val="32"/>
        </w:rPr>
        <w:t>二、《收入决算表》</w:t>
      </w:r>
    </w:p>
    <w:p w14:paraId="0C714C96">
      <w:pPr>
        <w:spacing w:line="240" w:lineRule="auto"/>
        <w:ind w:firstLine="640"/>
        <w:jc w:val="both"/>
      </w:pPr>
      <w:r>
        <w:rPr>
          <w:rFonts w:ascii="仿宋_GB2312" w:hAnsi="仿宋_GB2312" w:eastAsia="仿宋_GB2312"/>
          <w:b w:val="0"/>
          <w:sz w:val="32"/>
        </w:rPr>
        <w:t>三、《支出决算表》</w:t>
      </w:r>
    </w:p>
    <w:p w14:paraId="0897CCCD">
      <w:pPr>
        <w:spacing w:line="240" w:lineRule="auto"/>
        <w:ind w:firstLine="640"/>
        <w:jc w:val="both"/>
      </w:pPr>
      <w:r>
        <w:rPr>
          <w:rFonts w:ascii="仿宋_GB2312" w:hAnsi="仿宋_GB2312" w:eastAsia="仿宋_GB2312"/>
          <w:b w:val="0"/>
          <w:sz w:val="32"/>
        </w:rPr>
        <w:t>四、《财政拨款收入支出决算总表》</w:t>
      </w:r>
    </w:p>
    <w:p w14:paraId="1DEE0FD9">
      <w:pPr>
        <w:spacing w:line="240" w:lineRule="auto"/>
        <w:ind w:firstLine="640"/>
        <w:jc w:val="both"/>
      </w:pPr>
      <w:r>
        <w:rPr>
          <w:rFonts w:ascii="仿宋_GB2312" w:hAnsi="仿宋_GB2312" w:eastAsia="仿宋_GB2312"/>
          <w:b w:val="0"/>
          <w:sz w:val="32"/>
        </w:rPr>
        <w:t>五、《一般公共预算财政拨款支出决算表》</w:t>
      </w:r>
    </w:p>
    <w:p w14:paraId="7C136CB6">
      <w:pPr>
        <w:spacing w:line="240" w:lineRule="auto"/>
        <w:ind w:firstLine="640"/>
        <w:jc w:val="both"/>
      </w:pPr>
      <w:r>
        <w:rPr>
          <w:rFonts w:ascii="仿宋_GB2312" w:hAnsi="仿宋_GB2312" w:eastAsia="仿宋_GB2312"/>
          <w:b w:val="0"/>
          <w:sz w:val="32"/>
        </w:rPr>
        <w:t>六、《一般公共预算财政拨款基本支出决算表》</w:t>
      </w:r>
    </w:p>
    <w:p w14:paraId="53EA8F1F">
      <w:pPr>
        <w:spacing w:line="240" w:lineRule="auto"/>
        <w:ind w:firstLine="640"/>
        <w:jc w:val="both"/>
      </w:pPr>
      <w:r>
        <w:rPr>
          <w:rFonts w:ascii="仿宋_GB2312" w:hAnsi="仿宋_GB2312" w:eastAsia="仿宋_GB2312"/>
          <w:b w:val="0"/>
          <w:sz w:val="32"/>
        </w:rPr>
        <w:t>七、《政府性基金预算财政拨款收入支出决算表》</w:t>
      </w:r>
    </w:p>
    <w:p w14:paraId="7B784378">
      <w:pPr>
        <w:spacing w:line="240" w:lineRule="auto"/>
        <w:ind w:firstLine="640"/>
        <w:jc w:val="both"/>
      </w:pPr>
      <w:r>
        <w:rPr>
          <w:rFonts w:ascii="仿宋_GB2312" w:hAnsi="仿宋_GB2312" w:eastAsia="仿宋_GB2312"/>
          <w:b w:val="0"/>
          <w:sz w:val="32"/>
        </w:rPr>
        <w:t>八、《国有资本经营预算财政拨款收入支出决算表》</w:t>
      </w:r>
    </w:p>
    <w:p w14:paraId="6B18099C">
      <w:pPr>
        <w:spacing w:line="240" w:lineRule="auto"/>
        <w:ind w:firstLine="640"/>
        <w:jc w:val="both"/>
      </w:pPr>
      <w:r>
        <w:rPr>
          <w:rFonts w:ascii="仿宋_GB2312" w:hAnsi="仿宋_GB2312" w:eastAsia="仿宋_GB2312"/>
          <w:b w:val="0"/>
          <w:sz w:val="32"/>
        </w:rPr>
        <w:t>九、《财政拨款“三公”经费支出决算表》</w:t>
      </w:r>
    </w:p>
    <w:p w14:paraId="19606F2A">
      <w:pPr>
        <w:spacing w:line="240" w:lineRule="auto"/>
        <w:ind w:firstLine="640"/>
        <w:jc w:val="both"/>
      </w:pPr>
    </w:p>
    <w:p w14:paraId="7F1AB0DC">
      <w:pPr>
        <w:spacing w:line="240" w:lineRule="auto"/>
        <w:ind w:firstLine="640"/>
        <w:jc w:val="both"/>
      </w:pPr>
    </w:p>
    <w:p w14:paraId="464F7051">
      <w:pPr>
        <w:spacing w:line="240" w:lineRule="auto"/>
        <w:ind w:firstLine="640"/>
        <w:jc w:val="both"/>
      </w:pPr>
    </w:p>
    <w:p w14:paraId="137AAB28">
      <w:pPr>
        <w:spacing w:line="240" w:lineRule="auto"/>
        <w:ind w:firstLine="640"/>
        <w:jc w:val="both"/>
      </w:pPr>
    </w:p>
    <w:p w14:paraId="2CD880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338D4A-5094-440C-9A8D-34F9333A49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EAA3460-4D1D-4795-AAEF-5A5D8AE8B568}"/>
  </w:font>
  <w:font w:name="仿宋_GB2312">
    <w:panose1 w:val="02010609030101010101"/>
    <w:charset w:val="86"/>
    <w:family w:val="modern"/>
    <w:pitch w:val="default"/>
    <w:sig w:usb0="00000001" w:usb1="080E0000" w:usb2="00000000" w:usb3="00000000" w:csb0="00040000" w:csb1="00000000"/>
    <w:embedRegular r:id="rId3" w:fontKey="{7335E672-0605-4DC3-A29B-FC5AC4C29FB7}"/>
  </w:font>
  <w:font w:name="楷体_GB2312">
    <w:panose1 w:val="02010609030101010101"/>
    <w:charset w:val="86"/>
    <w:family w:val="auto"/>
    <w:pitch w:val="default"/>
    <w:sig w:usb0="00000001" w:usb1="080E0000" w:usb2="00000000" w:usb3="00000000" w:csb0="00040000" w:csb1="00000000"/>
    <w:embedRegular r:id="rId4" w:fontKey="{9E0FAB48-9124-4190-9189-F747748FDD77}"/>
  </w:font>
  <w:font w:name="WPSEMBED25">
    <w:panose1 w:val="02010609030101010101"/>
    <w:charset w:val="86"/>
    <w:family w:val="auto"/>
    <w:pitch w:val="default"/>
    <w:sig w:usb0="00000001" w:usb1="080E0000" w:usb2="00000000" w:usb3="00000000" w:csb0="00040000" w:csb1="00000000"/>
  </w:font>
  <w:font w:name="WPSEMBED26">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456488"/>
    <w:rsid w:val="06792773"/>
    <w:rsid w:val="09A729D8"/>
    <w:rsid w:val="0A3C58E8"/>
    <w:rsid w:val="0A7B4867"/>
    <w:rsid w:val="0B8C3ECC"/>
    <w:rsid w:val="0C3613A3"/>
    <w:rsid w:val="0C7227A7"/>
    <w:rsid w:val="0DCA6EF7"/>
    <w:rsid w:val="0E4B1576"/>
    <w:rsid w:val="0EA04331"/>
    <w:rsid w:val="0F9811B3"/>
    <w:rsid w:val="11E15093"/>
    <w:rsid w:val="120E0809"/>
    <w:rsid w:val="13272064"/>
    <w:rsid w:val="142B7E5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5084</Words>
  <Characters>5827</Characters>
  <Lines>0</Lines>
  <Paragraphs>0</Paragraphs>
  <TotalTime>6</TotalTime>
  <ScaleCrop>false</ScaleCrop>
  <LinksUpToDate>false</LinksUpToDate>
  <CharactersWithSpaces>5835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2025-09-05T02:01:59Z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