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37E167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新疆维吾尔自治区喀什地区交通运输局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53FF39F">
      <w:r>
        <w:br w:type="page"/>
      </w:r>
    </w:p>
    <w:p w14:paraId="53D2F768">
      <w:pPr>
        <w:spacing w:line="640" w:lineRule="exact"/>
        <w:jc w:val="center"/>
        <w:outlineLvl w:val="1"/>
      </w:pPr>
      <w:r>
        <w:rPr>
          <w:rFonts w:ascii="黑体" w:hAnsi="黑体" w:eastAsia="黑体"/>
          <w:sz w:val="32"/>
        </w:rPr>
        <w:t>第一部分 部门概况</w:t>
      </w:r>
    </w:p>
    <w:p w14:paraId="4BB02568">
      <w:pPr>
        <w:spacing w:line="640" w:lineRule="exact"/>
        <w:ind w:firstLine="640"/>
        <w:jc w:val="both"/>
        <w:outlineLvl w:val="2"/>
      </w:pPr>
      <w:r>
        <w:rPr>
          <w:rFonts w:ascii="黑体" w:hAnsi="黑体" w:eastAsia="黑体"/>
          <w:sz w:val="32"/>
        </w:rPr>
        <w:t>一、主要职能</w:t>
      </w:r>
    </w:p>
    <w:p w14:paraId="228241C6">
      <w:pPr>
        <w:spacing w:line="580" w:lineRule="exact"/>
        <w:ind w:firstLine="640"/>
        <w:jc w:val="both"/>
      </w:pPr>
      <w:r>
        <w:rPr>
          <w:rFonts w:ascii="仿宋_GB2312" w:hAnsi="仿宋_GB2312" w:eastAsia="仿宋_GB2312"/>
          <w:sz w:val="32"/>
        </w:rPr>
        <w:t>根据自治区党委、自治区人民政府批准的《喀什地区机构改革方案》（新党厅字</w:t>
      </w:r>
      <w:r>
        <w:rPr>
          <w:rFonts w:hint="eastAsia" w:ascii="仿宋_GB2312" w:hAnsi="仿宋_GB2312" w:eastAsia="仿宋_GB2312"/>
          <w:sz w:val="32"/>
          <w:lang w:eastAsia="zh-CN"/>
        </w:rPr>
        <w:t>〔2019〕13号</w:t>
      </w:r>
      <w:r>
        <w:rPr>
          <w:rFonts w:ascii="仿宋_GB2312" w:hAnsi="仿宋_GB2312" w:eastAsia="仿宋_GB2312"/>
          <w:sz w:val="32"/>
        </w:rPr>
        <w:t>）和地委办公室、行署办公室印发的《关于〈喀什地区机构改革方案〉的实施意见》（喀党办发</w:t>
      </w:r>
      <w:r>
        <w:rPr>
          <w:rFonts w:hint="eastAsia" w:ascii="仿宋_GB2312" w:hAnsi="仿宋_GB2312" w:eastAsia="仿宋_GB2312"/>
          <w:sz w:val="32"/>
          <w:lang w:eastAsia="zh-CN"/>
        </w:rPr>
        <w:t>〔2019〕2号</w:t>
      </w:r>
      <w:r>
        <w:rPr>
          <w:rFonts w:ascii="仿宋_GB2312" w:hAnsi="仿宋_GB2312" w:eastAsia="仿宋_GB2312"/>
          <w:sz w:val="32"/>
        </w:rPr>
        <w:t>），制定本规定。</w:t>
      </w:r>
    </w:p>
    <w:p w14:paraId="3FDB08BA">
      <w:pPr>
        <w:spacing w:line="580" w:lineRule="exact"/>
        <w:ind w:firstLine="640"/>
        <w:jc w:val="both"/>
        <w:rPr>
          <w:rFonts w:hint="eastAsia" w:eastAsia="仿宋_GB2312"/>
          <w:lang w:eastAsia="zh-CN"/>
        </w:rPr>
      </w:pPr>
      <w:r>
        <w:rPr>
          <w:rFonts w:ascii="仿宋_GB2312" w:hAnsi="仿宋_GB2312" w:eastAsia="仿宋_GB2312"/>
          <w:sz w:val="32"/>
        </w:rPr>
        <w:t>地区交通运输局贯彻落实党中央、自治区党委关于交通运输工作的方针和决策部署及地委工作要求，在</w:t>
      </w:r>
      <w:r>
        <w:rPr>
          <w:rFonts w:hint="eastAsia" w:ascii="仿宋_GB2312" w:hAnsi="仿宋_GB2312" w:eastAsia="仿宋_GB2312"/>
          <w:sz w:val="32"/>
          <w:lang w:eastAsia="zh-CN"/>
        </w:rPr>
        <w:t>履行职责</w:t>
      </w:r>
      <w:r>
        <w:rPr>
          <w:rFonts w:ascii="仿宋_GB2312" w:hAnsi="仿宋_GB2312" w:eastAsia="仿宋_GB2312"/>
          <w:sz w:val="32"/>
        </w:rPr>
        <w:t>过程中坚持和加强党对交通运输工作的集中统一领导。主要职责是</w:t>
      </w:r>
      <w:r>
        <w:rPr>
          <w:rFonts w:hint="eastAsia" w:ascii="仿宋_GB2312" w:hAnsi="仿宋_GB2312" w:eastAsia="仿宋_GB2312"/>
          <w:sz w:val="32"/>
          <w:lang w:eastAsia="zh-CN"/>
        </w:rPr>
        <w:t>：</w:t>
      </w:r>
    </w:p>
    <w:p w14:paraId="3BF2A29A">
      <w:pPr>
        <w:spacing w:line="580" w:lineRule="exact"/>
        <w:ind w:firstLine="640"/>
        <w:jc w:val="both"/>
      </w:pPr>
      <w:r>
        <w:rPr>
          <w:rFonts w:ascii="仿宋_GB2312" w:hAnsi="仿宋_GB2312" w:eastAsia="仿宋_GB2312"/>
          <w:sz w:val="32"/>
        </w:rPr>
        <w:t>（一）贯彻落实交通运输行业法律、法规、规章和政策措施并监督实施。</w:t>
      </w:r>
    </w:p>
    <w:p w14:paraId="5A8FAD72">
      <w:pPr>
        <w:spacing w:line="580" w:lineRule="exact"/>
        <w:ind w:firstLine="640"/>
        <w:jc w:val="both"/>
      </w:pPr>
      <w:r>
        <w:rPr>
          <w:rFonts w:ascii="仿宋_GB2312" w:hAnsi="仿宋_GB2312" w:eastAsia="仿宋_GB2312"/>
          <w:sz w:val="32"/>
        </w:rPr>
        <w:t>（二）拟订地区公路交通运输发展规划并监督实施。会同有关部门组织编制地区综合交通体系规划，承担地区公路运输枢纽总体规划；参与拟订地区交通物流业发展战略与规划。</w:t>
      </w:r>
    </w:p>
    <w:p w14:paraId="2EFDE4A7">
      <w:pPr>
        <w:spacing w:line="580" w:lineRule="exact"/>
        <w:ind w:firstLine="640"/>
        <w:jc w:val="both"/>
      </w:pPr>
      <w:r>
        <w:rPr>
          <w:rFonts w:ascii="仿宋_GB2312" w:hAnsi="仿宋_GB2312" w:eastAsia="仿宋_GB2312"/>
          <w:sz w:val="32"/>
        </w:rPr>
        <w:t>（三）指导监督地区、县、乡公路（以下简称农村公路）以专用公路建设、管理和养护；指导地区农村公路路政工作；指导、考核地区农村公路建设、管理和养护工作。</w:t>
      </w:r>
    </w:p>
    <w:p w14:paraId="14650F2F">
      <w:pPr>
        <w:spacing w:line="580" w:lineRule="exact"/>
        <w:ind w:firstLine="640"/>
        <w:jc w:val="both"/>
      </w:pPr>
      <w:r>
        <w:rPr>
          <w:rFonts w:ascii="仿宋_GB2312" w:hAnsi="仿宋_GB2312" w:eastAsia="仿宋_GB2312"/>
          <w:sz w:val="32"/>
        </w:rPr>
        <w:t>（四）指导地区交通运输市场和交通基础设施建设市场发展，建立完善信息、服务、信用评价考核体系；会同有关部门拟订交通运输行业价格。</w:t>
      </w:r>
    </w:p>
    <w:p w14:paraId="1C2AE41A">
      <w:pPr>
        <w:spacing w:line="580" w:lineRule="exact"/>
        <w:ind w:firstLine="640"/>
        <w:jc w:val="both"/>
      </w:pPr>
      <w:r>
        <w:rPr>
          <w:rFonts w:ascii="仿宋_GB2312" w:hAnsi="仿宋_GB2312" w:eastAsia="仿宋_GB2312"/>
          <w:sz w:val="32"/>
        </w:rPr>
        <w:t>（五）指导监督地区道路运输市场。指导公路运输经济及技术管理；指导车辆维修、营运车辆综合性能检测、机动车驾驶员培训等工作的行业管理；指导城乡客运及有关设施规划和管理工作；指导出租汽车行业管理；指导交通运输行业安全生产和应急管理工作；指导国际道路运输和对外交流工作；按规定组织协调地区重点物资和紧急客货运输。</w:t>
      </w:r>
    </w:p>
    <w:p w14:paraId="35DFBF2F">
      <w:pPr>
        <w:spacing w:line="580" w:lineRule="exact"/>
        <w:ind w:firstLine="640"/>
        <w:jc w:val="both"/>
      </w:pPr>
      <w:r>
        <w:rPr>
          <w:rFonts w:ascii="仿宋_GB2312" w:hAnsi="仿宋_GB2312" w:eastAsia="仿宋_GB2312"/>
          <w:sz w:val="32"/>
        </w:rPr>
        <w:t>（六）指导地区交通运输行业</w:t>
      </w:r>
      <w:r>
        <w:rPr>
          <w:rFonts w:hint="eastAsia" w:ascii="仿宋_GB2312" w:hAnsi="仿宋_GB2312" w:eastAsia="仿宋_GB2312"/>
          <w:sz w:val="32"/>
          <w:lang w:eastAsia="zh-CN"/>
        </w:rPr>
        <w:t>体制改革</w:t>
      </w:r>
      <w:r>
        <w:rPr>
          <w:rFonts w:ascii="仿宋_GB2312" w:hAnsi="仿宋_GB2312" w:eastAsia="仿宋_GB2312"/>
          <w:sz w:val="32"/>
        </w:rPr>
        <w:t>，引导交通运输行业优化结构、协调发展；会同有关部门培育和指导交通运输市场、交通基础设施建设市场，维护地区交通运输行业的平等竞争秩序；监督交通运输行业单位国有资产的管理和保值增值；指导地区交通运输行业保护和节能减排工作。</w:t>
      </w:r>
    </w:p>
    <w:p w14:paraId="7CB5C275">
      <w:pPr>
        <w:spacing w:line="580" w:lineRule="exact"/>
        <w:ind w:firstLine="640"/>
        <w:jc w:val="both"/>
      </w:pPr>
      <w:r>
        <w:rPr>
          <w:rFonts w:ascii="仿宋_GB2312" w:hAnsi="仿宋_GB2312" w:eastAsia="仿宋_GB2312"/>
          <w:sz w:val="32"/>
        </w:rPr>
        <w:t>（七）指导地区农村公路建设市场监管；组织协调公路交通重点工程建设。</w:t>
      </w:r>
    </w:p>
    <w:p w14:paraId="56167019">
      <w:pPr>
        <w:spacing w:line="580" w:lineRule="exact"/>
        <w:ind w:firstLine="640"/>
        <w:jc w:val="both"/>
      </w:pPr>
      <w:r>
        <w:rPr>
          <w:rFonts w:ascii="仿宋_GB2312" w:hAnsi="仿宋_GB2312" w:eastAsia="仿宋_GB2312"/>
          <w:sz w:val="32"/>
        </w:rPr>
        <w:t>（八）承担交通运输行业职工教育和培训工作；负责公路交通运输科技管理和重大科研项目的组织实施。</w:t>
      </w:r>
    </w:p>
    <w:p w14:paraId="2937EC33">
      <w:pPr>
        <w:spacing w:line="580" w:lineRule="exact"/>
        <w:ind w:firstLine="640"/>
        <w:jc w:val="both"/>
      </w:pPr>
      <w:r>
        <w:rPr>
          <w:rFonts w:ascii="仿宋_GB2312" w:hAnsi="仿宋_GB2312" w:eastAsia="仿宋_GB2312"/>
          <w:sz w:val="32"/>
        </w:rPr>
        <w:t>（九）指导地区公路交通运输行业财务、审计和统计工作。</w:t>
      </w:r>
    </w:p>
    <w:p w14:paraId="1DAE5579">
      <w:pPr>
        <w:spacing w:line="580" w:lineRule="exact"/>
        <w:ind w:firstLine="640"/>
        <w:jc w:val="both"/>
      </w:pPr>
      <w:r>
        <w:rPr>
          <w:rFonts w:ascii="仿宋_GB2312" w:hAnsi="仿宋_GB2312" w:eastAsia="仿宋_GB2312"/>
          <w:sz w:val="32"/>
        </w:rPr>
        <w:t>（十）指导监督地区交通运输行业法治宣传、行政、行政应诉、行政执法工作。</w:t>
      </w:r>
    </w:p>
    <w:p w14:paraId="4F763C0E">
      <w:pPr>
        <w:spacing w:line="580" w:lineRule="exact"/>
        <w:ind w:firstLine="640"/>
        <w:jc w:val="both"/>
      </w:pPr>
      <w:r>
        <w:rPr>
          <w:rFonts w:ascii="仿宋_GB2312" w:hAnsi="仿宋_GB2312" w:eastAsia="仿宋_GB2312"/>
          <w:sz w:val="32"/>
        </w:rPr>
        <w:t>（十一）负责地区国防交通战备工作。</w:t>
      </w:r>
    </w:p>
    <w:p w14:paraId="43BD69F9">
      <w:pPr>
        <w:spacing w:line="580" w:lineRule="exact"/>
        <w:ind w:firstLine="640"/>
        <w:jc w:val="both"/>
      </w:pPr>
      <w:r>
        <w:rPr>
          <w:rFonts w:ascii="仿宋_GB2312" w:hAnsi="仿宋_GB2312" w:eastAsia="仿宋_GB2312"/>
          <w:sz w:val="32"/>
        </w:rPr>
        <w:t>（十二）完成地委、行署交办的其他任务。</w:t>
      </w:r>
    </w:p>
    <w:p w14:paraId="38CB7C66">
      <w:pPr>
        <w:spacing w:line="640" w:lineRule="exact"/>
        <w:ind w:firstLine="640"/>
        <w:jc w:val="both"/>
        <w:outlineLvl w:val="2"/>
      </w:pPr>
      <w:r>
        <w:rPr>
          <w:rFonts w:ascii="黑体" w:hAnsi="黑体" w:eastAsia="黑体"/>
          <w:sz w:val="32"/>
        </w:rPr>
        <w:t>二、机构设置及人员情况</w:t>
      </w:r>
    </w:p>
    <w:p w14:paraId="184A8012">
      <w:pPr>
        <w:spacing w:line="580" w:lineRule="exact"/>
        <w:ind w:firstLine="640"/>
        <w:jc w:val="both"/>
      </w:pPr>
      <w:r>
        <w:rPr>
          <w:rFonts w:ascii="仿宋_GB2312" w:hAnsi="仿宋_GB2312" w:eastAsia="仿宋_GB2312"/>
          <w:sz w:val="32"/>
        </w:rPr>
        <w:t>新疆维吾尔自治区喀什地区交通运输局2024年度，实有人数110人，其中：在职人员77人，增加0人；离休人员0人，减少1人；退休人员33人,增加3人。</w:t>
      </w:r>
    </w:p>
    <w:p w14:paraId="3656AA73">
      <w:pPr>
        <w:spacing w:line="580" w:lineRule="exact"/>
        <w:ind w:firstLine="640"/>
        <w:jc w:val="both"/>
      </w:pPr>
      <w:r>
        <w:rPr>
          <w:rFonts w:ascii="仿宋_GB2312" w:hAnsi="仿宋_GB2312" w:eastAsia="仿宋_GB2312"/>
          <w:sz w:val="32"/>
        </w:rPr>
        <w:t>新疆维吾尔自治区喀什地区交通运输局无下属预算单位，下设8个科室，分别是：办公室、政策法规科、综合规划科、运输管理科、财务审计科、公路建设管理科、安全监督科、交通战备科。</w:t>
      </w:r>
    </w:p>
    <w:p w14:paraId="05FD9003">
      <w:r>
        <w:br w:type="page"/>
      </w:r>
    </w:p>
    <w:p w14:paraId="50B2E680">
      <w:pPr>
        <w:spacing w:line="240" w:lineRule="auto"/>
        <w:jc w:val="center"/>
        <w:outlineLvl w:val="1"/>
      </w:pPr>
      <w:r>
        <w:rPr>
          <w:rFonts w:ascii="黑体" w:hAnsi="黑体" w:eastAsia="黑体"/>
          <w:sz w:val="32"/>
        </w:rPr>
        <w:t>第二部分 部门决算情况说明</w:t>
      </w:r>
    </w:p>
    <w:p w14:paraId="18E6EB26">
      <w:pPr>
        <w:spacing w:line="640" w:lineRule="exact"/>
        <w:ind w:firstLine="640"/>
        <w:jc w:val="both"/>
        <w:outlineLvl w:val="2"/>
      </w:pPr>
      <w:r>
        <w:rPr>
          <w:rFonts w:ascii="黑体" w:hAnsi="黑体" w:eastAsia="黑体"/>
          <w:sz w:val="32"/>
        </w:rPr>
        <w:t>一、收入支出决算总体情况说明</w:t>
      </w:r>
    </w:p>
    <w:p w14:paraId="23D238AC">
      <w:pPr>
        <w:spacing w:line="580" w:lineRule="exact"/>
        <w:ind w:firstLine="640"/>
        <w:jc w:val="both"/>
      </w:pPr>
      <w:r>
        <w:rPr>
          <w:rFonts w:ascii="仿宋_GB2312" w:hAnsi="仿宋_GB2312" w:eastAsia="仿宋_GB2312"/>
          <w:b/>
          <w:sz w:val="32"/>
        </w:rPr>
        <w:t>2024年度收入总计69,275.22万元，</w:t>
      </w:r>
      <w:r>
        <w:rPr>
          <w:rFonts w:ascii="仿宋_GB2312" w:hAnsi="仿宋_GB2312" w:eastAsia="仿宋_GB2312"/>
          <w:b w:val="0"/>
          <w:sz w:val="32"/>
        </w:rPr>
        <w:t>其中：本年收入合计69,275.22万元，使用非财政拨款结余（含专用结余）0.00万元，年初结转和结余0.00万元。</w:t>
      </w:r>
    </w:p>
    <w:p w14:paraId="5BD05AA2">
      <w:pPr>
        <w:spacing w:line="580" w:lineRule="exact"/>
        <w:ind w:firstLine="640"/>
        <w:jc w:val="both"/>
      </w:pPr>
      <w:r>
        <w:rPr>
          <w:rFonts w:ascii="仿宋_GB2312" w:hAnsi="仿宋_GB2312" w:eastAsia="仿宋_GB2312"/>
          <w:b/>
          <w:sz w:val="32"/>
        </w:rPr>
        <w:t>2024年度支出总计69,275.22万元，</w:t>
      </w:r>
      <w:r>
        <w:rPr>
          <w:rFonts w:ascii="仿宋_GB2312" w:hAnsi="仿宋_GB2312" w:eastAsia="仿宋_GB2312"/>
          <w:b w:val="0"/>
          <w:sz w:val="32"/>
        </w:rPr>
        <w:t>其中：本年支出合计69,275.22万元，结余分配0.00万元，年末结转和结余0.00万元。</w:t>
      </w:r>
    </w:p>
    <w:p w14:paraId="5276199F">
      <w:pPr>
        <w:spacing w:line="580" w:lineRule="exact"/>
        <w:ind w:firstLine="640"/>
        <w:jc w:val="both"/>
      </w:pPr>
      <w:r>
        <w:rPr>
          <w:rFonts w:ascii="仿宋_GB2312" w:hAnsi="仿宋_GB2312" w:eastAsia="仿宋_GB2312"/>
          <w:b w:val="0"/>
          <w:sz w:val="32"/>
        </w:rPr>
        <w:t>收入支出总体与上年相比，减少84,585.33万元，下降54.98%，主要原因是：本年减少喀什过境段公路项目、恰热克至叶城公路工程项目、岳普湖至英吉沙公路工程项目、喀什经济开发区多式联运海关监管中心建设项目、喀什经济开发区中欧班列南疆集结中心基础设施配套工程、喀什经济开发区多式联运海关监管中心配套基础设施建设项目。</w:t>
      </w:r>
    </w:p>
    <w:p w14:paraId="41FB583E">
      <w:pPr>
        <w:spacing w:line="640" w:lineRule="exact"/>
        <w:ind w:firstLine="640"/>
        <w:jc w:val="both"/>
        <w:outlineLvl w:val="2"/>
      </w:pPr>
      <w:r>
        <w:rPr>
          <w:rFonts w:ascii="黑体" w:hAnsi="黑体" w:eastAsia="黑体"/>
          <w:sz w:val="32"/>
        </w:rPr>
        <w:t>二、收入决算情况说明</w:t>
      </w:r>
    </w:p>
    <w:p w14:paraId="567B38B0">
      <w:pPr>
        <w:spacing w:line="580" w:lineRule="exact"/>
        <w:ind w:firstLine="640"/>
        <w:jc w:val="both"/>
      </w:pPr>
      <w:r>
        <w:rPr>
          <w:rFonts w:ascii="仿宋_GB2312" w:hAnsi="仿宋_GB2312" w:eastAsia="仿宋_GB2312"/>
          <w:b/>
          <w:sz w:val="32"/>
        </w:rPr>
        <w:t>本年收入69,275.22万元，</w:t>
      </w:r>
      <w:r>
        <w:rPr>
          <w:rFonts w:ascii="仿宋_GB2312" w:hAnsi="仿宋_GB2312" w:eastAsia="仿宋_GB2312"/>
          <w:b w:val="0"/>
          <w:sz w:val="32"/>
        </w:rPr>
        <w:t>其中：财政拨款收入69,275.22万元，占100.00%；上级补助收入0.00万元，占0.00%；事业收入0.00万元，占0.00%；经营收入0.00万元，占0.00%；附属单位上缴收入0.00万元，占0.00%；其他收入0.00万元，占0.00%。</w:t>
      </w:r>
    </w:p>
    <w:p w14:paraId="0125C98C">
      <w:pPr>
        <w:spacing w:line="640" w:lineRule="exact"/>
        <w:ind w:firstLine="640"/>
        <w:jc w:val="both"/>
        <w:outlineLvl w:val="2"/>
      </w:pPr>
      <w:r>
        <w:rPr>
          <w:rFonts w:ascii="黑体" w:hAnsi="黑体" w:eastAsia="黑体"/>
          <w:sz w:val="32"/>
        </w:rPr>
        <w:t>三、支出决算情况说明</w:t>
      </w:r>
    </w:p>
    <w:p w14:paraId="52E1137D">
      <w:pPr>
        <w:spacing w:line="580" w:lineRule="exact"/>
        <w:ind w:firstLine="640"/>
        <w:jc w:val="both"/>
      </w:pPr>
      <w:r>
        <w:rPr>
          <w:rFonts w:ascii="仿宋_GB2312" w:hAnsi="仿宋_GB2312" w:eastAsia="仿宋_GB2312"/>
          <w:b/>
          <w:sz w:val="32"/>
        </w:rPr>
        <w:t>本年支出69,275.22万元，</w:t>
      </w:r>
      <w:r>
        <w:rPr>
          <w:rFonts w:ascii="仿宋_GB2312" w:hAnsi="仿宋_GB2312" w:eastAsia="仿宋_GB2312"/>
          <w:b w:val="0"/>
          <w:sz w:val="32"/>
        </w:rPr>
        <w:t>其中：基本支出1,753.62万元，占2.53%；项目支出67,521.60万元，占97.47%；上缴上级支出0.00万元，占0.00%；经营支出0.00万元，占0.00%；对附属单位补助支出0.00万元，占0.00%。</w:t>
      </w:r>
    </w:p>
    <w:p w14:paraId="69C3A0F3">
      <w:pPr>
        <w:spacing w:line="640" w:lineRule="exact"/>
        <w:ind w:firstLine="640"/>
        <w:jc w:val="both"/>
        <w:outlineLvl w:val="2"/>
      </w:pPr>
      <w:r>
        <w:rPr>
          <w:rFonts w:ascii="黑体" w:hAnsi="黑体" w:eastAsia="黑体"/>
          <w:sz w:val="32"/>
        </w:rPr>
        <w:t>四、财政拨款收入支出决算总体情况说明</w:t>
      </w:r>
    </w:p>
    <w:p w14:paraId="33C5CD7C">
      <w:pPr>
        <w:spacing w:line="580" w:lineRule="exact"/>
        <w:ind w:firstLine="640"/>
        <w:jc w:val="both"/>
      </w:pPr>
      <w:r>
        <w:rPr>
          <w:rFonts w:ascii="仿宋_GB2312" w:hAnsi="仿宋_GB2312" w:eastAsia="仿宋_GB2312"/>
          <w:b/>
          <w:sz w:val="32"/>
        </w:rPr>
        <w:t>2024年度财政拨款收入总计69,275.22万元，</w:t>
      </w:r>
      <w:r>
        <w:rPr>
          <w:rFonts w:ascii="仿宋_GB2312" w:hAnsi="仿宋_GB2312" w:eastAsia="仿宋_GB2312"/>
          <w:b w:val="0"/>
          <w:sz w:val="32"/>
        </w:rPr>
        <w:t>其中：年初财政拨款结转和结余0.00万元，本年财政拨款收入69,275.22万元。</w:t>
      </w:r>
      <w:r>
        <w:rPr>
          <w:rFonts w:ascii="仿宋_GB2312" w:hAnsi="仿宋_GB2312" w:eastAsia="仿宋_GB2312"/>
          <w:b/>
          <w:sz w:val="32"/>
        </w:rPr>
        <w:t>财政拨款支出总计69,275.22万元，</w:t>
      </w:r>
      <w:r>
        <w:rPr>
          <w:rFonts w:ascii="仿宋_GB2312" w:hAnsi="仿宋_GB2312" w:eastAsia="仿宋_GB2312"/>
          <w:b w:val="0"/>
          <w:sz w:val="32"/>
        </w:rPr>
        <w:t>其中：年末财政拨款结转和结余0.00万元，本年财政拨款支出69,275.22万元。</w:t>
      </w:r>
    </w:p>
    <w:p w14:paraId="01227D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84,585.33万元，下降54.98%，主要原因是：本年减少喀什过境段公路项目、恰热克至叶城公路工程项目、岳普湖至英吉沙公路工程项目、喀什经济开发区多式联运海关监管中心建设项目、喀什经济开发区中欧班列南疆集结中心基础设施配套工程、喀什经济开发区多式联运海关监管中心配套基础设施建设项目。</w:t>
      </w:r>
      <w:r>
        <w:rPr>
          <w:rFonts w:ascii="仿宋_GB2312" w:hAnsi="仿宋_GB2312" w:eastAsia="仿宋_GB2312"/>
          <w:b/>
          <w:sz w:val="32"/>
        </w:rPr>
        <w:t>与年初预算相比，</w:t>
      </w:r>
      <w:r>
        <w:rPr>
          <w:rFonts w:ascii="仿宋_GB2312" w:hAnsi="仿宋_GB2312" w:eastAsia="仿宋_GB2312"/>
          <w:b w:val="0"/>
          <w:sz w:val="32"/>
        </w:rPr>
        <w:t>年初预算数120,194.35万元，决算数69,275.22万元，预决算差异率-42.36%，主要原因是：年中调减喀什过境段公路项目、恰热克至叶城公路工程项目、岳普湖至英吉沙公路工程项目、喀什经济开发区多式联运海关监管中心建设项目、喀什经济开发区中欧班列南疆集结中心基础设施配套工程、喀什经济开发区多式联运海关监管中心配套基础设施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7266BF2E">
      <w:pPr>
        <w:spacing w:line="640" w:lineRule="exact"/>
        <w:ind w:firstLine="640"/>
        <w:jc w:val="both"/>
        <w:outlineLvl w:val="2"/>
      </w:pPr>
      <w:r>
        <w:rPr>
          <w:rFonts w:ascii="黑体" w:hAnsi="黑体" w:eastAsia="黑体"/>
          <w:sz w:val="32"/>
        </w:rPr>
        <w:t>五、一般公共预算财政拨款支出决算情况说明</w:t>
      </w:r>
    </w:p>
    <w:p w14:paraId="397F562D">
      <w:pPr>
        <w:spacing w:line="640" w:lineRule="exact"/>
        <w:ind w:firstLine="640"/>
        <w:jc w:val="both"/>
        <w:outlineLvl w:val="3"/>
      </w:pPr>
      <w:r>
        <w:rPr>
          <w:rFonts w:ascii="楷体_GB2312" w:hAnsi="楷体_GB2312" w:eastAsia="楷体_GB2312"/>
          <w:b/>
          <w:sz w:val="32"/>
        </w:rPr>
        <w:t>（一）一般公共预算财政拨款支出决算总体情况</w:t>
      </w:r>
    </w:p>
    <w:p w14:paraId="172964E7">
      <w:pPr>
        <w:spacing w:line="580" w:lineRule="exact"/>
        <w:ind w:firstLine="640"/>
        <w:jc w:val="both"/>
      </w:pPr>
      <w:r>
        <w:rPr>
          <w:rFonts w:ascii="仿宋_GB2312" w:hAnsi="仿宋_GB2312" w:eastAsia="仿宋_GB2312"/>
          <w:b/>
          <w:sz w:val="32"/>
        </w:rPr>
        <w:t>2024年度一般公共预算财政拨款支出69,275.22万元，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84,585.33万元，下降54.98%，主要原因是：本年减少喀什过境段公路项目、恰热克至叶城公路工程项目、岳普湖至英吉沙公路工程项目、喀什经济开发区多式联运海关监管中心建设项目、喀什经济开发区中欧班列南疆集结中心基础设施配套工程、喀什经济开发区多式联运海关监管中心配套基础设施建设项目。</w:t>
      </w:r>
      <w:r>
        <w:rPr>
          <w:rFonts w:ascii="仿宋_GB2312" w:hAnsi="仿宋_GB2312" w:eastAsia="仿宋_GB2312"/>
          <w:b/>
          <w:sz w:val="32"/>
        </w:rPr>
        <w:t>与年初预算相比,</w:t>
      </w:r>
      <w:r>
        <w:rPr>
          <w:rFonts w:ascii="仿宋_GB2312" w:hAnsi="仿宋_GB2312" w:eastAsia="仿宋_GB2312"/>
          <w:b w:val="0"/>
          <w:sz w:val="32"/>
        </w:rPr>
        <w:t>年初预算数120,194.35万元，决算数69,275.22万元，预决算差异率-42.36%，主要原因是：年中调减喀什过境段公路项目、恰热克至叶城公路工程项目、岳普湖至英吉沙公路工程项目、喀什经济开发区多式联运海关监管中心建设项目、喀什经济开发区中欧班列南疆集结中心基础设施配套工程、喀什经济开发区多式联运海关监管中心配套基础设施建设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418F03C">
      <w:pPr>
        <w:spacing w:line="640" w:lineRule="exact"/>
        <w:ind w:firstLine="640"/>
        <w:jc w:val="both"/>
        <w:outlineLvl w:val="3"/>
      </w:pPr>
      <w:r>
        <w:rPr>
          <w:rFonts w:ascii="楷体_GB2312" w:hAnsi="楷体_GB2312" w:eastAsia="楷体_GB2312"/>
          <w:b/>
          <w:sz w:val="32"/>
        </w:rPr>
        <w:t>（二）一般公共预算财政拨款支出决算结构情况</w:t>
      </w:r>
    </w:p>
    <w:p w14:paraId="2757881A">
      <w:pPr>
        <w:spacing w:line="580" w:lineRule="exact"/>
        <w:ind w:firstLine="640"/>
        <w:jc w:val="both"/>
      </w:pPr>
      <w:r>
        <w:rPr>
          <w:rFonts w:ascii="仿宋_GB2312" w:hAnsi="仿宋_GB2312" w:eastAsia="仿宋_GB2312"/>
          <w:b w:val="0"/>
          <w:sz w:val="32"/>
        </w:rPr>
        <w:t>1.一般公共服务支出(类)4.24万元,占0.006%。</w:t>
      </w:r>
    </w:p>
    <w:p w14:paraId="3CB1236E">
      <w:pPr>
        <w:spacing w:line="580" w:lineRule="exact"/>
        <w:ind w:firstLine="640"/>
        <w:jc w:val="both"/>
      </w:pPr>
      <w:r>
        <w:rPr>
          <w:rFonts w:ascii="仿宋_GB2312" w:hAnsi="仿宋_GB2312" w:eastAsia="仿宋_GB2312"/>
          <w:b w:val="0"/>
          <w:sz w:val="32"/>
        </w:rPr>
        <w:t>2.社会保障和就业支出(类)266.10万元,占0.38%。</w:t>
      </w:r>
    </w:p>
    <w:p w14:paraId="68033EF6">
      <w:pPr>
        <w:spacing w:line="580" w:lineRule="exact"/>
        <w:ind w:firstLine="640"/>
        <w:jc w:val="both"/>
      </w:pPr>
      <w:r>
        <w:rPr>
          <w:rFonts w:ascii="仿宋_GB2312" w:hAnsi="仿宋_GB2312" w:eastAsia="仿宋_GB2312"/>
          <w:b w:val="0"/>
          <w:sz w:val="32"/>
        </w:rPr>
        <w:t>3.卫生健康支出(类)70.56万元,占0.10%。</w:t>
      </w:r>
    </w:p>
    <w:p w14:paraId="62B87904">
      <w:pPr>
        <w:spacing w:line="580" w:lineRule="exact"/>
        <w:ind w:firstLine="640"/>
        <w:jc w:val="both"/>
      </w:pPr>
      <w:r>
        <w:rPr>
          <w:rFonts w:ascii="仿宋_GB2312" w:hAnsi="仿宋_GB2312" w:eastAsia="仿宋_GB2312"/>
          <w:b w:val="0"/>
          <w:sz w:val="32"/>
        </w:rPr>
        <w:t>4.交通运输支出(类)68,810.25万元,占99.33%。</w:t>
      </w:r>
    </w:p>
    <w:p w14:paraId="533991D7">
      <w:pPr>
        <w:spacing w:line="580" w:lineRule="exact"/>
        <w:ind w:firstLine="640"/>
        <w:jc w:val="both"/>
      </w:pPr>
      <w:r>
        <w:rPr>
          <w:rFonts w:ascii="仿宋_GB2312" w:hAnsi="仿宋_GB2312" w:eastAsia="仿宋_GB2312"/>
          <w:b w:val="0"/>
          <w:sz w:val="32"/>
        </w:rPr>
        <w:t>5.住房保障支出(类)121.07万元,占0.17%。</w:t>
      </w:r>
    </w:p>
    <w:p w14:paraId="32250C03">
      <w:pPr>
        <w:spacing w:line="580" w:lineRule="exact"/>
        <w:ind w:firstLine="640"/>
        <w:jc w:val="both"/>
      </w:pPr>
      <w:r>
        <w:rPr>
          <w:rFonts w:ascii="仿宋_GB2312" w:hAnsi="仿宋_GB2312" w:eastAsia="仿宋_GB2312"/>
          <w:b w:val="0"/>
          <w:sz w:val="32"/>
        </w:rPr>
        <w:t>6.灾害防治及应急管理支出(类)3.00万元,占0.004%。</w:t>
      </w:r>
    </w:p>
    <w:p w14:paraId="1EF84A13">
      <w:pPr>
        <w:spacing w:line="640" w:lineRule="exact"/>
        <w:ind w:firstLine="640"/>
        <w:jc w:val="both"/>
        <w:outlineLvl w:val="3"/>
      </w:pPr>
      <w:r>
        <w:rPr>
          <w:rFonts w:ascii="楷体_GB2312" w:hAnsi="楷体_GB2312" w:eastAsia="楷体_GB2312"/>
          <w:b/>
          <w:sz w:val="32"/>
        </w:rPr>
        <w:t>（三）一般公共预算财政拨款支出决算具体情况</w:t>
      </w:r>
    </w:p>
    <w:p w14:paraId="2CA79CCE">
      <w:pPr>
        <w:spacing w:line="580" w:lineRule="exact"/>
        <w:ind w:firstLine="640"/>
        <w:jc w:val="both"/>
      </w:pPr>
      <w:r>
        <w:rPr>
          <w:rFonts w:ascii="仿宋_GB2312" w:hAnsi="仿宋_GB2312" w:eastAsia="仿宋_GB2312"/>
          <w:b w:val="0"/>
          <w:sz w:val="32"/>
        </w:rPr>
        <w:t>1.一般公共服务支出(类)统战事务(款)宗教事务(项):支出决算数为4.24万元，比上年决算增加3.26万元，增长332.65%,主要原因是：本年增加专项项目经费，导致经费较上年增加。</w:t>
      </w:r>
    </w:p>
    <w:p w14:paraId="18B6378A">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2.社会保障和就业支出(类)行政事业单位养老支出(款)行政单位离退休(项):支出决算数为61.37万元，比上年决算增加2.85万元，增长4.87%,主要原因是：本年新增退休人员，补发退休人员绩效，导致退休费较上年增加。</w:t>
      </w:r>
    </w:p>
    <w:p w14:paraId="0476E58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3.社会保障和就业支出(类)行政事业单位养老支出(款)机关事业单位基本养老保险缴费支出(项):支出决算数为140.27万元，比上年决算增加27.80万元，增长24.72%,主要原因是：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人员工资调增，社保缴费基数提高，基本养老保险缴费支出增加。</w:t>
      </w:r>
    </w:p>
    <w:p w14:paraId="742585A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29.44万元，比上年决算减少90.64万元，下降75.48%,主要原因是：上年补缴机构改革人员职业年金，本年无补缴，导致职业年金缴费支出较上年减少。</w:t>
      </w:r>
    </w:p>
    <w:p w14:paraId="0642302F">
      <w:pPr>
        <w:spacing w:line="580" w:lineRule="exact"/>
        <w:ind w:firstLine="640"/>
        <w:jc w:val="both"/>
      </w:pPr>
      <w:r>
        <w:rPr>
          <w:rFonts w:ascii="仿宋_GB2312" w:hAnsi="仿宋_GB2312" w:eastAsia="仿宋_GB2312"/>
          <w:b w:val="0"/>
          <w:sz w:val="32"/>
        </w:rPr>
        <w:t>5.社会保障和就业支出(类)抚恤(款)死亡抚恤(项):支出决算数为35.02万元，比上年决算增加35.02万元，增长100.00%,主要原因是：本年新增死亡人员，死亡抚恤支出增加。</w:t>
      </w:r>
    </w:p>
    <w:p w14:paraId="53F98F30">
      <w:pPr>
        <w:spacing w:line="580" w:lineRule="exact"/>
        <w:ind w:firstLine="640"/>
        <w:jc w:val="both"/>
      </w:pPr>
      <w:r>
        <w:rPr>
          <w:rFonts w:ascii="仿宋_GB2312" w:hAnsi="仿宋_GB2312" w:eastAsia="仿宋_GB2312"/>
          <w:b w:val="0"/>
          <w:sz w:val="32"/>
        </w:rPr>
        <w:t>6.卫生健康支出(类)行政事业单位医疗(款)行政单位医疗(项):支出决算数为59.63万元，比上年决算增加16.87万元，增长39.45%,主要原因是：本年在职人员工资基数调增，医疗缴费基数提高，相应支出增加。</w:t>
      </w:r>
    </w:p>
    <w:p w14:paraId="33856883">
      <w:pPr>
        <w:spacing w:line="580" w:lineRule="exact"/>
        <w:ind w:firstLine="640"/>
        <w:jc w:val="both"/>
      </w:pPr>
      <w:r>
        <w:rPr>
          <w:rFonts w:ascii="仿宋_GB2312" w:hAnsi="仿宋_GB2312" w:eastAsia="仿宋_GB2312"/>
          <w:b w:val="0"/>
          <w:sz w:val="32"/>
        </w:rPr>
        <w:t>7.卫生健康支出(类)行政事业单位医疗(款)公务员医疗补助(项):支出决算数为10.94万元，</w:t>
      </w:r>
      <w:bookmarkStart w:id="0" w:name="_GoBack"/>
      <w:bookmarkEnd w:id="0"/>
      <w:r>
        <w:rPr>
          <w:rFonts w:ascii="仿宋_GB2312" w:hAnsi="仿宋_GB2312" w:eastAsia="仿宋_GB2312"/>
          <w:b w:val="0"/>
          <w:sz w:val="32"/>
        </w:rPr>
        <w:t>比上年决算增加5.60万元，增长104.87%,主要原因是：本年在职人员工资基数调增，医疗补助基数提高，相应支出增加。</w:t>
      </w:r>
    </w:p>
    <w:p w14:paraId="392BFEAB">
      <w:pPr>
        <w:spacing w:line="580" w:lineRule="exact"/>
        <w:ind w:firstLine="640"/>
        <w:jc w:val="both"/>
      </w:pPr>
      <w:r>
        <w:rPr>
          <w:rFonts w:ascii="仿宋_GB2312" w:hAnsi="仿宋_GB2312" w:eastAsia="仿宋_GB2312"/>
          <w:b w:val="0"/>
          <w:sz w:val="32"/>
        </w:rPr>
        <w:t>8.交通运输支出(类)公路水路运输(款)行政运行(项):支出决算数为1,291.66万元，比上年决算增加3.03万元，增长0.24%,主要原因是：本年在职人员工资调薪，工资等相关人员经费增加，导致经费较上年增加。</w:t>
      </w:r>
    </w:p>
    <w:p w14:paraId="206E659A">
      <w:pPr>
        <w:spacing w:line="580" w:lineRule="exact"/>
        <w:ind w:firstLine="640"/>
        <w:jc w:val="both"/>
      </w:pPr>
      <w:r>
        <w:rPr>
          <w:rFonts w:ascii="仿宋_GB2312" w:hAnsi="仿宋_GB2312" w:eastAsia="仿宋_GB2312"/>
          <w:b w:val="0"/>
          <w:sz w:val="32"/>
        </w:rPr>
        <w:t>9.交通运输支出(类)公路水路运输(款)一般行政管理事务(项):支出决算数为168.41万元，比上年决算增加48.98万元，增长41.01%,主要原因是：本年增加工作专项经费项目、交通基础设施建设协调、监督和管理项目等支出。</w:t>
      </w:r>
    </w:p>
    <w:p w14:paraId="0C841EFB">
      <w:pPr>
        <w:spacing w:line="580" w:lineRule="exact"/>
        <w:ind w:firstLine="640"/>
        <w:jc w:val="both"/>
      </w:pPr>
      <w:r>
        <w:rPr>
          <w:rFonts w:ascii="仿宋_GB2312" w:hAnsi="仿宋_GB2312" w:eastAsia="仿宋_GB2312"/>
          <w:b w:val="0"/>
          <w:sz w:val="32"/>
        </w:rPr>
        <w:t>10.交通运输支出(类)公路水路运输(款)公路建设(项):支出决算数为67,348.08万元，比上年决算增加67,348.08万元，增长100.00%,主要原因是：本年增加喀什过境段公路项目、恰热克至叶城公路工程项目、岳普湖至英吉沙公路工程项目。</w:t>
      </w:r>
    </w:p>
    <w:p w14:paraId="5AD96026">
      <w:pPr>
        <w:spacing w:line="580" w:lineRule="exact"/>
        <w:ind w:firstLine="640"/>
        <w:jc w:val="both"/>
      </w:pPr>
      <w:r>
        <w:rPr>
          <w:rFonts w:ascii="仿宋_GB2312" w:hAnsi="仿宋_GB2312" w:eastAsia="仿宋_GB2312"/>
          <w:b w:val="0"/>
          <w:sz w:val="32"/>
        </w:rPr>
        <w:t>11.交通运输支出(类)公路水路运输(款)其他公路水路运输支出(项):支出决算数为2.11万元，比上年决算增加2.11万元，增长100.00%,主要原因是：本年专项项目经费增加，导致此科目经费增加。</w:t>
      </w:r>
    </w:p>
    <w:p w14:paraId="4532A753">
      <w:pPr>
        <w:spacing w:line="580" w:lineRule="exact"/>
        <w:ind w:firstLine="640"/>
        <w:jc w:val="both"/>
      </w:pPr>
      <w:r>
        <w:rPr>
          <w:rFonts w:ascii="仿宋_GB2312" w:hAnsi="仿宋_GB2312" w:eastAsia="仿宋_GB2312"/>
          <w:b w:val="0"/>
          <w:sz w:val="32"/>
        </w:rPr>
        <w:t>12.交通运输支出(类)车辆购置税支出(款)车辆购置税用于公路等基础设施建设支出(项):支出决算数为0.00万元，比上年决算减少139,954.53万元，下降100.00%,主要原因是：本年减少喀什过境段公路项目、恰热克至叶城公路工程项目、岳普湖至英吉沙公路工程项目。</w:t>
      </w:r>
    </w:p>
    <w:p w14:paraId="038F1209">
      <w:pPr>
        <w:spacing w:line="580" w:lineRule="exact"/>
        <w:ind w:firstLine="640"/>
        <w:jc w:val="both"/>
      </w:pPr>
      <w:r>
        <w:rPr>
          <w:rFonts w:ascii="仿宋_GB2312" w:hAnsi="仿宋_GB2312" w:eastAsia="仿宋_GB2312"/>
          <w:b w:val="0"/>
          <w:sz w:val="32"/>
        </w:rPr>
        <w:t>13.住房保障支出(类)住房改革支出(款)住房公积金(项):支出决算数为121.07万元，比上年决算增加12.63万元，增长11.65%,主要原因是：本年在职人员工资基数调增，公积金缴费基数上涨，相应支出增加。</w:t>
      </w:r>
    </w:p>
    <w:p w14:paraId="5883B26C">
      <w:pPr>
        <w:spacing w:line="580" w:lineRule="exact"/>
        <w:ind w:firstLine="640"/>
        <w:jc w:val="both"/>
      </w:pPr>
      <w:r>
        <w:rPr>
          <w:rFonts w:ascii="仿宋_GB2312" w:hAnsi="仿宋_GB2312" w:eastAsia="仿宋_GB2312"/>
          <w:b w:val="0"/>
          <w:sz w:val="32"/>
        </w:rPr>
        <w:t>14.灾害防治及应急管理支出(类)应急管理事务(款)灾害风险防治(项):支出决算数为0.00万元，比上年决算减少3.31万元，下降100.00%,主要原因是：本年减少自治区第一次全国自然灾害综合风险普查项目。</w:t>
      </w:r>
    </w:p>
    <w:p w14:paraId="6BD77F1F">
      <w:pPr>
        <w:spacing w:line="580" w:lineRule="exact"/>
        <w:ind w:firstLine="640"/>
        <w:jc w:val="both"/>
      </w:pPr>
      <w:r>
        <w:rPr>
          <w:rFonts w:ascii="仿宋_GB2312" w:hAnsi="仿宋_GB2312" w:eastAsia="仿宋_GB2312"/>
          <w:b w:val="0"/>
          <w:sz w:val="32"/>
        </w:rPr>
        <w:t>15.灾害防治及应急管理支出(类)应急管理事务(款)安全监管(项):支出决算数为3.00万元，比上年决算增加3.00万元，增长100.00%,主要原因是：本年专项项目经费增加，导致此科目经费增加。</w:t>
      </w:r>
    </w:p>
    <w:p w14:paraId="59759322">
      <w:pPr>
        <w:spacing w:line="580" w:lineRule="exact"/>
        <w:ind w:firstLine="640"/>
        <w:jc w:val="both"/>
      </w:pPr>
      <w:r>
        <w:rPr>
          <w:rFonts w:ascii="仿宋_GB2312" w:hAnsi="仿宋_GB2312" w:eastAsia="仿宋_GB2312"/>
          <w:b w:val="0"/>
          <w:sz w:val="32"/>
        </w:rPr>
        <w:t>16.其他支出(类)其他支出(款)其他支出(项):支出决算数为0.00万元，比上年决算减少12,046.06万元，下降100.00%,主要原因是：本年减少喀什经济开发区多式联运海关监管中心建设项目、喀什经济开发区中欧班列南疆集结中心基础设施配套工程、喀什经济开发区多式联运海关监管中心配套基础设施建设项目。</w:t>
      </w:r>
    </w:p>
    <w:p w14:paraId="674AA679">
      <w:pPr>
        <w:spacing w:line="640" w:lineRule="exact"/>
        <w:ind w:firstLine="640"/>
        <w:jc w:val="both"/>
        <w:outlineLvl w:val="2"/>
      </w:pPr>
      <w:r>
        <w:rPr>
          <w:rFonts w:ascii="黑体" w:hAnsi="黑体" w:eastAsia="黑体"/>
          <w:sz w:val="32"/>
        </w:rPr>
        <w:t>六、一般公共预算财政拨款基本支出决算情况说明</w:t>
      </w:r>
    </w:p>
    <w:p w14:paraId="71B90173">
      <w:pPr>
        <w:spacing w:line="580" w:lineRule="exact"/>
        <w:ind w:firstLine="640"/>
        <w:jc w:val="both"/>
      </w:pPr>
      <w:r>
        <w:rPr>
          <w:rFonts w:ascii="仿宋_GB2312" w:hAnsi="仿宋_GB2312" w:eastAsia="仿宋_GB2312"/>
          <w:b w:val="0"/>
          <w:sz w:val="32"/>
        </w:rPr>
        <w:t>2024年度一般公共预算财政拨款基本支出1,753.62万元，其中：</w:t>
      </w:r>
      <w:r>
        <w:rPr>
          <w:rFonts w:ascii="仿宋_GB2312" w:hAnsi="仿宋_GB2312" w:eastAsia="仿宋_GB2312"/>
          <w:b/>
          <w:sz w:val="32"/>
        </w:rPr>
        <w:t>人员经费1,652.61万元，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21BA913E">
      <w:pPr>
        <w:spacing w:line="580" w:lineRule="exact"/>
        <w:ind w:firstLine="640"/>
        <w:jc w:val="both"/>
      </w:pPr>
      <w:r>
        <w:rPr>
          <w:rFonts w:ascii="仿宋_GB2312" w:hAnsi="仿宋_GB2312" w:eastAsia="仿宋_GB2312"/>
          <w:b/>
          <w:sz w:val="32"/>
        </w:rPr>
        <w:t>公用经费101.01万元，</w:t>
      </w:r>
      <w:r>
        <w:rPr>
          <w:rFonts w:ascii="仿宋_GB2312" w:hAnsi="仿宋_GB2312" w:eastAsia="仿宋_GB2312"/>
          <w:b w:val="0"/>
          <w:sz w:val="32"/>
        </w:rPr>
        <w:t>包括：办公费、水费、电费、邮电费、取暖费、差旅费、专用材料费、工会经费、公务用车运行维护费、其他交通费用、其他商品和服务支出。</w:t>
      </w:r>
    </w:p>
    <w:p w14:paraId="69FDE5D0">
      <w:pPr>
        <w:spacing w:line="640" w:lineRule="exact"/>
        <w:ind w:firstLine="640"/>
        <w:jc w:val="both"/>
        <w:outlineLvl w:val="2"/>
      </w:pPr>
      <w:r>
        <w:rPr>
          <w:rFonts w:ascii="黑体" w:hAnsi="黑体" w:eastAsia="黑体"/>
          <w:sz w:val="32"/>
        </w:rPr>
        <w:t>七、政府性基金预算财政拨款收入支出决算情况说明</w:t>
      </w:r>
    </w:p>
    <w:p w14:paraId="366FD08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3611917C">
      <w:pPr>
        <w:spacing w:line="640" w:lineRule="exact"/>
        <w:ind w:firstLine="640"/>
        <w:jc w:val="both"/>
        <w:outlineLvl w:val="2"/>
      </w:pPr>
      <w:r>
        <w:rPr>
          <w:rFonts w:ascii="黑体" w:hAnsi="黑体" w:eastAsia="黑体"/>
          <w:sz w:val="32"/>
        </w:rPr>
        <w:t>八、国有资本经营预算财政拨款收入支出决算情况说明</w:t>
      </w:r>
    </w:p>
    <w:p w14:paraId="0E73396C">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850890E">
      <w:pPr>
        <w:spacing w:line="640" w:lineRule="exact"/>
        <w:ind w:firstLine="640"/>
        <w:jc w:val="both"/>
        <w:outlineLvl w:val="2"/>
      </w:pPr>
      <w:r>
        <w:rPr>
          <w:rFonts w:ascii="黑体" w:hAnsi="黑体" w:eastAsia="黑体"/>
          <w:sz w:val="32"/>
        </w:rPr>
        <w:t>九、财政拨款“三公”经费支出决算情况说明</w:t>
      </w:r>
    </w:p>
    <w:p w14:paraId="0AA64BE3">
      <w:pPr>
        <w:spacing w:line="580" w:lineRule="exact"/>
        <w:ind w:firstLine="640"/>
        <w:jc w:val="both"/>
      </w:pPr>
      <w:r>
        <w:rPr>
          <w:rFonts w:ascii="仿宋_GB2312" w:hAnsi="仿宋_GB2312" w:eastAsia="仿宋_GB2312"/>
          <w:b/>
          <w:sz w:val="32"/>
        </w:rPr>
        <w:t>2024年度财政拨款“三公”经费支出15.42万元，</w:t>
      </w:r>
      <w:r>
        <w:rPr>
          <w:rFonts w:ascii="仿宋_GB2312" w:hAnsi="仿宋_GB2312" w:eastAsia="仿宋_GB2312"/>
          <w:b w:val="0"/>
          <w:sz w:val="32"/>
        </w:rPr>
        <w:t>比上年减少6.18万元，下降28.61%，主要原因是：严格执行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支出0.00万元，占0.00%，比上年增加0.00万元，增长0.00%，主要原因是：2023年与2024年均未安排因公出国（境）费支出。公务用车购置及运行维护费支出15.42万元，占100.00%，比上年减少6.18万元，下降28.61%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八项规定，厉行节约，减少公务用车运行维护费。公务接待费支出0.00万元，占0.00%，比上年增加0.00万元，增长0.00%，主要原因是：2023年与2024年均未安排公务接待费支出。</w:t>
      </w:r>
    </w:p>
    <w:p w14:paraId="37BAEAE0">
      <w:pPr>
        <w:spacing w:line="580" w:lineRule="exact"/>
        <w:ind w:firstLine="640"/>
        <w:jc w:val="both"/>
      </w:pPr>
      <w:r>
        <w:rPr>
          <w:rFonts w:ascii="仿宋_GB2312" w:hAnsi="仿宋_GB2312" w:eastAsia="仿宋_GB2312"/>
          <w:b/>
          <w:sz w:val="32"/>
        </w:rPr>
        <w:t>具体情况如下：</w:t>
      </w:r>
    </w:p>
    <w:p w14:paraId="73FAC19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5091B0C8">
      <w:pPr>
        <w:spacing w:line="580" w:lineRule="exact"/>
        <w:ind w:firstLine="640"/>
        <w:jc w:val="both"/>
      </w:pPr>
      <w:r>
        <w:rPr>
          <w:rFonts w:ascii="仿宋_GB2312" w:hAnsi="仿宋_GB2312" w:eastAsia="仿宋_GB2312"/>
          <w:b w:val="0"/>
          <w:sz w:val="32"/>
        </w:rPr>
        <w:t>公务用车购置及运行维护费15.42万元，其中：公务用车购置费0.00万元，公务用车运行维护费15.42万元。公务用车运行维护费开支内容包括车辆燃油费、保险费、维修维护费、过路费。公务用车购置数0辆，公务用车保有量13辆。国有资产占用情况中固定资产车辆13辆，与公务用车保有量差异原因是：本部门固定资产车辆与公务用车保有量一致无差异。</w:t>
      </w:r>
    </w:p>
    <w:p w14:paraId="7DF7E33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018438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财政拨款“三公”经费支出全年预算数21.60万元，决算数15.42万元，预决算差异率-28.61%，主要原因是：严格执行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21.60万元，决算数15.42万元，预决算差异率-28.61%，主要原因是：严格执行</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八项规定，厉行节约，减少公务用车运行维护费。公务接待费全年预算数0.00万元，决算数0.00万元，预决算差异率0.00%，主要原因是：本部门无公务接待费。</w:t>
      </w:r>
    </w:p>
    <w:p w14:paraId="46D7468F">
      <w:pPr>
        <w:spacing w:line="640" w:lineRule="exact"/>
        <w:ind w:firstLine="640"/>
        <w:jc w:val="both"/>
        <w:outlineLvl w:val="2"/>
      </w:pPr>
      <w:r>
        <w:rPr>
          <w:rFonts w:ascii="黑体" w:hAnsi="黑体" w:eastAsia="黑体"/>
          <w:sz w:val="32"/>
        </w:rPr>
        <w:t>十、其他重要事项的情况说明</w:t>
      </w:r>
    </w:p>
    <w:p w14:paraId="1E4DE660">
      <w:pPr>
        <w:spacing w:line="640" w:lineRule="exact"/>
        <w:ind w:firstLine="640"/>
        <w:jc w:val="both"/>
        <w:outlineLvl w:val="3"/>
      </w:pPr>
      <w:r>
        <w:rPr>
          <w:rFonts w:ascii="楷体_GB2312" w:hAnsi="楷体_GB2312" w:eastAsia="楷体_GB2312"/>
          <w:b/>
          <w:sz w:val="32"/>
        </w:rPr>
        <w:t>（一）机关运行经费及公用经费支出情况</w:t>
      </w:r>
    </w:p>
    <w:p w14:paraId="7D7ECCF0">
      <w:pPr>
        <w:spacing w:line="580" w:lineRule="exact"/>
        <w:ind w:firstLine="640"/>
        <w:jc w:val="both"/>
      </w:pPr>
      <w:r>
        <w:rPr>
          <w:rFonts w:ascii="仿宋_GB2312" w:hAnsi="仿宋_GB2312" w:eastAsia="仿宋_GB2312"/>
          <w:b w:val="0"/>
          <w:sz w:val="32"/>
        </w:rPr>
        <w:t>2024年度新疆维吾尔自治区喀什地区交通运输局（行政单位和参照公务员法管理事业单位）机关运行经费支出101.01万元，比上年增加16.12万元，增长18.99%，主要原因是：本年</w:t>
      </w:r>
      <w:r>
        <w:rPr>
          <w:rFonts w:hint="eastAsia" w:ascii="仿宋_GB2312" w:hAnsi="仿宋_GB2312" w:eastAsia="仿宋_GB2312"/>
          <w:b w:val="0"/>
          <w:sz w:val="32"/>
          <w:lang w:val="en-US" w:eastAsia="zh-CN"/>
        </w:rPr>
        <w:t>增加专用材料费</w:t>
      </w:r>
      <w:r>
        <w:rPr>
          <w:rFonts w:ascii="仿宋_GB2312" w:hAnsi="仿宋_GB2312" w:eastAsia="仿宋_GB2312"/>
          <w:b w:val="0"/>
          <w:sz w:val="32"/>
        </w:rPr>
        <w:t>，导致机关运行经费较上年增加。</w:t>
      </w:r>
    </w:p>
    <w:p w14:paraId="651A7BEC">
      <w:pPr>
        <w:spacing w:line="640" w:lineRule="exact"/>
        <w:ind w:firstLine="640"/>
        <w:jc w:val="both"/>
        <w:outlineLvl w:val="3"/>
      </w:pPr>
      <w:r>
        <w:rPr>
          <w:rFonts w:ascii="楷体_GB2312" w:hAnsi="楷体_GB2312" w:eastAsia="楷体_GB2312"/>
          <w:b/>
          <w:sz w:val="32"/>
        </w:rPr>
        <w:t>（二）政府采购情况</w:t>
      </w:r>
    </w:p>
    <w:p w14:paraId="49069EB9">
      <w:pPr>
        <w:spacing w:line="580" w:lineRule="exact"/>
        <w:ind w:firstLine="640"/>
        <w:jc w:val="both"/>
      </w:pPr>
      <w:r>
        <w:rPr>
          <w:rFonts w:ascii="仿宋_GB2312" w:hAnsi="仿宋_GB2312" w:eastAsia="仿宋_GB2312"/>
          <w:b w:val="0"/>
          <w:sz w:val="32"/>
        </w:rPr>
        <w:t>2024年度政府采购支出总额782.47万元，其中：政府采购货物支出77.46万元、政府采购工程支出5.00万元、政府采购服务支出700.01万元。</w:t>
      </w:r>
    </w:p>
    <w:p w14:paraId="7D2A8C61">
      <w:pPr>
        <w:spacing w:line="580" w:lineRule="exact"/>
        <w:ind w:firstLine="640"/>
        <w:jc w:val="both"/>
      </w:pPr>
      <w:r>
        <w:rPr>
          <w:rFonts w:ascii="仿宋_GB2312" w:hAnsi="仿宋_GB2312" w:eastAsia="仿宋_GB2312"/>
          <w:b w:val="0"/>
          <w:sz w:val="32"/>
        </w:rPr>
        <w:t>授予中小企业合同金额700.85万元，占政府采购支出总额的89.57%，其中：授予小微企业合同金额580.18万元，占政府采购支出总额的74.15%。</w:t>
      </w:r>
    </w:p>
    <w:p w14:paraId="13B3F07A">
      <w:pPr>
        <w:spacing w:line="640" w:lineRule="exact"/>
        <w:ind w:firstLine="640"/>
        <w:jc w:val="both"/>
        <w:outlineLvl w:val="3"/>
      </w:pPr>
      <w:r>
        <w:rPr>
          <w:rFonts w:ascii="楷体_GB2312" w:hAnsi="楷体_GB2312" w:eastAsia="楷体_GB2312"/>
          <w:b/>
          <w:sz w:val="32"/>
        </w:rPr>
        <w:t>（三）国有资产占用情况说明</w:t>
      </w:r>
    </w:p>
    <w:p w14:paraId="6B8FE22D">
      <w:pPr>
        <w:spacing w:line="580" w:lineRule="exact"/>
        <w:ind w:firstLine="640"/>
        <w:jc w:val="both"/>
      </w:pPr>
      <w:r>
        <w:rPr>
          <w:rFonts w:ascii="仿宋_GB2312" w:hAnsi="仿宋_GB2312" w:eastAsia="仿宋_GB2312"/>
          <w:b w:val="0"/>
          <w:sz w:val="32"/>
        </w:rPr>
        <w:t>截至2024年12月31日，房屋14,626.30平方米，价值860.05万元。车辆13辆，价值290.81万元，其中：副部（省）级及以上领导用车0辆、主要负责人用车0辆、机要通信用车0辆、应急保障用车0辆、执法执勤用车5辆、特种专业技术用车0辆、离退休干部服务用车0辆、其他用车8辆，其他用车主要是：一般公务用车。单价100万元（含）以上设备（不含车辆）0台（套）。</w:t>
      </w:r>
    </w:p>
    <w:p w14:paraId="00FA66C6">
      <w:pPr>
        <w:spacing w:line="640" w:lineRule="exact"/>
        <w:ind w:firstLine="640"/>
        <w:jc w:val="both"/>
        <w:outlineLvl w:val="2"/>
      </w:pPr>
      <w:r>
        <w:rPr>
          <w:rFonts w:ascii="黑体" w:hAnsi="黑体" w:eastAsia="黑体"/>
          <w:sz w:val="32"/>
        </w:rPr>
        <w:t>十一、预算绩效的情况说明</w:t>
      </w:r>
    </w:p>
    <w:p w14:paraId="34DEA51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20" w:lineRule="atLeast"/>
        <w:ind w:left="0" w:right="0" w:firstLine="0"/>
        <w:jc w:val="both"/>
        <w:textAlignment w:val="auto"/>
      </w:pPr>
      <w:r>
        <w:rPr>
          <w:rFonts w:ascii="仿宋_GB2312" w:hAnsi="仿宋_GB2312" w:eastAsia="仿宋_GB2312"/>
          <w:b w:val="0"/>
          <w:sz w:val="32"/>
        </w:rPr>
        <w:t>根据预算绩效管理要求，本部门2024年度预算绩效管理形成整体支出绩效自评表1个，全年预算总额136,538.02万元，实际执行总额69,282.12万元；预算绩效评价项目13个，全年预算数97,262.11万元，全年执行数63,691.66万元。预算绩效管理取得的成效：</w:t>
      </w:r>
      <w:r>
        <w:rPr>
          <w:rFonts w:hint="eastAsia" w:ascii="仿宋_GB2312" w:hAnsi="Times New Roman" w:eastAsia="仿宋_GB2312" w:cs="Times New Roman"/>
          <w:color w:val="auto"/>
          <w:spacing w:val="0"/>
          <w:kern w:val="2"/>
          <w:sz w:val="32"/>
          <w:szCs w:val="32"/>
          <w:highlight w:val="none"/>
          <w:lang w:val="en-US" w:eastAsia="zh-CN" w:bidi="ar-SA"/>
        </w:rPr>
        <w:t>一是确保资金的高效使用，切实发挥财政资金的使用效果。二是严格按照工作职责和相关文件依据，确保专款专用。三是严格控制资金的流出方向，确保资金的合规性。</w:t>
      </w:r>
      <w:r>
        <w:rPr>
          <w:rFonts w:ascii="仿宋_GB2312" w:hAnsi="仿宋_GB2312" w:eastAsia="仿宋_GB2312"/>
          <w:b w:val="0"/>
          <w:sz w:val="32"/>
        </w:rPr>
        <w:t>发现的问题：一是预算执行存在偏差，造成项目预算执行情况不好；二是对个别项目资金使用方面预算不够细致、实施不够规范。主要原因：一是目标设定科学性及评价存在难度，</w:t>
      </w:r>
      <w:r>
        <w:rPr>
          <w:rFonts w:hint="eastAsia" w:ascii="仿宋_GB2312" w:hAnsi="仿宋_GB2312" w:eastAsia="仿宋_GB2312"/>
          <w:b w:val="0"/>
          <w:sz w:val="32"/>
          <w:lang w:eastAsia="zh-CN"/>
        </w:rPr>
        <w:t>由于</w:t>
      </w:r>
      <w:r>
        <w:rPr>
          <w:rFonts w:ascii="仿宋_GB2312" w:hAnsi="仿宋_GB2312" w:eastAsia="仿宋_GB2312"/>
          <w:b w:val="0"/>
          <w:sz w:val="32"/>
        </w:rPr>
        <w:t>部分目标的三级指标设定需要根据各部门科室的实际情况进行核实汇总，形成整合后统一名称的三级指标，对于如何科学整合分解全单位绩效目标比较困难；目标设定后如何科学设定考核评价标准，特别是对于不能量化的目标如何评价没有进行充分的研究论证；二是项目方面，项目前期调研不充分、未制定合理的实施方案。在年初对全年工作缺乏计划性，项目实施过程无法合理配置资源，如人力，财力，物力等。项目过程监管不足，对资金拨付后没有开展有效的监管和针对具体措施进行实时纠偏整改；三是财务管理方面，会计核算还不够细致,对于有些能够细分的工作,未能详细分类核算,绩效评价基础数据不够精准。下一步改进措施：一是加强新行政单位会计制度、新预算法、绩效管理等学习培训、规范账务处理。对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w:t>
      </w:r>
      <w:r>
        <w:rPr>
          <w:rFonts w:hint="eastAsia" w:ascii="仿宋_GB2312" w:hAnsi="仿宋_GB2312" w:eastAsia="仿宋_GB2312"/>
          <w:b w:val="0"/>
          <w:sz w:val="32"/>
          <w:lang w:eastAsia="zh-CN"/>
        </w:rPr>
        <w:t>》等</w:t>
      </w:r>
      <w:r>
        <w:rPr>
          <w:rFonts w:ascii="仿宋_GB2312" w:hAnsi="仿宋_GB2312" w:eastAsia="仿宋_GB2312"/>
          <w:b w:val="0"/>
          <w:sz w:val="32"/>
        </w:rPr>
        <w:t>学习培训，规范部门预算收支核算，制定和完善基本支出、项目支出等各项支出标准，严格按项目和进度执行预算,增强预算的约束力和严肃性；二是落实预算执行分析，及时了解预算执行差异，合理调整、纠正预算执行偏差，切实提高部门预算收支管理水平，尽可能地做到决算与预算相衔接；三是加强学习合理制定绩效目标及考核体系，充分发挥绩效工作效用，会计核算要更加详细，为本部门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四是从源头上强化对专项资金预算管理，结合单位实际,按轻重缓急统筹安排编制预算,提高预算编制科学性和合理性,优化资金结构；五是进一步提高绩效管理水平。由于目前的预算管理在编制和实施中还存在编制不细、预算调整较多、追加预算比重较大等现象,因此项目预算执行的准确性还有待加强。在今后的工作中，我们将加强与财政部门的紧密配合，开展好整体支出及项目资金绩效管理工作，运用好绩效评价的结果，不断提升预算管理水平；六是前期应进行充分的调研论证，制定较为详实的实施方案，并严格按照实施方案，稳步推进工作，加强资金管理水平，制定详细的资金使用计划，规范使用资金。具体附部门整体支出绩效自评表，项目支出绩效自评表和部门评价报告。</w:t>
      </w:r>
    </w:p>
    <w:p w14:paraId="0E0F5281">
      <w:r>
        <w:br w:type="page"/>
      </w:r>
    </w:p>
    <w:tbl>
      <w:tblPr>
        <w:tblStyle w:val="10"/>
        <w:tblW w:w="0" w:type="auto"/>
        <w:tblInd w:w="0" w:type="dxa"/>
        <w:tblLayout w:type="autofit"/>
        <w:tblCellMar>
          <w:top w:w="0" w:type="dxa"/>
          <w:left w:w="108" w:type="dxa"/>
          <w:bottom w:w="0" w:type="dxa"/>
          <w:right w:w="108" w:type="dxa"/>
        </w:tblCellMar>
      </w:tblPr>
      <w:tblGrid>
        <w:gridCol w:w="983"/>
        <w:gridCol w:w="983"/>
        <w:gridCol w:w="1016"/>
        <w:gridCol w:w="1016"/>
        <w:gridCol w:w="983"/>
        <w:gridCol w:w="983"/>
        <w:gridCol w:w="983"/>
        <w:gridCol w:w="983"/>
        <w:gridCol w:w="983"/>
      </w:tblGrid>
      <w:tr w14:paraId="23C08035">
        <w:tblPrEx>
          <w:tblCellMar>
            <w:top w:w="0" w:type="dxa"/>
            <w:left w:w="108" w:type="dxa"/>
            <w:bottom w:w="0" w:type="dxa"/>
            <w:right w:w="108" w:type="dxa"/>
          </w:tblCellMar>
        </w:tblPrEx>
        <w:tc>
          <w:tcPr>
            <w:tcW w:w="8847" w:type="dxa"/>
            <w:gridSpan w:val="9"/>
            <w:vAlign w:val="center"/>
          </w:tcPr>
          <w:p w14:paraId="1B222036">
            <w:pPr>
              <w:jc w:val="center"/>
            </w:pPr>
            <w:r>
              <w:rPr>
                <w:rFonts w:ascii="宋体" w:hAnsi="宋体" w:eastAsia="宋体"/>
                <w:sz w:val="24"/>
              </w:rPr>
              <w:t>部门整体支出绩效自评表</w:t>
            </w:r>
          </w:p>
        </w:tc>
      </w:tr>
      <w:tr w14:paraId="1BAFE61D">
        <w:tblPrEx>
          <w:tblCellMar>
            <w:top w:w="0" w:type="dxa"/>
            <w:left w:w="108" w:type="dxa"/>
            <w:bottom w:w="0" w:type="dxa"/>
            <w:right w:w="108" w:type="dxa"/>
          </w:tblCellMar>
        </w:tblPrEx>
        <w:tc>
          <w:tcPr>
            <w:tcW w:w="8847" w:type="dxa"/>
            <w:gridSpan w:val="9"/>
            <w:vAlign w:val="center"/>
          </w:tcPr>
          <w:p w14:paraId="11749F03">
            <w:pPr>
              <w:jc w:val="center"/>
            </w:pPr>
            <w:r>
              <w:rPr>
                <w:rFonts w:ascii="宋体" w:hAnsi="宋体" w:eastAsia="宋体"/>
                <w:sz w:val="24"/>
              </w:rPr>
              <w:t>（2024年度）</w:t>
            </w:r>
          </w:p>
        </w:tc>
      </w:tr>
      <w:tr w14:paraId="03B3AA8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BE395">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D7DFAB6">
            <w:pPr>
              <w:jc w:val="center"/>
            </w:pPr>
            <w:r>
              <w:rPr>
                <w:rFonts w:ascii="宋体" w:hAnsi="宋体" w:eastAsia="宋体"/>
                <w:sz w:val="16"/>
              </w:rPr>
              <w:t>新疆维吾尔自治区喀什地区交通运输局</w:t>
            </w:r>
          </w:p>
        </w:tc>
      </w:tr>
      <w:tr w14:paraId="0F32F2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8E77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52BE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88AD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CD4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8ED9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D3E7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DBC3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03930">
            <w:pPr>
              <w:jc w:val="center"/>
            </w:pPr>
            <w:r>
              <w:rPr>
                <w:rFonts w:ascii="宋体" w:hAnsi="宋体" w:eastAsia="宋体"/>
                <w:sz w:val="16"/>
              </w:rPr>
              <w:t>得分</w:t>
            </w:r>
          </w:p>
        </w:tc>
      </w:tr>
      <w:tr w14:paraId="14D0FB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CD7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630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75597">
            <w:pPr>
              <w:jc w:val="center"/>
            </w:pPr>
            <w:r>
              <w:rPr>
                <w:rFonts w:ascii="宋体" w:hAnsi="宋体" w:eastAsia="宋体"/>
                <w:sz w:val="16"/>
              </w:rPr>
              <w:t>120,223.60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E7B6A">
            <w:pPr>
              <w:jc w:val="center"/>
            </w:pPr>
            <w:r>
              <w:rPr>
                <w:rFonts w:ascii="宋体" w:hAnsi="宋体" w:eastAsia="宋体"/>
                <w:sz w:val="16"/>
              </w:rPr>
              <w:t>136,538.02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CDA08">
            <w:pPr>
              <w:jc w:val="center"/>
            </w:pPr>
            <w:r>
              <w:rPr>
                <w:rFonts w:ascii="宋体" w:hAnsi="宋体" w:eastAsia="宋体"/>
                <w:sz w:val="16"/>
              </w:rPr>
              <w:t>69,282.12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72F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38F26">
            <w:pPr>
              <w:jc w:val="center"/>
            </w:pPr>
            <w:r>
              <w:rPr>
                <w:rFonts w:ascii="宋体" w:hAnsi="宋体" w:eastAsia="宋体"/>
                <w:sz w:val="16"/>
              </w:rPr>
              <w:t>50.74%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668BF">
            <w:pPr>
              <w:jc w:val="center"/>
            </w:pPr>
            <w:r>
              <w:rPr>
                <w:rFonts w:ascii="宋体" w:hAnsi="宋体" w:eastAsia="宋体"/>
                <w:sz w:val="16"/>
              </w:rPr>
              <w:t>5.07</w:t>
            </w:r>
          </w:p>
        </w:tc>
      </w:tr>
      <w:tr w14:paraId="72684D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D99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1316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5B1AB">
            <w:pPr>
              <w:jc w:val="center"/>
            </w:pPr>
            <w:r>
              <w:rPr>
                <w:rFonts w:ascii="宋体" w:hAnsi="宋体" w:eastAsia="宋体"/>
                <w:sz w:val="16"/>
              </w:rPr>
              <w:t>115,440.80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40BD2">
            <w:pPr>
              <w:jc w:val="center"/>
            </w:pPr>
            <w:r>
              <w:rPr>
                <w:rFonts w:ascii="宋体" w:hAnsi="宋体" w:eastAsia="宋体"/>
                <w:sz w:val="16"/>
              </w:rPr>
              <w:t>133,249.76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68BCC">
            <w:pPr>
              <w:jc w:val="center"/>
            </w:pPr>
            <w:r>
              <w:rPr>
                <w:rFonts w:ascii="宋体" w:hAnsi="宋体" w:eastAsia="宋体"/>
                <w:sz w:val="16"/>
              </w:rPr>
              <w:t>67,516.16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F43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5964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E4676">
            <w:pPr>
              <w:jc w:val="center"/>
            </w:pPr>
            <w:r>
              <w:rPr>
                <w:rFonts w:ascii="宋体" w:hAnsi="宋体" w:eastAsia="宋体"/>
                <w:sz w:val="16"/>
              </w:rPr>
              <w:t>—</w:t>
            </w:r>
          </w:p>
        </w:tc>
      </w:tr>
      <w:tr w14:paraId="44518F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9AE5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A2F3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FC882">
            <w:pPr>
              <w:jc w:val="center"/>
            </w:pPr>
            <w:r>
              <w:rPr>
                <w:rFonts w:ascii="宋体" w:hAnsi="宋体" w:eastAsia="宋体"/>
                <w:sz w:val="16"/>
              </w:rPr>
              <w:t>4,753.60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A55F2">
            <w:pPr>
              <w:jc w:val="center"/>
            </w:pPr>
            <w:r>
              <w:rPr>
                <w:rFonts w:ascii="宋体" w:hAnsi="宋体" w:eastAsia="宋体"/>
                <w:sz w:val="16"/>
              </w:rPr>
              <w:t>3,259.06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CB541">
            <w:pPr>
              <w:jc w:val="center"/>
            </w:pPr>
            <w:r>
              <w:rPr>
                <w:rFonts w:ascii="宋体" w:hAnsi="宋体" w:eastAsia="宋体"/>
                <w:sz w:val="16"/>
              </w:rPr>
              <w:t>1,759.06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64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A2F0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C107D">
            <w:pPr>
              <w:jc w:val="center"/>
            </w:pPr>
            <w:r>
              <w:rPr>
                <w:rFonts w:ascii="宋体" w:hAnsi="宋体" w:eastAsia="宋体"/>
                <w:sz w:val="16"/>
              </w:rPr>
              <w:t>—</w:t>
            </w:r>
          </w:p>
        </w:tc>
      </w:tr>
      <w:tr w14:paraId="2B2D7E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901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2044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03330">
            <w:pPr>
              <w:jc w:val="center"/>
            </w:pPr>
            <w:r>
              <w:rPr>
                <w:rFonts w:ascii="宋体" w:hAnsi="宋体" w:eastAsia="宋体"/>
                <w:sz w:val="16"/>
              </w:rPr>
              <w:t>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E5292">
            <w:pPr>
              <w:jc w:val="center"/>
            </w:pPr>
            <w:r>
              <w:rPr>
                <w:rFonts w:ascii="宋体" w:hAnsi="宋体" w:eastAsia="宋体"/>
                <w:sz w:val="16"/>
              </w:rPr>
              <w:t>29.20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37B9C">
            <w:pPr>
              <w:jc w:val="center"/>
            </w:pPr>
            <w:r>
              <w:rPr>
                <w:rFonts w:ascii="宋体" w:hAnsi="宋体" w:eastAsia="宋体"/>
                <w:sz w:val="16"/>
              </w:rPr>
              <w:t>6.90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1F2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5B4A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ACEB">
            <w:pPr>
              <w:jc w:val="center"/>
            </w:pPr>
            <w:r>
              <w:rPr>
                <w:rFonts w:ascii="宋体" w:hAnsi="宋体" w:eastAsia="宋体"/>
                <w:sz w:val="16"/>
              </w:rPr>
              <w:t>—</w:t>
            </w:r>
          </w:p>
        </w:tc>
      </w:tr>
      <w:tr w14:paraId="02891B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52D7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A6991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04B6DE">
            <w:pPr>
              <w:jc w:val="center"/>
            </w:pPr>
            <w:r>
              <w:rPr>
                <w:rFonts w:ascii="宋体" w:hAnsi="宋体" w:eastAsia="宋体"/>
                <w:sz w:val="16"/>
              </w:rPr>
              <w:t>实际完成情况</w:t>
            </w:r>
          </w:p>
        </w:tc>
      </w:tr>
      <w:tr w14:paraId="268889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161D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90092A">
            <w:pPr>
              <w:jc w:val="both"/>
            </w:pPr>
            <w:r>
              <w:rPr>
                <w:rFonts w:ascii="宋体" w:hAnsi="宋体" w:eastAsia="宋体"/>
                <w:sz w:val="16"/>
              </w:rPr>
              <w:t>坚持以习近平新时代中国特色社会主义思想为指导，深入贯彻落实党的二十大和中央经济工作会议、中央农村工作会议精神，深入贯彻落实习近平总书记视察新疆重要讲话重要指示和关于交通运输工作的重要论述精神，完整准确贯彻新时代党的治疆方略，全面贯彻落实自治区党委十届三次、五次、六次、七次全会和交通运输厅工作部署，坚持稳中求进工作总基调，完整、准确、全面贯彻新发展理念，统筹发展和安全，扎实推动事关长治久安的根本性、基础性、长远性工作，突出扩投资、完成固定资产10.6亿元、新建</w:t>
            </w:r>
            <w:r>
              <w:rPr>
                <w:rFonts w:hint="eastAsia" w:ascii="宋体" w:hAnsi="宋体"/>
                <w:sz w:val="16"/>
                <w:lang w:eastAsia="zh-CN"/>
              </w:rPr>
              <w:t>二级公路</w:t>
            </w:r>
            <w:r>
              <w:rPr>
                <w:rFonts w:ascii="宋体" w:hAnsi="宋体" w:eastAsia="宋体"/>
                <w:sz w:val="16"/>
              </w:rPr>
              <w:t>91.9公里、保通畅、稳市场、调结构、保安全、防风险，加快建设丝绸之路经济带核心区交通枢纽中心，加强法治政府建设，不断优化营商环境，持续提升执法服务和监管水平。强力推进项目建设，不断创新投融资机制，着重抓好交通强国试点支撑项目实施，持续提升项目建设管理水平。强化交通物流保通保畅，提升出行服务品质，推动货运物流提质降本增效，规范道路运输新业态发展，促进交通运输高水平对外开放。完善农村交通基础设施，农村公路升级改造810公里、提高农村公路管养水平，加快城乡交通运输一体化发展，持续发挥行业优势。持续深化交通科技创新，大力推进智慧交通建设，不断加快交通绿色低碳发展。切实</w:t>
            </w:r>
            <w:r>
              <w:rPr>
                <w:rFonts w:hint="eastAsia" w:ascii="宋体" w:hAnsi="宋体"/>
                <w:sz w:val="16"/>
                <w:lang w:eastAsia="zh-CN"/>
              </w:rPr>
              <w:t>防范化解重大风险</w:t>
            </w:r>
            <w:r>
              <w:rPr>
                <w:rFonts w:ascii="宋体" w:hAnsi="宋体" w:eastAsia="宋体"/>
                <w:sz w:val="16"/>
              </w:rPr>
              <w:t>，做好交通运输安全生产工作常态化安全生产指导服务12次，持续推进交通运输应急管理体系和能力现代化。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B2E46">
            <w:pPr>
              <w:jc w:val="both"/>
            </w:pPr>
            <w:r>
              <w:rPr>
                <w:rFonts w:hint="eastAsia" w:ascii="宋体" w:hAnsi="宋体"/>
                <w:sz w:val="16"/>
                <w:lang w:eastAsia="zh-CN"/>
              </w:rPr>
              <w:t>本部门</w:t>
            </w:r>
            <w:r>
              <w:rPr>
                <w:rFonts w:ascii="宋体" w:hAnsi="宋体" w:eastAsia="宋体"/>
                <w:sz w:val="16"/>
              </w:rPr>
              <w:t>按照全面贯彻落实自治区党委十届三次、五次、六次、七次全会和交通运输厅工作部署，坚持稳中求进工作总基调，完整、准确、全面贯彻新发展理念，统筹发展和安全，扎实推动事关长治久安的根本性、基础性、长远性工作，突出扩投资、完成固定资产6.73亿元、新建二级公路91.9公里、保通畅、稳市场、调结构、保安全、防风险，加快建设丝绸之路经济带核心区交通枢纽中心，加强法治政府建设，不断优化营商环境，持续提升执法服务和监管水平。强力推进项目建设，不断创新投融资机制，着重抓好交通强国试点支撑项目实施，持续提升项目建设管理水平。强化交通物流保通保畅，提升出行服务品质，推动货运物流提质降本增效，规范道路运输新业态发展，促进交通运输高水平对外开放。完善农村交通基础设施，农村公路升级改造1494公里、提高农村公路管养水平，加快城乡交通运输一体化发展，持续发挥行业优势。持续深化交通科技创新，大力推进智慧交通建设，不断加快交通绿色低碳发展。切实</w:t>
            </w:r>
            <w:r>
              <w:rPr>
                <w:rFonts w:hint="eastAsia" w:ascii="宋体" w:hAnsi="宋体"/>
                <w:sz w:val="16"/>
                <w:lang w:eastAsia="zh-CN"/>
              </w:rPr>
              <w:t>防范化解重大风险</w:t>
            </w:r>
            <w:r>
              <w:rPr>
                <w:rFonts w:ascii="宋体" w:hAnsi="宋体" w:eastAsia="宋体"/>
                <w:sz w:val="16"/>
              </w:rPr>
              <w:t>，做好交通运输安全生产工作常态化安全生产指导服务12次，持续推进交通运输应急管理体系和能力现代化。</w:t>
            </w:r>
          </w:p>
        </w:tc>
      </w:tr>
      <w:tr w14:paraId="6B5A2C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AB2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04EC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A89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848D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85C4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48B9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A9B1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C905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37695">
            <w:pPr>
              <w:jc w:val="center"/>
            </w:pPr>
            <w:r>
              <w:rPr>
                <w:rFonts w:ascii="宋体" w:hAnsi="宋体" w:eastAsia="宋体"/>
                <w:sz w:val="16"/>
              </w:rPr>
              <w:t>得分</w:t>
            </w:r>
          </w:p>
        </w:tc>
      </w:tr>
      <w:tr w14:paraId="57B095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49C5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2BDA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FE83">
            <w:pPr>
              <w:jc w:val="center"/>
            </w:pPr>
            <w:r>
              <w:rPr>
                <w:rFonts w:ascii="宋体" w:hAnsi="宋体" w:eastAsia="宋体"/>
                <w:sz w:val="16"/>
              </w:rPr>
              <w:t>农村公路升级改造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FB398">
            <w:pPr>
              <w:jc w:val="center"/>
            </w:pPr>
            <w:r>
              <w:rPr>
                <w:rFonts w:ascii="宋体" w:hAnsi="宋体" w:eastAsia="宋体"/>
                <w:sz w:val="16"/>
              </w:rPr>
              <w:t>&gt;=810公里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74D78">
            <w:pPr>
              <w:jc w:val="center"/>
            </w:pPr>
            <w:r>
              <w:rPr>
                <w:rFonts w:ascii="宋体" w:hAnsi="宋体" w:eastAsia="宋体"/>
                <w:sz w:val="16"/>
              </w:rPr>
              <w:t>新疆维吾尔自治区交通运输厅（新交农路</w:t>
            </w:r>
            <w:r>
              <w:rPr>
                <w:rFonts w:hint="eastAsia" w:ascii="宋体" w:hAnsi="宋体"/>
                <w:sz w:val="16"/>
                <w:lang w:eastAsia="zh-CN"/>
              </w:rPr>
              <w:t>〔2023〕10号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6B66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E88C0">
            <w:pPr>
              <w:jc w:val="center"/>
            </w:pPr>
            <w:r>
              <w:rPr>
                <w:rFonts w:ascii="宋体" w:hAnsi="宋体" w:eastAsia="宋体"/>
                <w:sz w:val="16"/>
              </w:rPr>
              <w:t>1494公里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80A1">
            <w:pPr>
              <w:jc w:val="center"/>
            </w:pPr>
            <w:r>
              <w:rPr>
                <w:rFonts w:ascii="宋体" w:hAnsi="宋体" w:eastAsia="宋体"/>
                <w:sz w:val="16"/>
              </w:rPr>
              <w:t>184.4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0BB1D">
            <w:pPr>
              <w:jc w:val="center"/>
            </w:pPr>
            <w:r>
              <w:rPr>
                <w:rFonts w:ascii="宋体" w:hAnsi="宋体" w:eastAsia="宋体"/>
                <w:sz w:val="16"/>
              </w:rPr>
              <w:t>20</w:t>
            </w:r>
          </w:p>
        </w:tc>
      </w:tr>
      <w:tr w14:paraId="19600E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21A2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FC8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FFE9D">
            <w:pPr>
              <w:jc w:val="center"/>
            </w:pPr>
            <w:r>
              <w:rPr>
                <w:rFonts w:ascii="宋体" w:hAnsi="宋体" w:eastAsia="宋体"/>
                <w:sz w:val="16"/>
              </w:rPr>
              <w:t>完成交通固定资产投资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0D6F4">
            <w:pPr>
              <w:jc w:val="center"/>
            </w:pPr>
            <w:r>
              <w:rPr>
                <w:rFonts w:ascii="宋体" w:hAnsi="宋体" w:eastAsia="宋体"/>
                <w:sz w:val="16"/>
              </w:rPr>
              <w:t>&gt;=10.60亿元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955E0">
            <w:pPr>
              <w:jc w:val="center"/>
            </w:pPr>
            <w:r>
              <w:rPr>
                <w:rFonts w:ascii="宋体" w:hAnsi="宋体" w:eastAsia="宋体"/>
                <w:sz w:val="16"/>
              </w:rPr>
              <w:t>新疆维吾尔自治区喀什地区财政局喀地财建</w:t>
            </w:r>
            <w:r>
              <w:rPr>
                <w:rFonts w:hint="eastAsia" w:ascii="宋体" w:hAnsi="宋体"/>
                <w:sz w:val="16"/>
                <w:lang w:eastAsia="zh-CN"/>
              </w:rPr>
              <w:t>〔2023〕120号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8EF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D368">
            <w:pPr>
              <w:jc w:val="center"/>
            </w:pPr>
            <w:r>
              <w:rPr>
                <w:rFonts w:ascii="宋体" w:hAnsi="宋体" w:eastAsia="宋体"/>
                <w:sz w:val="16"/>
              </w:rPr>
              <w:t>6.73亿元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C133F">
            <w:pPr>
              <w:jc w:val="center"/>
            </w:pPr>
            <w:r>
              <w:rPr>
                <w:rFonts w:ascii="宋体" w:hAnsi="宋体" w:eastAsia="宋体"/>
                <w:sz w:val="16"/>
              </w:rPr>
              <w:t>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900FA">
            <w:pPr>
              <w:jc w:val="center"/>
            </w:pPr>
            <w:r>
              <w:rPr>
                <w:rFonts w:ascii="宋体" w:hAnsi="宋体" w:eastAsia="宋体"/>
                <w:sz w:val="16"/>
              </w:rPr>
              <w:t>12.7</w:t>
            </w:r>
          </w:p>
        </w:tc>
      </w:tr>
      <w:tr w14:paraId="4A6175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9E8B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7317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4AE49">
            <w:pPr>
              <w:jc w:val="center"/>
            </w:pPr>
            <w:r>
              <w:rPr>
                <w:rFonts w:ascii="宋体" w:hAnsi="宋体" w:eastAsia="宋体"/>
                <w:sz w:val="16"/>
              </w:rPr>
              <w:t>建成（二级）公路里程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687D8">
            <w:pPr>
              <w:jc w:val="center"/>
            </w:pPr>
            <w:r>
              <w:rPr>
                <w:rFonts w:ascii="宋体" w:hAnsi="宋体" w:eastAsia="宋体"/>
                <w:sz w:val="16"/>
              </w:rPr>
              <w:t>&gt;=91.90公里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B90BA">
            <w:pPr>
              <w:jc w:val="center"/>
            </w:pPr>
            <w:r>
              <w:rPr>
                <w:rFonts w:ascii="宋体" w:hAnsi="宋体" w:eastAsia="宋体"/>
                <w:sz w:val="16"/>
              </w:rPr>
              <w:t>新疆维吾尔自治区喀什地区财政局喀地财建</w:t>
            </w:r>
            <w:r>
              <w:rPr>
                <w:rFonts w:hint="eastAsia" w:ascii="宋体" w:hAnsi="宋体"/>
                <w:sz w:val="16"/>
                <w:lang w:eastAsia="zh-CN"/>
              </w:rPr>
              <w:t>〔2023〕120号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360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9D9A">
            <w:pPr>
              <w:jc w:val="center"/>
            </w:pPr>
            <w:r>
              <w:rPr>
                <w:rFonts w:ascii="宋体" w:hAnsi="宋体" w:eastAsia="宋体"/>
                <w:sz w:val="16"/>
              </w:rPr>
              <w:t>91.9公里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970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C84E0">
            <w:pPr>
              <w:jc w:val="center"/>
            </w:pPr>
            <w:r>
              <w:rPr>
                <w:rFonts w:ascii="宋体" w:hAnsi="宋体" w:eastAsia="宋体"/>
                <w:sz w:val="16"/>
              </w:rPr>
              <w:t>20</w:t>
            </w:r>
          </w:p>
        </w:tc>
      </w:tr>
      <w:tr w14:paraId="3FF53E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C555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A9A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B6D7A">
            <w:pPr>
              <w:jc w:val="center"/>
            </w:pPr>
            <w:r>
              <w:rPr>
                <w:rFonts w:ascii="宋体" w:hAnsi="宋体" w:eastAsia="宋体"/>
                <w:sz w:val="16"/>
              </w:rPr>
              <w:t>年度内常态化规范生产指导服务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7248F">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DDE30">
            <w:pPr>
              <w:jc w:val="center"/>
            </w:pPr>
            <w:r>
              <w:rPr>
                <w:rFonts w:ascii="宋体" w:hAnsi="宋体" w:eastAsia="宋体"/>
                <w:sz w:val="16"/>
              </w:rPr>
              <w:t>喀什地区交通运输综合行政执法局《关于印发喀什地区交通运输综合行政执法局2023年度安全生产监督检查计划的通知》（喀地交综执</w:t>
            </w:r>
            <w:r>
              <w:rPr>
                <w:rFonts w:hint="eastAsia" w:ascii="宋体" w:hAnsi="宋体"/>
                <w:sz w:val="16"/>
                <w:lang w:eastAsia="zh-CN"/>
              </w:rPr>
              <w:t>〔2024〕1号</w:t>
            </w:r>
            <w:r>
              <w:rPr>
                <w:rFonts w:ascii="宋体" w:hAnsi="宋体" w:eastAsia="宋体"/>
                <w:sz w:val="16"/>
              </w:rPr>
              <w:t>、工作要点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8C4E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3A2B4">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B8A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3EAF7">
            <w:pPr>
              <w:jc w:val="center"/>
            </w:pPr>
            <w:r>
              <w:rPr>
                <w:rFonts w:ascii="宋体" w:hAnsi="宋体" w:eastAsia="宋体"/>
                <w:sz w:val="16"/>
              </w:rPr>
              <w:t>20</w:t>
            </w:r>
          </w:p>
        </w:tc>
      </w:tr>
      <w:tr w14:paraId="3C4780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6E2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F9A5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76829">
            <w:pPr>
              <w:jc w:val="center"/>
            </w:pPr>
            <w:r>
              <w:rPr>
                <w:rFonts w:ascii="宋体" w:hAnsi="宋体" w:eastAsia="宋体"/>
                <w:sz w:val="16"/>
              </w:rPr>
              <w:t>公正公平规范做好油价补贴资金发放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11375">
            <w:pPr>
              <w:jc w:val="center"/>
            </w:pPr>
            <w:r>
              <w:rPr>
                <w:rFonts w:ascii="宋体" w:hAnsi="宋体" w:eastAsia="宋体"/>
                <w:sz w:val="16"/>
              </w:rPr>
              <w:t>&gt;=12929.7万元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DB424">
            <w:pPr>
              <w:jc w:val="center"/>
            </w:pPr>
            <w:r>
              <w:rPr>
                <w:rFonts w:ascii="宋体" w:hAnsi="宋体" w:eastAsia="宋体"/>
                <w:sz w:val="16"/>
              </w:rPr>
              <w:t>新疆维吾尔自治区喀什地区财政局喀地财建</w:t>
            </w:r>
            <w:r>
              <w:rPr>
                <w:rFonts w:hint="eastAsia" w:ascii="宋体" w:hAnsi="宋体"/>
                <w:sz w:val="16"/>
                <w:lang w:eastAsia="zh-CN"/>
              </w:rPr>
              <w:t>〔2023〕103号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8D7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AF360">
            <w:pPr>
              <w:jc w:val="center"/>
            </w:pPr>
            <w:r>
              <w:rPr>
                <w:rFonts w:ascii="宋体" w:hAnsi="宋体" w:eastAsia="宋体"/>
                <w:sz w:val="16"/>
              </w:rPr>
              <w:t>12929.7万元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E52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4328B">
            <w:pPr>
              <w:jc w:val="center"/>
            </w:pPr>
            <w:r>
              <w:rPr>
                <w:rFonts w:ascii="宋体" w:hAnsi="宋体" w:eastAsia="宋体"/>
                <w:sz w:val="16"/>
              </w:rPr>
              <w:t>10</w:t>
            </w:r>
          </w:p>
        </w:tc>
      </w:tr>
    </w:tbl>
    <w:p w14:paraId="0F451FCB">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679F646F">
        <w:tblPrEx>
          <w:tblCellMar>
            <w:top w:w="0" w:type="dxa"/>
            <w:left w:w="108" w:type="dxa"/>
            <w:bottom w:w="0" w:type="dxa"/>
            <w:right w:w="108" w:type="dxa"/>
          </w:tblCellMar>
        </w:tblPrEx>
        <w:tc>
          <w:tcPr>
            <w:tcW w:w="8848" w:type="dxa"/>
            <w:gridSpan w:val="14"/>
            <w:vAlign w:val="center"/>
          </w:tcPr>
          <w:p w14:paraId="531CEB3E">
            <w:pPr>
              <w:jc w:val="center"/>
            </w:pPr>
            <w:r>
              <w:rPr>
                <w:rFonts w:ascii="宋体" w:hAnsi="宋体" w:eastAsia="宋体"/>
                <w:sz w:val="24"/>
              </w:rPr>
              <w:t>项目支出绩效自评表</w:t>
            </w:r>
          </w:p>
        </w:tc>
      </w:tr>
      <w:tr w14:paraId="6E374923">
        <w:tblPrEx>
          <w:tblCellMar>
            <w:top w:w="0" w:type="dxa"/>
            <w:left w:w="108" w:type="dxa"/>
            <w:bottom w:w="0" w:type="dxa"/>
            <w:right w:w="108" w:type="dxa"/>
          </w:tblCellMar>
        </w:tblPrEx>
        <w:tc>
          <w:tcPr>
            <w:tcW w:w="8848" w:type="dxa"/>
            <w:gridSpan w:val="14"/>
            <w:vAlign w:val="center"/>
          </w:tcPr>
          <w:p w14:paraId="1AD2DB36">
            <w:pPr>
              <w:jc w:val="center"/>
            </w:pPr>
            <w:r>
              <w:rPr>
                <w:rFonts w:ascii="宋体" w:hAnsi="宋体" w:eastAsia="宋体"/>
                <w:sz w:val="24"/>
              </w:rPr>
              <w:t>(2024年度)</w:t>
            </w:r>
          </w:p>
        </w:tc>
      </w:tr>
      <w:tr w14:paraId="790CCD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30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0FF968">
            <w:pPr>
              <w:jc w:val="center"/>
            </w:pPr>
            <w:r>
              <w:rPr>
                <w:rFonts w:ascii="宋体" w:hAnsi="宋体" w:eastAsia="宋体"/>
                <w:sz w:val="16"/>
              </w:rPr>
              <w:t>G219线岳普湖至英吉沙公路工程项目</w:t>
            </w:r>
          </w:p>
        </w:tc>
      </w:tr>
      <w:tr w14:paraId="7B86A8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F3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9DE97">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6EA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3A999">
            <w:pPr>
              <w:jc w:val="center"/>
            </w:pPr>
            <w:r>
              <w:rPr>
                <w:rFonts w:ascii="宋体" w:hAnsi="宋体" w:eastAsia="宋体"/>
                <w:sz w:val="16"/>
              </w:rPr>
              <w:t>新疆维吾尔自治区喀什地区交通运输局</w:t>
            </w:r>
          </w:p>
        </w:tc>
      </w:tr>
      <w:tr w14:paraId="08AB80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AA1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079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33B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22E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514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BCB1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9D9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52D4">
            <w:pPr>
              <w:jc w:val="center"/>
            </w:pPr>
            <w:r>
              <w:rPr>
                <w:rFonts w:ascii="宋体" w:hAnsi="宋体" w:eastAsia="宋体"/>
                <w:sz w:val="16"/>
              </w:rPr>
              <w:t>得分</w:t>
            </w:r>
          </w:p>
        </w:tc>
      </w:tr>
      <w:tr w14:paraId="61588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F24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16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7DCC0">
            <w:pPr>
              <w:jc w:val="center"/>
            </w:pPr>
            <w:r>
              <w:rPr>
                <w:rFonts w:ascii="宋体" w:hAnsi="宋体" w:eastAsia="宋体"/>
                <w:sz w:val="16"/>
              </w:rPr>
              <w:t>38,439.00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593F4">
            <w:pPr>
              <w:jc w:val="center"/>
            </w:pPr>
            <w:r>
              <w:rPr>
                <w:rFonts w:ascii="宋体" w:hAnsi="宋体" w:eastAsia="宋体"/>
                <w:sz w:val="16"/>
              </w:rPr>
              <w:t>38,439.00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1178">
            <w:pPr>
              <w:jc w:val="center"/>
            </w:pPr>
            <w:r>
              <w:rPr>
                <w:rFonts w:ascii="宋体" w:hAnsi="宋体" w:eastAsia="宋体"/>
                <w:sz w:val="16"/>
              </w:rPr>
              <w:t>31,259.11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25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59CB6">
            <w:pPr>
              <w:jc w:val="center"/>
            </w:pPr>
            <w:r>
              <w:rPr>
                <w:rFonts w:ascii="宋体" w:hAnsi="宋体" w:eastAsia="宋体"/>
                <w:sz w:val="16"/>
              </w:rPr>
              <w:t>81.3%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B737">
            <w:pPr>
              <w:jc w:val="center"/>
            </w:pPr>
            <w:r>
              <w:rPr>
                <w:rFonts w:ascii="宋体" w:hAnsi="宋体" w:eastAsia="宋体"/>
                <w:sz w:val="16"/>
              </w:rPr>
              <w:t>5.33分</w:t>
            </w:r>
          </w:p>
        </w:tc>
      </w:tr>
      <w:tr w14:paraId="7CE17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457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4B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833F3">
            <w:pPr>
              <w:jc w:val="center"/>
            </w:pPr>
            <w:r>
              <w:rPr>
                <w:rFonts w:ascii="宋体" w:hAnsi="宋体" w:eastAsia="宋体"/>
                <w:sz w:val="16"/>
              </w:rPr>
              <w:t>38,439.00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CAD61">
            <w:pPr>
              <w:jc w:val="center"/>
            </w:pPr>
            <w:r>
              <w:rPr>
                <w:rFonts w:ascii="宋体" w:hAnsi="宋体" w:eastAsia="宋体"/>
                <w:sz w:val="16"/>
              </w:rPr>
              <w:t>38,439.00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E9578">
            <w:pPr>
              <w:jc w:val="center"/>
            </w:pPr>
            <w:r>
              <w:rPr>
                <w:rFonts w:ascii="宋体" w:hAnsi="宋体" w:eastAsia="宋体"/>
                <w:sz w:val="16"/>
              </w:rPr>
              <w:t>31,259.11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750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441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0E75B">
            <w:pPr>
              <w:jc w:val="center"/>
            </w:pPr>
            <w:r>
              <w:rPr>
                <w:rFonts w:ascii="宋体" w:hAnsi="宋体" w:eastAsia="宋体"/>
                <w:sz w:val="16"/>
              </w:rPr>
              <w:t>—</w:t>
            </w:r>
          </w:p>
        </w:tc>
      </w:tr>
      <w:tr w14:paraId="3DEC0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5FE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371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55F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C82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9AA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D84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99C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962D0">
            <w:pPr>
              <w:jc w:val="center"/>
            </w:pPr>
            <w:r>
              <w:rPr>
                <w:rFonts w:ascii="宋体" w:hAnsi="宋体" w:eastAsia="宋体"/>
                <w:sz w:val="16"/>
              </w:rPr>
              <w:t>—</w:t>
            </w:r>
          </w:p>
        </w:tc>
      </w:tr>
      <w:tr w14:paraId="34768E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E815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05D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DAF807">
            <w:pPr>
              <w:jc w:val="center"/>
            </w:pPr>
            <w:r>
              <w:rPr>
                <w:rFonts w:ascii="宋体" w:hAnsi="宋体" w:eastAsia="宋体"/>
                <w:sz w:val="16"/>
              </w:rPr>
              <w:t>实际完成情况</w:t>
            </w:r>
          </w:p>
        </w:tc>
      </w:tr>
      <w:tr w14:paraId="254DF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72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145FB">
            <w:pPr>
              <w:jc w:val="both"/>
            </w:pPr>
            <w:r>
              <w:rPr>
                <w:rFonts w:ascii="宋体" w:hAnsi="宋体" w:eastAsia="宋体"/>
                <w:sz w:val="16"/>
              </w:rPr>
              <w:t>项目资金38439万元、完成“十四五”现代综合交通运输体系发展规划范围内的综合交通、公路等年度建设任务.完成G219线岳普湖至英吉沙公路工程项目的全部施工图设计工作、完成67公里普通国道建设任务。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968ECB">
            <w:pPr>
              <w:jc w:val="both"/>
            </w:pPr>
            <w:r>
              <w:rPr>
                <w:rFonts w:ascii="宋体" w:hAnsi="宋体" w:eastAsia="宋体"/>
                <w:sz w:val="16"/>
              </w:rPr>
              <w:t>该项目实际已完成：施工图设计长度67.323公里，支持普通国道建设67.323公里。该项目年度下达资金38439万元、2024年已完成年度建设任务31259.11万元.完成G219线岳普湖至英吉沙公路工程项目路基和桥梁工程，完成G219线岳普湖至英吉沙公路工程项目的全部施工图设计工作、完成67.323公里普通国道建设任务。已于2024年11月30日完成G219线岳普湖至英吉沙公路工程项目2024年度分项工程（中间）交工工作，待下一年度春季开工时继续完成相关公路建设。通过项目实施加快一条国道建设。</w:t>
            </w:r>
          </w:p>
        </w:tc>
      </w:tr>
      <w:tr w14:paraId="0C6DD4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B97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6D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A3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9AE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BE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B2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56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5F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22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FC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DCB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4A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886D5">
            <w:pPr>
              <w:jc w:val="center"/>
            </w:pPr>
            <w:r>
              <w:rPr>
                <w:rFonts w:ascii="宋体" w:hAnsi="宋体" w:eastAsia="宋体"/>
                <w:sz w:val="16"/>
              </w:rPr>
              <w:t>偏差原因分析及改进措施</w:t>
            </w:r>
          </w:p>
        </w:tc>
      </w:tr>
      <w:tr w14:paraId="20BE60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9CD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10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539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D3B2">
            <w:pPr>
              <w:jc w:val="center"/>
            </w:pPr>
            <w:r>
              <w:rPr>
                <w:rFonts w:ascii="宋体" w:hAnsi="宋体" w:eastAsia="宋体"/>
                <w:sz w:val="16"/>
              </w:rPr>
              <w:t>施工图设计长度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05AA">
            <w:pPr>
              <w:jc w:val="center"/>
            </w:pPr>
            <w:r>
              <w:rPr>
                <w:rFonts w:ascii="宋体" w:hAnsi="宋体" w:eastAsia="宋体"/>
                <w:sz w:val="16"/>
              </w:rPr>
              <w:t>=67公里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DCC6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834C">
            <w:pPr>
              <w:jc w:val="center"/>
            </w:pPr>
            <w:r>
              <w:rPr>
                <w:rFonts w:ascii="宋体" w:hAnsi="宋体" w:eastAsia="宋体"/>
                <w:sz w:val="16"/>
              </w:rPr>
              <w:t>67公里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40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D9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7B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3119">
            <w:pPr>
              <w:jc w:val="center"/>
            </w:pPr>
            <w:r>
              <w:rPr>
                <w:rFonts w:ascii="宋体" w:hAnsi="宋体" w:eastAsia="宋体"/>
                <w:sz w:val="16"/>
              </w:rPr>
              <w:t>=67.323公里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9B43">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B16B">
            <w:pPr>
              <w:jc w:val="center"/>
            </w:pPr>
          </w:p>
        </w:tc>
      </w:tr>
      <w:tr w14:paraId="12F22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7F3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E4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14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46665">
            <w:pPr>
              <w:jc w:val="center"/>
            </w:pPr>
            <w:r>
              <w:rPr>
                <w:rFonts w:ascii="宋体" w:hAnsi="宋体" w:eastAsia="宋体"/>
                <w:sz w:val="16"/>
              </w:rPr>
              <w:t>支持普通国道建设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48ED">
            <w:pPr>
              <w:jc w:val="center"/>
            </w:pPr>
            <w:r>
              <w:rPr>
                <w:rFonts w:ascii="宋体" w:hAnsi="宋体" w:eastAsia="宋体"/>
                <w:sz w:val="16"/>
              </w:rPr>
              <w:t>=67公里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1D0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5098">
            <w:pPr>
              <w:jc w:val="center"/>
            </w:pPr>
            <w:r>
              <w:rPr>
                <w:rFonts w:ascii="宋体" w:hAnsi="宋体" w:eastAsia="宋体"/>
                <w:sz w:val="16"/>
              </w:rPr>
              <w:t>67公里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5E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D5E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C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00E6">
            <w:pPr>
              <w:jc w:val="center"/>
            </w:pPr>
            <w:r>
              <w:rPr>
                <w:rFonts w:ascii="宋体" w:hAnsi="宋体" w:eastAsia="宋体"/>
                <w:sz w:val="16"/>
              </w:rPr>
              <w:t>=67.323公里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B82B">
            <w:pPr>
              <w:jc w:val="center"/>
            </w:pPr>
            <w:r>
              <w:rPr>
                <w:rFonts w:ascii="宋体" w:hAnsi="宋体" w:eastAsia="宋体"/>
                <w:sz w:val="16"/>
              </w:rPr>
              <w:t>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9A54A">
            <w:pPr>
              <w:jc w:val="center"/>
            </w:pPr>
          </w:p>
        </w:tc>
      </w:tr>
      <w:tr w14:paraId="02FE9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DE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35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9B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0745">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EC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64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C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53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3C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25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15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8B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C3B91">
            <w:pPr>
              <w:jc w:val="center"/>
            </w:pPr>
          </w:p>
        </w:tc>
      </w:tr>
      <w:tr w14:paraId="78FE5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B52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D44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E22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625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120C">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0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09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9C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466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05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1C66">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42D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CB5CB">
            <w:pPr>
              <w:jc w:val="center"/>
            </w:pPr>
            <w:r>
              <w:rPr>
                <w:rFonts w:ascii="宋体" w:hAnsi="宋体" w:eastAsia="宋体"/>
                <w:sz w:val="16"/>
              </w:rPr>
              <w:t>项目存在偏差、偏差原因：该项目是两年期项目、项目正在施工中、项目完成时间指标设置不合理</w:t>
            </w:r>
            <w:r>
              <w:rPr>
                <w:rFonts w:hint="eastAsia" w:ascii="宋体" w:hAnsi="宋体"/>
                <w:sz w:val="16"/>
                <w:lang w:eastAsia="zh-CN"/>
              </w:rPr>
              <w:t>。</w:t>
            </w:r>
            <w:r>
              <w:rPr>
                <w:rFonts w:ascii="宋体" w:hAnsi="宋体" w:eastAsia="宋体"/>
                <w:sz w:val="16"/>
              </w:rPr>
              <w:t>改进措施：下一步按项目实际情况合理设置绩效指标</w:t>
            </w:r>
          </w:p>
        </w:tc>
      </w:tr>
      <w:tr w14:paraId="216A5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E9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D0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63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974C">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AF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C16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FA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1C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2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92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6FB2">
            <w:pPr>
              <w:jc w:val="center"/>
            </w:pPr>
            <w:r>
              <w:rPr>
                <w:rFonts w:ascii="宋体" w:hAnsi="宋体" w:eastAsia="宋体"/>
                <w:sz w:val="16"/>
              </w:rPr>
              <w:t>=81.3%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8E4DA">
            <w:pPr>
              <w:jc w:val="center"/>
            </w:pPr>
            <w:r>
              <w:rPr>
                <w:rFonts w:ascii="宋体" w:hAnsi="宋体" w:eastAsia="宋体"/>
                <w:sz w:val="16"/>
              </w:rPr>
              <w:t>10.65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C8F2">
            <w:pPr>
              <w:jc w:val="center"/>
            </w:pPr>
            <w:r>
              <w:rPr>
                <w:rFonts w:ascii="宋体" w:hAnsi="宋体" w:eastAsia="宋体"/>
                <w:sz w:val="16"/>
              </w:rPr>
              <w:t>项目存在偏差、偏差原因：项目正在施工中、项目总体形象进度累计完成81.3%，改进措施：加强资金管理、按项目进度计量支付</w:t>
            </w:r>
          </w:p>
        </w:tc>
      </w:tr>
      <w:tr w14:paraId="5C6E7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B9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64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1C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26E8">
            <w:pPr>
              <w:jc w:val="center"/>
            </w:pPr>
            <w:r>
              <w:rPr>
                <w:rFonts w:ascii="宋体" w:hAnsi="宋体" w:eastAsia="宋体"/>
                <w:sz w:val="16"/>
              </w:rPr>
              <w:t>交通建设符合环水保要求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D7A5">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59B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BED8">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2A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364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80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47E8">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1F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049B">
            <w:pPr>
              <w:jc w:val="center"/>
            </w:pPr>
          </w:p>
        </w:tc>
      </w:tr>
      <w:tr w14:paraId="57144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6A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5A5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E8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D62F">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3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5C5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B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EA3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AD2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3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D3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AD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571B0">
            <w:pPr>
              <w:jc w:val="center"/>
            </w:pPr>
          </w:p>
        </w:tc>
      </w:tr>
      <w:tr w14:paraId="71AF04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6CB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8A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D0B4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823E3">
            <w:pPr>
              <w:jc w:val="center"/>
            </w:pPr>
            <w:r>
              <w:rPr>
                <w:rFonts w:ascii="宋体" w:hAnsi="宋体" w:eastAsia="宋体"/>
                <w:sz w:val="16"/>
              </w:rPr>
              <w:t>85.88分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940543"/>
        </w:tc>
      </w:tr>
    </w:tbl>
    <w:p w14:paraId="29C33DF8">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F876EC7">
        <w:tblPrEx>
          <w:tblCellMar>
            <w:top w:w="0" w:type="dxa"/>
            <w:left w:w="108" w:type="dxa"/>
            <w:bottom w:w="0" w:type="dxa"/>
            <w:right w:w="108" w:type="dxa"/>
          </w:tblCellMar>
        </w:tblPrEx>
        <w:tc>
          <w:tcPr>
            <w:tcW w:w="8848" w:type="dxa"/>
            <w:gridSpan w:val="14"/>
            <w:vAlign w:val="center"/>
          </w:tcPr>
          <w:p w14:paraId="38344398">
            <w:pPr>
              <w:jc w:val="center"/>
            </w:pPr>
            <w:r>
              <w:rPr>
                <w:rFonts w:ascii="宋体" w:hAnsi="宋体" w:eastAsia="宋体"/>
                <w:sz w:val="24"/>
              </w:rPr>
              <w:t>项目支出绩效自评表</w:t>
            </w:r>
          </w:p>
        </w:tc>
      </w:tr>
      <w:tr w14:paraId="437B0BF1">
        <w:tblPrEx>
          <w:tblCellMar>
            <w:top w:w="0" w:type="dxa"/>
            <w:left w:w="108" w:type="dxa"/>
            <w:bottom w:w="0" w:type="dxa"/>
            <w:right w:w="108" w:type="dxa"/>
          </w:tblCellMar>
        </w:tblPrEx>
        <w:tc>
          <w:tcPr>
            <w:tcW w:w="8848" w:type="dxa"/>
            <w:gridSpan w:val="14"/>
            <w:vAlign w:val="center"/>
          </w:tcPr>
          <w:p w14:paraId="68092EF6">
            <w:pPr>
              <w:jc w:val="center"/>
            </w:pPr>
            <w:r>
              <w:rPr>
                <w:rFonts w:ascii="宋体" w:hAnsi="宋体" w:eastAsia="宋体"/>
                <w:sz w:val="24"/>
              </w:rPr>
              <w:t>(2024年度)</w:t>
            </w:r>
          </w:p>
        </w:tc>
      </w:tr>
      <w:tr w14:paraId="0C4086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37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170DC2">
            <w:pPr>
              <w:jc w:val="center"/>
            </w:pPr>
            <w:r>
              <w:rPr>
                <w:rFonts w:ascii="宋体" w:hAnsi="宋体" w:eastAsia="宋体"/>
                <w:sz w:val="16"/>
              </w:rPr>
              <w:t>G219线恰热克至叶城公路工程项目</w:t>
            </w:r>
          </w:p>
        </w:tc>
      </w:tr>
      <w:tr w14:paraId="4CA3F7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F5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953C19">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8D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380C8">
            <w:pPr>
              <w:jc w:val="center"/>
            </w:pPr>
            <w:r>
              <w:rPr>
                <w:rFonts w:ascii="宋体" w:hAnsi="宋体" w:eastAsia="宋体"/>
                <w:sz w:val="16"/>
              </w:rPr>
              <w:t>新疆维吾尔自治区喀什地区交通运输局</w:t>
            </w:r>
          </w:p>
        </w:tc>
      </w:tr>
      <w:tr w14:paraId="1F30A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B52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5D4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8E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1CE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E54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601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4DB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7A8D0">
            <w:pPr>
              <w:jc w:val="center"/>
            </w:pPr>
            <w:r>
              <w:rPr>
                <w:rFonts w:ascii="宋体" w:hAnsi="宋体" w:eastAsia="宋体"/>
                <w:sz w:val="16"/>
              </w:rPr>
              <w:t>得分</w:t>
            </w:r>
          </w:p>
        </w:tc>
      </w:tr>
      <w:tr w14:paraId="4F2FF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6A7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3C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2A14">
            <w:pPr>
              <w:jc w:val="center"/>
            </w:pPr>
            <w:r>
              <w:rPr>
                <w:rFonts w:ascii="宋体" w:hAnsi="宋体" w:eastAsia="宋体"/>
                <w:sz w:val="16"/>
              </w:rPr>
              <w:t>57,217.00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36DF8">
            <w:pPr>
              <w:jc w:val="center"/>
            </w:pPr>
            <w:r>
              <w:rPr>
                <w:rFonts w:ascii="宋体" w:hAnsi="宋体" w:eastAsia="宋体"/>
                <w:sz w:val="16"/>
              </w:rPr>
              <w:t>57,217.00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67397">
            <w:pPr>
              <w:jc w:val="center"/>
            </w:pPr>
            <w:r>
              <w:rPr>
                <w:rFonts w:ascii="宋体" w:hAnsi="宋体" w:eastAsia="宋体"/>
                <w:sz w:val="16"/>
              </w:rPr>
              <w:t>32,348.73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BF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7705">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69D2">
            <w:pPr>
              <w:jc w:val="center"/>
            </w:pPr>
            <w:r>
              <w:rPr>
                <w:rFonts w:ascii="宋体" w:hAnsi="宋体" w:eastAsia="宋体"/>
                <w:sz w:val="16"/>
              </w:rPr>
              <w:t>0.00分</w:t>
            </w:r>
          </w:p>
        </w:tc>
      </w:tr>
      <w:tr w14:paraId="62DB7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304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D5A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9B9B0">
            <w:pPr>
              <w:jc w:val="center"/>
            </w:pPr>
            <w:r>
              <w:rPr>
                <w:rFonts w:ascii="宋体" w:hAnsi="宋体" w:eastAsia="宋体"/>
                <w:sz w:val="16"/>
              </w:rPr>
              <w:t>57,217.00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AC461">
            <w:pPr>
              <w:jc w:val="center"/>
            </w:pPr>
            <w:r>
              <w:rPr>
                <w:rFonts w:ascii="宋体" w:hAnsi="宋体" w:eastAsia="宋体"/>
                <w:sz w:val="16"/>
              </w:rPr>
              <w:t>57,217.00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BB856">
            <w:pPr>
              <w:jc w:val="center"/>
            </w:pPr>
            <w:r>
              <w:rPr>
                <w:rFonts w:ascii="宋体" w:hAnsi="宋体" w:eastAsia="宋体"/>
                <w:sz w:val="16"/>
              </w:rPr>
              <w:t>32,348.73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C6C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E0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4CBE">
            <w:pPr>
              <w:jc w:val="center"/>
            </w:pPr>
            <w:r>
              <w:rPr>
                <w:rFonts w:ascii="宋体" w:hAnsi="宋体" w:eastAsia="宋体"/>
                <w:sz w:val="16"/>
              </w:rPr>
              <w:t>—</w:t>
            </w:r>
          </w:p>
        </w:tc>
      </w:tr>
      <w:tr w14:paraId="17E55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64A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DAF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E54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2D3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88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19E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751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43A7">
            <w:pPr>
              <w:jc w:val="center"/>
            </w:pPr>
            <w:r>
              <w:rPr>
                <w:rFonts w:ascii="宋体" w:hAnsi="宋体" w:eastAsia="宋体"/>
                <w:sz w:val="16"/>
              </w:rPr>
              <w:t>—</w:t>
            </w:r>
          </w:p>
        </w:tc>
      </w:tr>
      <w:tr w14:paraId="4BD227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13E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6B32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5DB9D3">
            <w:pPr>
              <w:jc w:val="center"/>
            </w:pPr>
            <w:r>
              <w:rPr>
                <w:rFonts w:ascii="宋体" w:hAnsi="宋体" w:eastAsia="宋体"/>
                <w:sz w:val="16"/>
              </w:rPr>
              <w:t>实际完成情况</w:t>
            </w:r>
          </w:p>
        </w:tc>
      </w:tr>
      <w:tr w14:paraId="33C58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E12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F1A14">
            <w:pPr>
              <w:jc w:val="both"/>
            </w:pPr>
            <w:r>
              <w:rPr>
                <w:rFonts w:ascii="宋体" w:hAnsi="宋体" w:eastAsia="宋体"/>
                <w:sz w:val="16"/>
              </w:rPr>
              <w:t>项目资金57217万元、完成“十四五”现代综合交通运输体系发展规划范围内的综合交通、公路等年度建设任务.完成G219线恰热克至叶城公路工程项目的全部施工图设计工作、完成92公里普通国道建设任务。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4115B6">
            <w:pPr>
              <w:jc w:val="both"/>
            </w:pPr>
            <w:r>
              <w:rPr>
                <w:rFonts w:ascii="宋体" w:hAnsi="宋体" w:eastAsia="宋体"/>
                <w:sz w:val="16"/>
              </w:rPr>
              <w:t>该项目已完成全部施工图设计内功工程、完成建设91.916公里普通国道建设任务,现已进入交工验收和返工补做阶段。剩余竣工验收等工作计划2025年上半年完成，“十四五”现代综合交通运输体系发展规划范围内的综合交通、通过项目实施加快一条国道建设。</w:t>
            </w:r>
          </w:p>
        </w:tc>
      </w:tr>
      <w:tr w14:paraId="6F4888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876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B15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4A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58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2FD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B1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8B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A2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0B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02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A8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99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60725">
            <w:pPr>
              <w:jc w:val="center"/>
            </w:pPr>
            <w:r>
              <w:rPr>
                <w:rFonts w:ascii="宋体" w:hAnsi="宋体" w:eastAsia="宋体"/>
                <w:sz w:val="16"/>
              </w:rPr>
              <w:t>偏差原因分析及改进措施</w:t>
            </w:r>
          </w:p>
        </w:tc>
      </w:tr>
      <w:tr w14:paraId="3C242B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65AC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BC08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38A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43B83">
            <w:pPr>
              <w:jc w:val="center"/>
            </w:pPr>
            <w:r>
              <w:rPr>
                <w:rFonts w:ascii="宋体" w:hAnsi="宋体" w:eastAsia="宋体"/>
                <w:sz w:val="16"/>
              </w:rPr>
              <w:t>施工图设计长度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C23AA">
            <w:pPr>
              <w:jc w:val="center"/>
            </w:pPr>
            <w:r>
              <w:rPr>
                <w:rFonts w:ascii="宋体" w:hAnsi="宋体" w:eastAsia="宋体"/>
                <w:sz w:val="16"/>
              </w:rPr>
              <w:t>=92公里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26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49B6">
            <w:pPr>
              <w:jc w:val="center"/>
            </w:pPr>
            <w:r>
              <w:rPr>
                <w:rFonts w:ascii="宋体" w:hAnsi="宋体" w:eastAsia="宋体"/>
                <w:sz w:val="16"/>
              </w:rPr>
              <w:t>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64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D7E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2DD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EBF8">
            <w:pPr>
              <w:jc w:val="center"/>
            </w:pPr>
            <w:r>
              <w:rPr>
                <w:rFonts w:ascii="宋体" w:hAnsi="宋体" w:eastAsia="宋体"/>
                <w:sz w:val="16"/>
              </w:rPr>
              <w:t>=91.916公里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1932">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B7842">
            <w:pPr>
              <w:jc w:val="center"/>
            </w:pPr>
            <w:r>
              <w:rPr>
                <w:rFonts w:ascii="宋体" w:hAnsi="宋体" w:eastAsia="宋体"/>
                <w:sz w:val="16"/>
              </w:rPr>
              <w:t>偏差原因：G219线恰热克至叶城公路工程项目前期设置绩效目标未保留2位小数直接取整数按92公里设置，</w:t>
            </w:r>
            <w:r>
              <w:rPr>
                <w:rFonts w:hint="eastAsia" w:ascii="宋体" w:hAnsi="宋体"/>
                <w:sz w:val="16"/>
                <w:lang w:eastAsia="zh-CN"/>
              </w:rPr>
              <w:t>截至</w:t>
            </w:r>
            <w:r>
              <w:rPr>
                <w:rFonts w:ascii="宋体" w:hAnsi="宋体" w:eastAsia="宋体"/>
                <w:sz w:val="16"/>
              </w:rPr>
              <w:t>2024年12月31日，普通国道建设最终设计批复为91.96公里，实际公里数与目标存在部分偏差，改进措施：项目前期做好可行性研究报告，在取数据时保留2位小数，精准设置目标值。</w:t>
            </w:r>
          </w:p>
        </w:tc>
      </w:tr>
      <w:tr w14:paraId="442B6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76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65C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91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121B">
            <w:pPr>
              <w:jc w:val="center"/>
            </w:pPr>
            <w:r>
              <w:rPr>
                <w:rFonts w:ascii="宋体" w:hAnsi="宋体" w:eastAsia="宋体"/>
                <w:sz w:val="16"/>
              </w:rPr>
              <w:t>支持普通国道建设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2F67">
            <w:pPr>
              <w:jc w:val="center"/>
            </w:pPr>
            <w:r>
              <w:rPr>
                <w:rFonts w:ascii="宋体" w:hAnsi="宋体" w:eastAsia="宋体"/>
                <w:sz w:val="16"/>
              </w:rPr>
              <w:t>=92公里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FD4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6CCE">
            <w:pPr>
              <w:jc w:val="center"/>
            </w:pPr>
            <w:r>
              <w:rPr>
                <w:rFonts w:ascii="宋体" w:hAnsi="宋体" w:eastAsia="宋体"/>
                <w:sz w:val="16"/>
              </w:rPr>
              <w:t>92公里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B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95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3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EB3D">
            <w:pPr>
              <w:jc w:val="center"/>
            </w:pPr>
            <w:r>
              <w:rPr>
                <w:rFonts w:ascii="宋体" w:hAnsi="宋体" w:eastAsia="宋体"/>
                <w:sz w:val="16"/>
              </w:rPr>
              <w:t>=91.916公里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D1003">
            <w:pPr>
              <w:jc w:val="center"/>
            </w:pPr>
            <w:r>
              <w:rPr>
                <w:rFonts w:ascii="宋体" w:hAnsi="宋体" w:eastAsia="宋体"/>
                <w:sz w:val="16"/>
              </w:rPr>
              <w:t>9.98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E8A6B">
            <w:pPr>
              <w:jc w:val="center"/>
            </w:pPr>
            <w:r>
              <w:rPr>
                <w:rFonts w:ascii="宋体" w:hAnsi="宋体" w:eastAsia="宋体"/>
                <w:sz w:val="16"/>
              </w:rPr>
              <w:t>偏差原因：G219线恰热克至叶城公路工程项目前期设置绩效目标未保留2位小数直接取整数按92公里设置，</w:t>
            </w:r>
            <w:r>
              <w:rPr>
                <w:rFonts w:hint="eastAsia" w:ascii="宋体" w:hAnsi="宋体"/>
                <w:sz w:val="16"/>
                <w:lang w:eastAsia="zh-CN"/>
              </w:rPr>
              <w:t>截至</w:t>
            </w:r>
            <w:r>
              <w:rPr>
                <w:rFonts w:ascii="宋体" w:hAnsi="宋体" w:eastAsia="宋体"/>
                <w:sz w:val="16"/>
              </w:rPr>
              <w:t>2024年12月31日，普通国道建设最终设计批复为91.96公里，实际公里数与目标存在部分偏差，改进措施：项目前期做好可行性研究报告，在取数据时保留2位小数，精准设置目标值。</w:t>
            </w:r>
          </w:p>
        </w:tc>
      </w:tr>
      <w:tr w14:paraId="64FA8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CF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962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6D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5563">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9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21D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3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C8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35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02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C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3C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5A59F">
            <w:pPr>
              <w:jc w:val="center"/>
            </w:pPr>
          </w:p>
        </w:tc>
      </w:tr>
      <w:tr w14:paraId="767C7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26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D6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F8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C62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363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77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7B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A4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2D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9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5FA6">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EF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043D1">
            <w:pPr>
              <w:jc w:val="center"/>
            </w:pPr>
          </w:p>
        </w:tc>
      </w:tr>
      <w:tr w14:paraId="1E6C83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7FD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270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50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D4CD">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CEC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96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FD78">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AA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69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03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8682">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FE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8C6EB">
            <w:pPr>
              <w:jc w:val="center"/>
            </w:pPr>
            <w:r>
              <w:rPr>
                <w:rFonts w:ascii="宋体" w:hAnsi="宋体" w:eastAsia="宋体"/>
                <w:sz w:val="16"/>
              </w:rPr>
              <w:t>项目存在偏差：项目预算成本</w:t>
            </w:r>
            <w:r>
              <w:rPr>
                <w:rFonts w:hint="eastAsia" w:ascii="宋体" w:hAnsi="宋体"/>
                <w:sz w:val="16"/>
                <w:lang w:eastAsia="zh-CN"/>
              </w:rPr>
              <w:t>控制率</w:t>
            </w:r>
            <w:r>
              <w:rPr>
                <w:rFonts w:ascii="宋体" w:hAnsi="宋体" w:eastAsia="宋体"/>
                <w:sz w:val="16"/>
              </w:rPr>
              <w:t>56.5%，偏差原因：项目未完工、该项目已完成全部施工图设计</w:t>
            </w:r>
            <w:r>
              <w:rPr>
                <w:rFonts w:hint="eastAsia" w:ascii="宋体" w:hAnsi="宋体"/>
                <w:sz w:val="16"/>
                <w:lang w:eastAsia="zh-CN"/>
              </w:rPr>
              <w:t>内部</w:t>
            </w:r>
            <w:r>
              <w:rPr>
                <w:rFonts w:ascii="宋体" w:hAnsi="宋体" w:eastAsia="宋体"/>
                <w:sz w:val="16"/>
              </w:rPr>
              <w:t>工程、完成建设92公里普通国道建设任务,现已进入交工验收和返工补做阶段、改进措施：计划2025年上半年完成</w:t>
            </w:r>
          </w:p>
        </w:tc>
      </w:tr>
      <w:tr w14:paraId="3E6CD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F20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1F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B1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6808">
            <w:pPr>
              <w:jc w:val="center"/>
            </w:pPr>
            <w:r>
              <w:rPr>
                <w:rFonts w:ascii="宋体" w:hAnsi="宋体" w:eastAsia="宋体"/>
                <w:sz w:val="16"/>
              </w:rPr>
              <w:t>交通建设符合环水保要求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9BA9">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640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74C5">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CB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22B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44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C759">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CB1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A08A">
            <w:pPr>
              <w:jc w:val="center"/>
            </w:pPr>
          </w:p>
        </w:tc>
      </w:tr>
      <w:tr w14:paraId="749EB0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2A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36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6F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DDA9">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4F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7FC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6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03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73B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D6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B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B5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E8854">
            <w:pPr>
              <w:jc w:val="center"/>
            </w:pPr>
          </w:p>
        </w:tc>
      </w:tr>
      <w:tr w14:paraId="19C5B5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87C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48A4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CE3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9173">
            <w:pPr>
              <w:jc w:val="center"/>
            </w:pPr>
            <w:r>
              <w:rPr>
                <w:rFonts w:ascii="宋体" w:hAnsi="宋体" w:eastAsia="宋体"/>
                <w:sz w:val="16"/>
              </w:rPr>
              <w:t>69.96分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85D358"/>
        </w:tc>
      </w:tr>
    </w:tbl>
    <w:p w14:paraId="3D5D4648">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FB808E0">
        <w:tblPrEx>
          <w:tblCellMar>
            <w:top w:w="0" w:type="dxa"/>
            <w:left w:w="108" w:type="dxa"/>
            <w:bottom w:w="0" w:type="dxa"/>
            <w:right w:w="108" w:type="dxa"/>
          </w:tblCellMar>
        </w:tblPrEx>
        <w:tc>
          <w:tcPr>
            <w:tcW w:w="8848" w:type="dxa"/>
            <w:gridSpan w:val="14"/>
            <w:vAlign w:val="center"/>
          </w:tcPr>
          <w:p w14:paraId="1312B7FE">
            <w:pPr>
              <w:jc w:val="center"/>
            </w:pPr>
            <w:r>
              <w:rPr>
                <w:rFonts w:ascii="宋体" w:hAnsi="宋体" w:eastAsia="宋体"/>
                <w:sz w:val="24"/>
              </w:rPr>
              <w:t>项目支出绩效自评表</w:t>
            </w:r>
          </w:p>
        </w:tc>
      </w:tr>
      <w:tr w14:paraId="683BA0AB">
        <w:tblPrEx>
          <w:tblCellMar>
            <w:top w:w="0" w:type="dxa"/>
            <w:left w:w="108" w:type="dxa"/>
            <w:bottom w:w="0" w:type="dxa"/>
            <w:right w:w="108" w:type="dxa"/>
          </w:tblCellMar>
        </w:tblPrEx>
        <w:tc>
          <w:tcPr>
            <w:tcW w:w="8848" w:type="dxa"/>
            <w:gridSpan w:val="14"/>
            <w:vAlign w:val="center"/>
          </w:tcPr>
          <w:p w14:paraId="683E568D">
            <w:pPr>
              <w:jc w:val="center"/>
            </w:pPr>
            <w:r>
              <w:rPr>
                <w:rFonts w:ascii="宋体" w:hAnsi="宋体" w:eastAsia="宋体"/>
                <w:sz w:val="24"/>
              </w:rPr>
              <w:t>(2024年度)</w:t>
            </w:r>
          </w:p>
        </w:tc>
      </w:tr>
      <w:tr w14:paraId="771F10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69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78A063">
            <w:pPr>
              <w:jc w:val="center"/>
            </w:pPr>
            <w:r>
              <w:rPr>
                <w:rFonts w:ascii="宋体" w:hAnsi="宋体" w:eastAsia="宋体"/>
                <w:sz w:val="16"/>
              </w:rPr>
              <w:t>交通基础设施建设协调、监督和管理项目</w:t>
            </w:r>
          </w:p>
        </w:tc>
      </w:tr>
      <w:tr w14:paraId="41787D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E67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127733">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02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9F9819">
            <w:pPr>
              <w:jc w:val="center"/>
            </w:pPr>
            <w:r>
              <w:rPr>
                <w:rFonts w:ascii="宋体" w:hAnsi="宋体" w:eastAsia="宋体"/>
                <w:sz w:val="16"/>
              </w:rPr>
              <w:t>新疆维吾尔自治区喀什地区交通运输局</w:t>
            </w:r>
          </w:p>
        </w:tc>
      </w:tr>
      <w:tr w14:paraId="1D4F05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7F7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FCB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61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A5C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63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8C7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DA4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7EF4">
            <w:pPr>
              <w:jc w:val="center"/>
            </w:pPr>
            <w:r>
              <w:rPr>
                <w:rFonts w:ascii="宋体" w:hAnsi="宋体" w:eastAsia="宋体"/>
                <w:sz w:val="16"/>
              </w:rPr>
              <w:t>得分</w:t>
            </w:r>
          </w:p>
        </w:tc>
      </w:tr>
      <w:tr w14:paraId="56294C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632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6ED7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F275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66C5">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C6B4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178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B36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05BE">
            <w:pPr>
              <w:jc w:val="center"/>
            </w:pPr>
            <w:r>
              <w:rPr>
                <w:rFonts w:ascii="宋体" w:hAnsi="宋体" w:eastAsia="宋体"/>
                <w:sz w:val="16"/>
              </w:rPr>
              <w:t>10.00分</w:t>
            </w:r>
          </w:p>
        </w:tc>
      </w:tr>
      <w:tr w14:paraId="61680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296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221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8D5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C634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505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974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42F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E334E">
            <w:pPr>
              <w:jc w:val="center"/>
            </w:pPr>
            <w:r>
              <w:rPr>
                <w:rFonts w:ascii="宋体" w:hAnsi="宋体" w:eastAsia="宋体"/>
                <w:sz w:val="16"/>
              </w:rPr>
              <w:t>—</w:t>
            </w:r>
          </w:p>
        </w:tc>
      </w:tr>
      <w:tr w14:paraId="50CE8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3FB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2B5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F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9E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7FC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3E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A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8A02">
            <w:pPr>
              <w:jc w:val="center"/>
            </w:pPr>
            <w:r>
              <w:rPr>
                <w:rFonts w:ascii="宋体" w:hAnsi="宋体" w:eastAsia="宋体"/>
                <w:sz w:val="16"/>
              </w:rPr>
              <w:t>—</w:t>
            </w:r>
          </w:p>
        </w:tc>
      </w:tr>
      <w:tr w14:paraId="22A5C1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562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F14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BF710">
            <w:pPr>
              <w:jc w:val="center"/>
            </w:pPr>
            <w:r>
              <w:rPr>
                <w:rFonts w:ascii="宋体" w:hAnsi="宋体" w:eastAsia="宋体"/>
                <w:sz w:val="16"/>
              </w:rPr>
              <w:t>实际完成情况</w:t>
            </w:r>
          </w:p>
        </w:tc>
      </w:tr>
      <w:tr w14:paraId="59E39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AA8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87C1F">
            <w:pPr>
              <w:jc w:val="both"/>
            </w:pPr>
            <w:r>
              <w:rPr>
                <w:rFonts w:hint="eastAsia" w:ascii="宋体" w:hAnsi="宋体"/>
                <w:sz w:val="16"/>
                <w:lang w:eastAsia="zh-CN"/>
              </w:rPr>
              <w:t>项目总投资</w:t>
            </w:r>
            <w:r>
              <w:rPr>
                <w:rFonts w:ascii="宋体" w:hAnsi="宋体" w:eastAsia="宋体"/>
                <w:sz w:val="16"/>
              </w:rPr>
              <w:t>25万元；保障人数10人、2024年工程质量监督执法大队认真落实建设“质量强区”工作要求及交通运输工作会议精神，深入推进质量安全隐患排查整治，强化监督实效；主动配合服务，确保竣（交）工目标任务；做好行业监管；开展质量监督行政执法，对违法行为进行处罚，聘请第三方机构一家，出具检测报告，促进公路建设项目质量水平稳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C5E4F0">
            <w:pPr>
              <w:jc w:val="both"/>
            </w:pPr>
            <w:r>
              <w:rPr>
                <w:rFonts w:hint="eastAsia" w:ascii="宋体" w:hAnsi="宋体"/>
                <w:sz w:val="16"/>
                <w:lang w:eastAsia="zh-CN"/>
              </w:rPr>
              <w:t>截至2024</w:t>
            </w:r>
            <w:r>
              <w:rPr>
                <w:rFonts w:ascii="宋体" w:hAnsi="宋体" w:eastAsia="宋体"/>
                <w:sz w:val="16"/>
              </w:rPr>
              <w:t>年12月31日、项目实际支出25万元；保障了10名执法人员的相关差旅费和办公费、聘请第三方机构一家，出具检测报告，促进公路建设项目质量水平稳步提升。</w:t>
            </w:r>
          </w:p>
        </w:tc>
      </w:tr>
      <w:tr w14:paraId="2D4D55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21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A2D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1DE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7C4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F3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BE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21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BB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0B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8A2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7F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07E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F4089">
            <w:pPr>
              <w:jc w:val="center"/>
            </w:pPr>
            <w:r>
              <w:rPr>
                <w:rFonts w:ascii="宋体" w:hAnsi="宋体" w:eastAsia="宋体"/>
                <w:sz w:val="16"/>
              </w:rPr>
              <w:t>偏差原因分析及改进措施</w:t>
            </w:r>
          </w:p>
        </w:tc>
      </w:tr>
      <w:tr w14:paraId="2B0BC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B00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FF44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CCA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DCA1">
            <w:pPr>
              <w:jc w:val="center"/>
            </w:pPr>
            <w:r>
              <w:rPr>
                <w:rFonts w:ascii="宋体" w:hAnsi="宋体" w:eastAsia="宋体"/>
                <w:sz w:val="16"/>
              </w:rPr>
              <w:t>保障人员数量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5298">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BB9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E54F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A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68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2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EF1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B1E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DE81">
            <w:pPr>
              <w:jc w:val="center"/>
            </w:pPr>
          </w:p>
        </w:tc>
      </w:tr>
      <w:tr w14:paraId="26AEF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E8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50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AF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AC2E">
            <w:pPr>
              <w:jc w:val="center"/>
            </w:pPr>
            <w:r>
              <w:rPr>
                <w:rFonts w:ascii="宋体" w:hAnsi="宋体" w:eastAsia="宋体"/>
                <w:sz w:val="16"/>
              </w:rPr>
              <w:t>聘请第三方机构数量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AE2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EEC8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0B7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5A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8B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B17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C3D9">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97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DD1A3">
            <w:pPr>
              <w:jc w:val="center"/>
            </w:pPr>
          </w:p>
        </w:tc>
      </w:tr>
      <w:tr w14:paraId="5FCBE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DD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BD3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5001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80C5">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4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ECC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1C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73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2F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D6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FC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C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F5A91">
            <w:pPr>
              <w:jc w:val="center"/>
            </w:pPr>
          </w:p>
        </w:tc>
      </w:tr>
      <w:tr w14:paraId="7D200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21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56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10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03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781E">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2B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31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6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F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FD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6EEE2">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318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891C5">
            <w:pPr>
              <w:jc w:val="center"/>
            </w:pPr>
          </w:p>
        </w:tc>
      </w:tr>
      <w:tr w14:paraId="584B4C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A29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238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6F9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1E5C">
            <w:pPr>
              <w:jc w:val="center"/>
            </w:pPr>
            <w:r>
              <w:rPr>
                <w:rFonts w:ascii="宋体" w:hAnsi="宋体" w:eastAsia="宋体"/>
                <w:sz w:val="16"/>
              </w:rPr>
              <w:t>人员差旅费成本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84947">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0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C5AC">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DC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6E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6B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378D">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4D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1F92">
            <w:pPr>
              <w:jc w:val="center"/>
            </w:pPr>
          </w:p>
        </w:tc>
      </w:tr>
      <w:tr w14:paraId="7CE65E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D1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0A9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B79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4ADF">
            <w:pPr>
              <w:jc w:val="center"/>
            </w:pPr>
            <w:r>
              <w:rPr>
                <w:rFonts w:ascii="宋体" w:hAnsi="宋体" w:eastAsia="宋体"/>
                <w:sz w:val="16"/>
              </w:rPr>
              <w:t>委托第三方费用成本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2D4E">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26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AADDA">
            <w:pPr>
              <w:jc w:val="center"/>
            </w:pPr>
            <w:r>
              <w:rPr>
                <w:rFonts w:ascii="宋体" w:hAnsi="宋体" w:eastAsia="宋体"/>
                <w:sz w:val="16"/>
              </w:rPr>
              <w: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EC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69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28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011D">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B8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387CA">
            <w:pPr>
              <w:jc w:val="center"/>
            </w:pPr>
          </w:p>
        </w:tc>
      </w:tr>
      <w:tr w14:paraId="74B04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97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90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B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97CE">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22A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65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864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AD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8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63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ADA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4D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D8681">
            <w:pPr>
              <w:jc w:val="center"/>
            </w:pPr>
          </w:p>
        </w:tc>
      </w:tr>
      <w:tr w14:paraId="1A98F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B4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11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CEE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6CD1">
            <w:pPr>
              <w:jc w:val="center"/>
            </w:pPr>
            <w:r>
              <w:rPr>
                <w:rFonts w:ascii="宋体" w:hAnsi="宋体" w:eastAsia="宋体"/>
                <w:sz w:val="16"/>
              </w:rPr>
              <w:t>促进公路建设项目质量水平稳步提升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15B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95D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3CEA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BA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33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C0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872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D3C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EE78">
            <w:pPr>
              <w:jc w:val="center"/>
            </w:pPr>
          </w:p>
        </w:tc>
      </w:tr>
      <w:tr w14:paraId="68EA8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4B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98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5A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350B">
            <w:pPr>
              <w:jc w:val="center"/>
            </w:pPr>
            <w:r>
              <w:rPr>
                <w:rFonts w:ascii="宋体" w:hAnsi="宋体" w:eastAsia="宋体"/>
                <w:sz w:val="16"/>
              </w:rPr>
              <w:t>受监各参建单位满意度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E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1B0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ABB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97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97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5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0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03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3FE80">
            <w:pPr>
              <w:jc w:val="center"/>
            </w:pPr>
          </w:p>
        </w:tc>
      </w:tr>
      <w:tr w14:paraId="1B76388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A64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19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849C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3B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D5A9DF"/>
        </w:tc>
      </w:tr>
    </w:tbl>
    <w:p w14:paraId="43BDF2F1">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2A87941">
        <w:tblPrEx>
          <w:tblCellMar>
            <w:top w:w="0" w:type="dxa"/>
            <w:left w:w="108" w:type="dxa"/>
            <w:bottom w:w="0" w:type="dxa"/>
            <w:right w:w="108" w:type="dxa"/>
          </w:tblCellMar>
        </w:tblPrEx>
        <w:tc>
          <w:tcPr>
            <w:tcW w:w="8848" w:type="dxa"/>
            <w:gridSpan w:val="14"/>
            <w:vAlign w:val="center"/>
          </w:tcPr>
          <w:p w14:paraId="2EF3AD6D">
            <w:pPr>
              <w:jc w:val="center"/>
            </w:pPr>
            <w:r>
              <w:rPr>
                <w:rFonts w:ascii="宋体" w:hAnsi="宋体" w:eastAsia="宋体"/>
                <w:sz w:val="24"/>
              </w:rPr>
              <w:t>项目支出绩效自评表</w:t>
            </w:r>
          </w:p>
        </w:tc>
      </w:tr>
      <w:tr w14:paraId="68279F24">
        <w:tblPrEx>
          <w:tblCellMar>
            <w:top w:w="0" w:type="dxa"/>
            <w:left w:w="108" w:type="dxa"/>
            <w:bottom w:w="0" w:type="dxa"/>
            <w:right w:w="108" w:type="dxa"/>
          </w:tblCellMar>
        </w:tblPrEx>
        <w:tc>
          <w:tcPr>
            <w:tcW w:w="8848" w:type="dxa"/>
            <w:gridSpan w:val="14"/>
            <w:vAlign w:val="center"/>
          </w:tcPr>
          <w:p w14:paraId="1DFD508E">
            <w:pPr>
              <w:jc w:val="center"/>
            </w:pPr>
            <w:r>
              <w:rPr>
                <w:rFonts w:ascii="宋体" w:hAnsi="宋体" w:eastAsia="宋体"/>
                <w:sz w:val="24"/>
              </w:rPr>
              <w:t>(2024年度)</w:t>
            </w:r>
          </w:p>
        </w:tc>
      </w:tr>
      <w:tr w14:paraId="6611D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73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AFC38D">
            <w:pPr>
              <w:jc w:val="center"/>
            </w:pPr>
            <w:r>
              <w:rPr>
                <w:rFonts w:ascii="宋体" w:hAnsi="宋体" w:eastAsia="宋体"/>
                <w:sz w:val="16"/>
              </w:rPr>
              <w:t>交通运输规范生产应急演练项目</w:t>
            </w:r>
          </w:p>
        </w:tc>
      </w:tr>
      <w:tr w14:paraId="62B775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4C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870E31">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E6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53C504">
            <w:pPr>
              <w:jc w:val="center"/>
            </w:pPr>
            <w:r>
              <w:rPr>
                <w:rFonts w:ascii="宋体" w:hAnsi="宋体" w:eastAsia="宋体"/>
                <w:sz w:val="16"/>
              </w:rPr>
              <w:t>新疆维吾尔自治区喀什地区交通运输局</w:t>
            </w:r>
          </w:p>
        </w:tc>
      </w:tr>
      <w:tr w14:paraId="0AF9D7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F56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5EF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B96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16B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E9A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9EE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889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062F">
            <w:pPr>
              <w:jc w:val="center"/>
            </w:pPr>
            <w:r>
              <w:rPr>
                <w:rFonts w:ascii="宋体" w:hAnsi="宋体" w:eastAsia="宋体"/>
                <w:sz w:val="16"/>
              </w:rPr>
              <w:t>得分</w:t>
            </w:r>
          </w:p>
        </w:tc>
      </w:tr>
      <w:tr w14:paraId="30F52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EB0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79F3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439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C813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0EFB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95E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EE6F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B17B">
            <w:pPr>
              <w:jc w:val="center"/>
            </w:pPr>
            <w:r>
              <w:rPr>
                <w:rFonts w:ascii="宋体" w:hAnsi="宋体" w:eastAsia="宋体"/>
                <w:sz w:val="16"/>
              </w:rPr>
              <w:t>10.00分</w:t>
            </w:r>
          </w:p>
        </w:tc>
      </w:tr>
      <w:tr w14:paraId="038C9E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EF1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14D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5C34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AF9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90A9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046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C45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AA6F4">
            <w:pPr>
              <w:jc w:val="center"/>
            </w:pPr>
            <w:r>
              <w:rPr>
                <w:rFonts w:ascii="宋体" w:hAnsi="宋体" w:eastAsia="宋体"/>
                <w:sz w:val="16"/>
              </w:rPr>
              <w:t>—</w:t>
            </w:r>
          </w:p>
        </w:tc>
      </w:tr>
      <w:tr w14:paraId="18995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CB8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B36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B2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72D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75C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19C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F6C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6C497">
            <w:pPr>
              <w:jc w:val="center"/>
            </w:pPr>
            <w:r>
              <w:rPr>
                <w:rFonts w:ascii="宋体" w:hAnsi="宋体" w:eastAsia="宋体"/>
                <w:sz w:val="16"/>
              </w:rPr>
              <w:t>—</w:t>
            </w:r>
          </w:p>
        </w:tc>
      </w:tr>
      <w:tr w14:paraId="17780B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3CB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57A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C8A7E0">
            <w:pPr>
              <w:jc w:val="center"/>
            </w:pPr>
            <w:r>
              <w:rPr>
                <w:rFonts w:ascii="宋体" w:hAnsi="宋体" w:eastAsia="宋体"/>
                <w:sz w:val="16"/>
              </w:rPr>
              <w:t>实际完成情况</w:t>
            </w:r>
          </w:p>
        </w:tc>
      </w:tr>
      <w:tr w14:paraId="1059F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40C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10DAB">
            <w:pPr>
              <w:jc w:val="both"/>
            </w:pPr>
            <w:r>
              <w:rPr>
                <w:rFonts w:hint="eastAsia" w:ascii="宋体" w:hAnsi="宋体"/>
                <w:sz w:val="16"/>
                <w:lang w:eastAsia="zh-CN"/>
              </w:rPr>
              <w:t>项目总投资</w:t>
            </w:r>
            <w:r>
              <w:rPr>
                <w:rFonts w:ascii="宋体" w:hAnsi="宋体" w:eastAsia="宋体"/>
                <w:sz w:val="16"/>
              </w:rPr>
              <w:t>5万元，综合性的交通运输系统应急演练一次、常态化开展专业培训和演练，进一步提高交通运输行业安全应急处突能力、交通专业抢险队伍应急救援能力。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68DDCB">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年12月31日实际支出5万元，完成一次综合性的交通运输系统应急演练、通过常态化开展专业培训和演练，提升了交通运输行业安全应急处突能力、交通专业抢险队伍应急救援能力。</w:t>
            </w:r>
          </w:p>
        </w:tc>
      </w:tr>
      <w:tr w14:paraId="7D7EBD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EB9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32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06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1C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70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D9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FF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46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A91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AE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F7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F2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88CE">
            <w:pPr>
              <w:jc w:val="center"/>
            </w:pPr>
            <w:r>
              <w:rPr>
                <w:rFonts w:ascii="宋体" w:hAnsi="宋体" w:eastAsia="宋体"/>
                <w:sz w:val="16"/>
              </w:rPr>
              <w:t>偏差原因分析及改进措施</w:t>
            </w:r>
          </w:p>
        </w:tc>
      </w:tr>
      <w:tr w14:paraId="2173CD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AB1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B504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87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2C55">
            <w:pPr>
              <w:jc w:val="center"/>
            </w:pPr>
            <w:r>
              <w:rPr>
                <w:rFonts w:ascii="宋体" w:hAnsi="宋体" w:eastAsia="宋体"/>
                <w:sz w:val="16"/>
              </w:rPr>
              <w:t>综合性的交通运输系统应急演练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B262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2F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3B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B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7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17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0FD2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03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0AD2C">
            <w:pPr>
              <w:jc w:val="center"/>
            </w:pPr>
          </w:p>
        </w:tc>
      </w:tr>
      <w:tr w14:paraId="629F4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EC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CB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FD3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9350">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2B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0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46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F1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D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25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56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CAE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65830">
            <w:pPr>
              <w:jc w:val="center"/>
            </w:pPr>
          </w:p>
        </w:tc>
      </w:tr>
      <w:tr w14:paraId="5EF02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29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B8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92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F5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13B2">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D2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60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35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420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BE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4656A">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454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82E27">
            <w:pPr>
              <w:jc w:val="center"/>
            </w:pPr>
          </w:p>
        </w:tc>
      </w:tr>
      <w:tr w14:paraId="38DD6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840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B98D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EBF0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DA55">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2F83">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ED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0F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81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A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B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C268">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5A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574CB">
            <w:pPr>
              <w:jc w:val="center"/>
            </w:pPr>
          </w:p>
        </w:tc>
      </w:tr>
      <w:tr w14:paraId="2EEFA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0C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016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6A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82DC">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36B5">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A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E0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34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4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18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0BA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4E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187B">
            <w:pPr>
              <w:jc w:val="center"/>
            </w:pPr>
          </w:p>
        </w:tc>
      </w:tr>
      <w:tr w14:paraId="2C0B9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98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55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18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4A31">
            <w:pPr>
              <w:jc w:val="center"/>
            </w:pPr>
            <w:r>
              <w:rPr>
                <w:rFonts w:ascii="宋体" w:hAnsi="宋体" w:eastAsia="宋体"/>
                <w:sz w:val="16"/>
              </w:rPr>
              <w:t>提升安全应急处突能力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E9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D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79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4E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6D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B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D8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4E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22263">
            <w:pPr>
              <w:jc w:val="center"/>
            </w:pPr>
          </w:p>
        </w:tc>
      </w:tr>
      <w:tr w14:paraId="4A676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630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6C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14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1935">
            <w:pPr>
              <w:jc w:val="center"/>
            </w:pPr>
            <w:r>
              <w:rPr>
                <w:rFonts w:ascii="宋体" w:hAnsi="宋体" w:eastAsia="宋体"/>
                <w:sz w:val="16"/>
              </w:rPr>
              <w:t>交通运输系统干部职工满意度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70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87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37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1A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855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C1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0899">
            <w:pPr>
              <w:jc w:val="center"/>
            </w:pPr>
            <w:r>
              <w:rPr>
                <w:rFonts w:ascii="宋体" w:hAnsi="宋体" w:eastAsia="宋体"/>
                <w:sz w:val="16"/>
              </w:rPr>
              <w:t>=99.5%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860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4AD65">
            <w:pPr>
              <w:jc w:val="center"/>
            </w:pPr>
            <w:r>
              <w:rPr>
                <w:rFonts w:ascii="宋体" w:hAnsi="宋体" w:eastAsia="宋体"/>
                <w:sz w:val="16"/>
              </w:rPr>
              <w:t>偏差原因：满意度指标目标值设置偏低，改进措施：根据项目实际合理设置满意度指标</w:t>
            </w:r>
          </w:p>
        </w:tc>
      </w:tr>
      <w:tr w14:paraId="556087F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8F31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2F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AEE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0BCB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33AE49"/>
        </w:tc>
      </w:tr>
    </w:tbl>
    <w:p w14:paraId="22B19B8F">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F1C60D8">
        <w:tblPrEx>
          <w:tblCellMar>
            <w:top w:w="0" w:type="dxa"/>
            <w:left w:w="108" w:type="dxa"/>
            <w:bottom w:w="0" w:type="dxa"/>
            <w:right w:w="108" w:type="dxa"/>
          </w:tblCellMar>
        </w:tblPrEx>
        <w:tc>
          <w:tcPr>
            <w:tcW w:w="8848" w:type="dxa"/>
            <w:gridSpan w:val="14"/>
            <w:vAlign w:val="center"/>
          </w:tcPr>
          <w:p w14:paraId="577534B1">
            <w:pPr>
              <w:jc w:val="center"/>
            </w:pPr>
            <w:r>
              <w:rPr>
                <w:rFonts w:ascii="宋体" w:hAnsi="宋体" w:eastAsia="宋体"/>
                <w:sz w:val="24"/>
              </w:rPr>
              <w:t>项目支出绩效自评表</w:t>
            </w:r>
          </w:p>
        </w:tc>
      </w:tr>
      <w:tr w14:paraId="6C51C25C">
        <w:tblPrEx>
          <w:tblCellMar>
            <w:top w:w="0" w:type="dxa"/>
            <w:left w:w="108" w:type="dxa"/>
            <w:bottom w:w="0" w:type="dxa"/>
            <w:right w:w="108" w:type="dxa"/>
          </w:tblCellMar>
        </w:tblPrEx>
        <w:tc>
          <w:tcPr>
            <w:tcW w:w="8848" w:type="dxa"/>
            <w:gridSpan w:val="14"/>
            <w:vAlign w:val="center"/>
          </w:tcPr>
          <w:p w14:paraId="0FC2ACE9">
            <w:pPr>
              <w:jc w:val="center"/>
            </w:pPr>
            <w:r>
              <w:rPr>
                <w:rFonts w:ascii="宋体" w:hAnsi="宋体" w:eastAsia="宋体"/>
                <w:sz w:val="24"/>
              </w:rPr>
              <w:t>(2024年度)</w:t>
            </w:r>
          </w:p>
        </w:tc>
      </w:tr>
      <w:tr w14:paraId="4059A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87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D98CF9">
            <w:pPr>
              <w:jc w:val="center"/>
            </w:pPr>
            <w:r>
              <w:rPr>
                <w:rFonts w:ascii="宋体" w:hAnsi="宋体" w:eastAsia="宋体"/>
                <w:sz w:val="16"/>
              </w:rPr>
              <w:t>喀什地区12328交通运输服务监督电话三级联网运行项目</w:t>
            </w:r>
          </w:p>
        </w:tc>
      </w:tr>
      <w:tr w14:paraId="2BABBC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F93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E016FD">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B2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A30FF5">
            <w:pPr>
              <w:jc w:val="center"/>
            </w:pPr>
            <w:r>
              <w:rPr>
                <w:rFonts w:ascii="宋体" w:hAnsi="宋体" w:eastAsia="宋体"/>
                <w:sz w:val="16"/>
              </w:rPr>
              <w:t>新疆维吾尔自治区喀什地区交通运输局</w:t>
            </w:r>
          </w:p>
        </w:tc>
      </w:tr>
      <w:tr w14:paraId="50D0BD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D37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7D88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92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5B6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01A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469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71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9805">
            <w:pPr>
              <w:jc w:val="center"/>
            </w:pPr>
            <w:r>
              <w:rPr>
                <w:rFonts w:ascii="宋体" w:hAnsi="宋体" w:eastAsia="宋体"/>
                <w:sz w:val="16"/>
              </w:rPr>
              <w:t>得分</w:t>
            </w:r>
          </w:p>
        </w:tc>
      </w:tr>
      <w:tr w14:paraId="65C36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738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D7D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DD6BB">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20D61">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62A4D">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21A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1FBC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63B4">
            <w:pPr>
              <w:jc w:val="center"/>
            </w:pPr>
            <w:r>
              <w:rPr>
                <w:rFonts w:ascii="宋体" w:hAnsi="宋体" w:eastAsia="宋体"/>
                <w:sz w:val="16"/>
              </w:rPr>
              <w:t>10.00分</w:t>
            </w:r>
          </w:p>
        </w:tc>
      </w:tr>
      <w:tr w14:paraId="7DA1D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D0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A4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54145">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B4C52">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59F65">
            <w:pPr>
              <w:jc w:val="center"/>
            </w:pPr>
            <w:r>
              <w:rPr>
                <w:rFonts w:ascii="宋体" w:hAnsi="宋体" w:eastAsia="宋体"/>
                <w:sz w:val="16"/>
              </w:rPr>
              <w:t>9.53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31A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603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0115">
            <w:pPr>
              <w:jc w:val="center"/>
            </w:pPr>
            <w:r>
              <w:rPr>
                <w:rFonts w:ascii="宋体" w:hAnsi="宋体" w:eastAsia="宋体"/>
                <w:sz w:val="16"/>
              </w:rPr>
              <w:t>—</w:t>
            </w:r>
          </w:p>
        </w:tc>
      </w:tr>
      <w:tr w14:paraId="075B6A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21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1FD4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26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29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B50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788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09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B09D">
            <w:pPr>
              <w:jc w:val="center"/>
            </w:pPr>
            <w:r>
              <w:rPr>
                <w:rFonts w:ascii="宋体" w:hAnsi="宋体" w:eastAsia="宋体"/>
                <w:sz w:val="16"/>
              </w:rPr>
              <w:t>—</w:t>
            </w:r>
          </w:p>
        </w:tc>
      </w:tr>
      <w:tr w14:paraId="6A68F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5475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F5D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C7B0D">
            <w:pPr>
              <w:jc w:val="center"/>
            </w:pPr>
            <w:r>
              <w:rPr>
                <w:rFonts w:ascii="宋体" w:hAnsi="宋体" w:eastAsia="宋体"/>
                <w:sz w:val="16"/>
              </w:rPr>
              <w:t>实际完成情况</w:t>
            </w:r>
          </w:p>
        </w:tc>
      </w:tr>
      <w:tr w14:paraId="694E4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B18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52EC60">
            <w:pPr>
              <w:jc w:val="both"/>
            </w:pPr>
            <w:r>
              <w:rPr>
                <w:rFonts w:ascii="宋体" w:hAnsi="宋体" w:eastAsia="宋体"/>
                <w:sz w:val="16"/>
              </w:rPr>
              <w:t>项目总投入：9.53万元；用于维护线路数量1条和维护系统数量1条，使交通运输服务范围进一步扩大，服务能力进一步增强，服务水平进一步提升。提升交通运输部门依法依规履职能力。力争打造全领域覆盖、</w:t>
            </w:r>
            <w:r>
              <w:rPr>
                <w:rFonts w:hint="eastAsia" w:ascii="宋体" w:hAnsi="宋体"/>
                <w:sz w:val="16"/>
                <w:lang w:eastAsia="zh-CN"/>
              </w:rPr>
              <w:t>全天候</w:t>
            </w:r>
            <w:r>
              <w:rPr>
                <w:rFonts w:ascii="宋体" w:hAnsi="宋体" w:eastAsia="宋体"/>
                <w:sz w:val="16"/>
              </w:rPr>
              <w:t>运行、全方位服务的交通运输“一号通”，使交通运输服务范围进一步扩大，服务能力进一步增强，服务水平进一步提升。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6C712">
            <w:pPr>
              <w:jc w:val="both"/>
            </w:pPr>
            <w:r>
              <w:rPr>
                <w:rFonts w:ascii="宋体" w:hAnsi="宋体" w:eastAsia="宋体"/>
                <w:sz w:val="16"/>
              </w:rPr>
              <w:t>12328交通运输服务监督电话网络维护系统1套、维护线路1条，维护费用9.53万元，用于保障喀什地区交通运输服务三级联网运行体系、交通运输网络服务全方位、全覆盖。社会效益方面提升交通运输部门依法依规履职能力及车辆违法下降。</w:t>
            </w:r>
          </w:p>
        </w:tc>
      </w:tr>
      <w:tr w14:paraId="096D38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C02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DC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AF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A6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5E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DD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CE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F7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0F1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454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44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353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1EA73">
            <w:pPr>
              <w:jc w:val="center"/>
            </w:pPr>
            <w:r>
              <w:rPr>
                <w:rFonts w:ascii="宋体" w:hAnsi="宋体" w:eastAsia="宋体"/>
                <w:sz w:val="16"/>
              </w:rPr>
              <w:t>偏差原因分析及改进措施</w:t>
            </w:r>
          </w:p>
        </w:tc>
      </w:tr>
      <w:tr w14:paraId="0E3591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27C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1D6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1BE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1268">
            <w:pPr>
              <w:jc w:val="center"/>
            </w:pPr>
            <w:r>
              <w:rPr>
                <w:rFonts w:ascii="宋体" w:hAnsi="宋体" w:eastAsia="宋体"/>
                <w:sz w:val="16"/>
              </w:rPr>
              <w:t>维护线路数量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CA3C">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564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EBEB">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6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9A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B4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44BC5">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4E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36CB6">
            <w:pPr>
              <w:jc w:val="center"/>
            </w:pPr>
          </w:p>
        </w:tc>
      </w:tr>
      <w:tr w14:paraId="462B3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61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C9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715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D6A3">
            <w:pPr>
              <w:jc w:val="center"/>
            </w:pPr>
            <w:r>
              <w:rPr>
                <w:rFonts w:ascii="宋体" w:hAnsi="宋体" w:eastAsia="宋体"/>
                <w:sz w:val="16"/>
              </w:rPr>
              <w:t>维护系统数量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78E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D43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6FF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EF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C9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DC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8BF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FB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49FB8">
            <w:pPr>
              <w:jc w:val="center"/>
            </w:pPr>
          </w:p>
        </w:tc>
      </w:tr>
      <w:tr w14:paraId="31314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B2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1E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3A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3AFC">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11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6C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29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B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4A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C8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5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78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EFB6A">
            <w:pPr>
              <w:jc w:val="center"/>
            </w:pPr>
          </w:p>
        </w:tc>
      </w:tr>
      <w:tr w14:paraId="6EAC8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A4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19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A77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04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7B34">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92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4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0C2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1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1C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8DFA4">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6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52A98">
            <w:pPr>
              <w:jc w:val="center"/>
            </w:pPr>
          </w:p>
        </w:tc>
      </w:tr>
      <w:tr w14:paraId="4585A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587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9821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4E6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1C5C">
            <w:pPr>
              <w:jc w:val="center"/>
            </w:pPr>
            <w:r>
              <w:rPr>
                <w:rFonts w:ascii="宋体" w:hAnsi="宋体" w:eastAsia="宋体"/>
                <w:sz w:val="16"/>
              </w:rPr>
              <w:t>系统维护费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DE3A">
            <w:pPr>
              <w:jc w:val="center"/>
            </w:pPr>
            <w:r>
              <w:rPr>
                <w:rFonts w:ascii="宋体" w:hAnsi="宋体" w:eastAsia="宋体"/>
                <w:sz w:val="16"/>
              </w:rPr>
              <w:t>&lt;=7.23万元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35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84DC">
            <w:pPr>
              <w:jc w:val="center"/>
            </w:pPr>
            <w:r>
              <w:rPr>
                <w:rFonts w:ascii="宋体" w:hAnsi="宋体" w:eastAsia="宋体"/>
                <w:sz w:val="16"/>
              </w:rPr>
              <w: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D7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88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E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B2B1">
            <w:pPr>
              <w:jc w:val="center"/>
            </w:pPr>
            <w:r>
              <w:rPr>
                <w:rFonts w:ascii="宋体" w:hAnsi="宋体" w:eastAsia="宋体"/>
                <w:sz w:val="16"/>
              </w:rPr>
              <w: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9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8F823">
            <w:pPr>
              <w:jc w:val="center"/>
            </w:pPr>
          </w:p>
        </w:tc>
      </w:tr>
      <w:tr w14:paraId="6948C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982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D9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23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8204D">
            <w:pPr>
              <w:jc w:val="center"/>
            </w:pPr>
            <w:r>
              <w:rPr>
                <w:rFonts w:ascii="宋体" w:hAnsi="宋体" w:eastAsia="宋体"/>
                <w:sz w:val="16"/>
              </w:rPr>
              <w:t>线路维护费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5555E">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93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94BD">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3D3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5E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C6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E529">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B4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87FB">
            <w:pPr>
              <w:jc w:val="center"/>
            </w:pPr>
          </w:p>
        </w:tc>
      </w:tr>
      <w:tr w14:paraId="5F6BF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A3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C8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5C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2F53">
            <w:pPr>
              <w:jc w:val="center"/>
            </w:pPr>
            <w:r>
              <w:rPr>
                <w:rFonts w:ascii="宋体" w:hAnsi="宋体" w:eastAsia="宋体"/>
                <w:sz w:val="16"/>
              </w:rPr>
              <w:t>提升交通运输部门依法依规履职能力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580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66D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48E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7B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D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FB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A6E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D9F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903FD">
            <w:pPr>
              <w:jc w:val="center"/>
            </w:pPr>
          </w:p>
        </w:tc>
      </w:tr>
      <w:tr w14:paraId="2ADC99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F65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BC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D6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A63F">
            <w:pPr>
              <w:jc w:val="center"/>
            </w:pPr>
            <w:r>
              <w:rPr>
                <w:rFonts w:ascii="宋体" w:hAnsi="宋体" w:eastAsia="宋体"/>
                <w:sz w:val="16"/>
              </w:rPr>
              <w:t>来电群众满意度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E5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C6C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1D5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C9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E8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A26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7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73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63060">
            <w:pPr>
              <w:jc w:val="center"/>
            </w:pPr>
          </w:p>
        </w:tc>
      </w:tr>
      <w:tr w14:paraId="5C3E3C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537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C0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0ABB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03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0C1B10"/>
        </w:tc>
      </w:tr>
    </w:tbl>
    <w:p w14:paraId="1BC55605">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38CEDCC">
        <w:tblPrEx>
          <w:tblCellMar>
            <w:top w:w="0" w:type="dxa"/>
            <w:left w:w="108" w:type="dxa"/>
            <w:bottom w:w="0" w:type="dxa"/>
            <w:right w:w="108" w:type="dxa"/>
          </w:tblCellMar>
        </w:tblPrEx>
        <w:tc>
          <w:tcPr>
            <w:tcW w:w="8848" w:type="dxa"/>
            <w:gridSpan w:val="14"/>
            <w:vAlign w:val="center"/>
          </w:tcPr>
          <w:p w14:paraId="1DCEFC71">
            <w:pPr>
              <w:jc w:val="center"/>
            </w:pPr>
            <w:r>
              <w:rPr>
                <w:rFonts w:ascii="宋体" w:hAnsi="宋体" w:eastAsia="宋体"/>
                <w:sz w:val="24"/>
              </w:rPr>
              <w:t>项目支出绩效自评表</w:t>
            </w:r>
          </w:p>
        </w:tc>
      </w:tr>
      <w:tr w14:paraId="2DEFE69A">
        <w:tblPrEx>
          <w:tblCellMar>
            <w:top w:w="0" w:type="dxa"/>
            <w:left w:w="108" w:type="dxa"/>
            <w:bottom w:w="0" w:type="dxa"/>
            <w:right w:w="108" w:type="dxa"/>
          </w:tblCellMar>
        </w:tblPrEx>
        <w:tc>
          <w:tcPr>
            <w:tcW w:w="8848" w:type="dxa"/>
            <w:gridSpan w:val="14"/>
            <w:vAlign w:val="center"/>
          </w:tcPr>
          <w:p w14:paraId="67C1ECDD">
            <w:pPr>
              <w:jc w:val="center"/>
            </w:pPr>
            <w:r>
              <w:rPr>
                <w:rFonts w:ascii="宋体" w:hAnsi="宋体" w:eastAsia="宋体"/>
                <w:sz w:val="24"/>
              </w:rPr>
              <w:t>(2024年度)</w:t>
            </w:r>
          </w:p>
        </w:tc>
      </w:tr>
      <w:tr w14:paraId="12251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0E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FA5024">
            <w:pPr>
              <w:jc w:val="center"/>
            </w:pPr>
            <w:r>
              <w:rPr>
                <w:rFonts w:ascii="宋体" w:hAnsi="宋体" w:eastAsia="宋体"/>
                <w:sz w:val="16"/>
              </w:rPr>
              <w:t>喀什地区公路建设、指导检查服务项目</w:t>
            </w:r>
          </w:p>
        </w:tc>
      </w:tr>
      <w:tr w14:paraId="7F6A9D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F7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547D94">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81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E0A15E">
            <w:pPr>
              <w:jc w:val="center"/>
            </w:pPr>
            <w:r>
              <w:rPr>
                <w:rFonts w:ascii="宋体" w:hAnsi="宋体" w:eastAsia="宋体"/>
                <w:sz w:val="16"/>
              </w:rPr>
              <w:t>新疆维吾尔自治区喀什地区交通运输局</w:t>
            </w:r>
          </w:p>
        </w:tc>
      </w:tr>
      <w:tr w14:paraId="623784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3A2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528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448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19D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F7E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BA7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75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8580D">
            <w:pPr>
              <w:jc w:val="center"/>
            </w:pPr>
            <w:r>
              <w:rPr>
                <w:rFonts w:ascii="宋体" w:hAnsi="宋体" w:eastAsia="宋体"/>
                <w:sz w:val="16"/>
              </w:rPr>
              <w:t>得分</w:t>
            </w:r>
          </w:p>
        </w:tc>
      </w:tr>
      <w:tr w14:paraId="44A62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465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C53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65CB4">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2373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369F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FDA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C7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337E">
            <w:pPr>
              <w:jc w:val="center"/>
            </w:pPr>
            <w:r>
              <w:rPr>
                <w:rFonts w:ascii="宋体" w:hAnsi="宋体" w:eastAsia="宋体"/>
                <w:sz w:val="16"/>
              </w:rPr>
              <w:t>10.00分</w:t>
            </w:r>
          </w:p>
        </w:tc>
      </w:tr>
      <w:tr w14:paraId="2C96A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221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F8B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3D54F">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06758">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0686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867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69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22844">
            <w:pPr>
              <w:jc w:val="center"/>
            </w:pPr>
            <w:r>
              <w:rPr>
                <w:rFonts w:ascii="宋体" w:hAnsi="宋体" w:eastAsia="宋体"/>
                <w:sz w:val="16"/>
              </w:rPr>
              <w:t>—</w:t>
            </w:r>
          </w:p>
        </w:tc>
      </w:tr>
      <w:tr w14:paraId="5192E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D7C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2B2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412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47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0ED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730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086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0A3F">
            <w:pPr>
              <w:jc w:val="center"/>
            </w:pPr>
            <w:r>
              <w:rPr>
                <w:rFonts w:ascii="宋体" w:hAnsi="宋体" w:eastAsia="宋体"/>
                <w:sz w:val="16"/>
              </w:rPr>
              <w:t>—</w:t>
            </w:r>
          </w:p>
        </w:tc>
      </w:tr>
      <w:tr w14:paraId="6E7242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4A71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0EE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551971">
            <w:pPr>
              <w:jc w:val="center"/>
            </w:pPr>
            <w:r>
              <w:rPr>
                <w:rFonts w:ascii="宋体" w:hAnsi="宋体" w:eastAsia="宋体"/>
                <w:sz w:val="16"/>
              </w:rPr>
              <w:t>实际完成情况</w:t>
            </w:r>
          </w:p>
        </w:tc>
      </w:tr>
      <w:tr w14:paraId="5ACBBB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CFA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C1D63">
            <w:pPr>
              <w:jc w:val="both"/>
            </w:pPr>
            <w:r>
              <w:rPr>
                <w:rFonts w:ascii="宋体" w:hAnsi="宋体" w:eastAsia="宋体"/>
                <w:sz w:val="16"/>
              </w:rPr>
              <w:t>该项目用于保障不少于26人的前往上级部门跑办项目、开会、业务培训及报送全地区相关数据更新报表以及执法局第四季度督导检查差旅费，为地区经济社会高质量发展助力。加强运输、工程项目执法检查力度，确保交通运输行业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23E7B">
            <w:pPr>
              <w:jc w:val="both"/>
            </w:pPr>
            <w:r>
              <w:rPr>
                <w:rFonts w:ascii="宋体" w:hAnsi="宋体" w:eastAsia="宋体"/>
                <w:sz w:val="16"/>
              </w:rPr>
              <w:t>该项目</w:t>
            </w:r>
            <w:r>
              <w:rPr>
                <w:rFonts w:hint="eastAsia" w:ascii="宋体" w:hAnsi="宋体"/>
                <w:sz w:val="16"/>
                <w:lang w:eastAsia="zh-CN"/>
              </w:rPr>
              <w:t>截至2024</w:t>
            </w:r>
            <w:r>
              <w:rPr>
                <w:rFonts w:ascii="宋体" w:hAnsi="宋体" w:eastAsia="宋体"/>
                <w:sz w:val="16"/>
              </w:rPr>
              <w:t>年12月31日实际支出7万元、保障了26人前往上级部门跑办项目、开会、业务培训及报送全地区相关数据更新报表以及执法局第四季度督导检查差旅费，为地区经济社会高质量发展助力，确保了交通运输行业安全。</w:t>
            </w:r>
          </w:p>
        </w:tc>
      </w:tr>
      <w:tr w14:paraId="531F3D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FC1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1B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AB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26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DDB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0A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16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D6A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FC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92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62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5907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98A54">
            <w:pPr>
              <w:jc w:val="center"/>
            </w:pPr>
            <w:r>
              <w:rPr>
                <w:rFonts w:ascii="宋体" w:hAnsi="宋体" w:eastAsia="宋体"/>
                <w:sz w:val="16"/>
              </w:rPr>
              <w:t>偏差原因分析及改进措施</w:t>
            </w:r>
          </w:p>
        </w:tc>
      </w:tr>
      <w:tr w14:paraId="62EC17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2CC6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1FB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57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9649">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BF031">
            <w:pPr>
              <w:jc w:val="center"/>
            </w:pPr>
            <w:r>
              <w:rPr>
                <w:rFonts w:ascii="宋体" w:hAnsi="宋体" w:eastAsia="宋体"/>
                <w:sz w:val="16"/>
              </w:rPr>
              <w:t>&gt;=26人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A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42F5">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70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96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B8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DAC6">
            <w:pPr>
              <w:jc w:val="center"/>
            </w:pPr>
            <w:r>
              <w:rPr>
                <w:rFonts w:ascii="宋体" w:hAnsi="宋体" w:eastAsia="宋体"/>
                <w:sz w:val="16"/>
              </w:rPr>
              <w:t>=26人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75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82DE">
            <w:pPr>
              <w:jc w:val="center"/>
            </w:pPr>
          </w:p>
        </w:tc>
      </w:tr>
      <w:tr w14:paraId="49E9B6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D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05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9C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BF45">
            <w:pPr>
              <w:jc w:val="center"/>
            </w:pPr>
            <w:r>
              <w:rPr>
                <w:rFonts w:ascii="宋体" w:hAnsi="宋体" w:eastAsia="宋体"/>
                <w:sz w:val="16"/>
              </w:rPr>
              <w:t>督导检查工作县（市）覆盖率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55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D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BBD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FFFA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3A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EC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2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60EC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5C402">
            <w:pPr>
              <w:jc w:val="center"/>
            </w:pPr>
          </w:p>
        </w:tc>
      </w:tr>
      <w:tr w14:paraId="4FEB7F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7CF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A53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360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1B8A8">
            <w:pPr>
              <w:jc w:val="center"/>
            </w:pPr>
            <w:r>
              <w:rPr>
                <w:rFonts w:ascii="宋体" w:hAnsi="宋体" w:eastAsia="宋体"/>
                <w:sz w:val="16"/>
              </w:rPr>
              <w:t>督导检查工作完成及时率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5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B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17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18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26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4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1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8009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50A7">
            <w:pPr>
              <w:jc w:val="center"/>
            </w:pPr>
          </w:p>
        </w:tc>
      </w:tr>
      <w:tr w14:paraId="6888A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9F7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02D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284C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B7E3">
            <w:pPr>
              <w:jc w:val="center"/>
            </w:pPr>
            <w:r>
              <w:rPr>
                <w:rFonts w:ascii="宋体" w:hAnsi="宋体" w:eastAsia="宋体"/>
                <w:sz w:val="16"/>
              </w:rPr>
              <w:t>开展项目相关差旅费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D2B1D">
            <w:pPr>
              <w:jc w:val="center"/>
            </w:pPr>
            <w:r>
              <w:rPr>
                <w:rFonts w:ascii="宋体" w:hAnsi="宋体" w:eastAsia="宋体"/>
                <w:sz w:val="16"/>
              </w:rPr>
              <w:t>=5.11万元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62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DC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EC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4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89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3737">
            <w:pPr>
              <w:jc w:val="center"/>
            </w:pPr>
            <w:r>
              <w:rPr>
                <w:rFonts w:ascii="宋体" w:hAnsi="宋体" w:eastAsia="宋体"/>
                <w:sz w:val="16"/>
              </w:rPr>
              <w:t>=5.11万元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3A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F1613">
            <w:pPr>
              <w:jc w:val="center"/>
            </w:pPr>
          </w:p>
        </w:tc>
      </w:tr>
      <w:tr w14:paraId="70117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11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89A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120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7B5F">
            <w:pPr>
              <w:jc w:val="center"/>
            </w:pPr>
            <w:r>
              <w:rPr>
                <w:rFonts w:ascii="宋体" w:hAnsi="宋体" w:eastAsia="宋体"/>
                <w:sz w:val="16"/>
              </w:rPr>
              <w:t>督导检查差旅费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0D4B">
            <w:pPr>
              <w:jc w:val="center"/>
            </w:pPr>
            <w:r>
              <w:rPr>
                <w:rFonts w:ascii="宋体" w:hAnsi="宋体" w:eastAsia="宋体"/>
                <w:sz w:val="16"/>
              </w:rPr>
              <w:t>&lt;=1.89万元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63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88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A7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77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8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7784">
            <w:pPr>
              <w:jc w:val="center"/>
            </w:pPr>
            <w:r>
              <w:rPr>
                <w:rFonts w:ascii="宋体" w:hAnsi="宋体" w:eastAsia="宋体"/>
                <w:sz w:val="16"/>
              </w:rPr>
              <w: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86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2E2C">
            <w:pPr>
              <w:jc w:val="center"/>
            </w:pPr>
          </w:p>
        </w:tc>
      </w:tr>
      <w:tr w14:paraId="1E5AF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8C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F24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6C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86F2">
            <w:pPr>
              <w:jc w:val="center"/>
            </w:pPr>
            <w:r>
              <w:rPr>
                <w:rFonts w:ascii="宋体" w:hAnsi="宋体" w:eastAsia="宋体"/>
                <w:sz w:val="16"/>
              </w:rPr>
              <w:t>确保交通运输行业安全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67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B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B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15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3F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9A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68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CF5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53086">
            <w:pPr>
              <w:jc w:val="center"/>
            </w:pPr>
          </w:p>
        </w:tc>
      </w:tr>
      <w:tr w14:paraId="31A96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AC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D2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FA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9C19">
            <w:pPr>
              <w:jc w:val="center"/>
            </w:pPr>
            <w:r>
              <w:rPr>
                <w:rFonts w:ascii="宋体" w:hAnsi="宋体" w:eastAsia="宋体"/>
                <w:sz w:val="16"/>
              </w:rPr>
              <w:t>指导服务对象满意度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73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855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B3B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27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854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04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7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38C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607B">
            <w:pPr>
              <w:jc w:val="center"/>
            </w:pPr>
            <w:r>
              <w:rPr>
                <w:rFonts w:ascii="宋体" w:hAnsi="宋体" w:eastAsia="宋体"/>
                <w:sz w:val="16"/>
              </w:rPr>
              <w:t>偏差原因：满意度指标目标值设置偏低、年底满意度调查文件统计结果显示满意度实际完成值偏高，改进措施：根据项目实际合理设置满意度指标</w:t>
            </w:r>
          </w:p>
        </w:tc>
      </w:tr>
      <w:tr w14:paraId="401DDA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9B0C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EE6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B46B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A7F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3972BE"/>
        </w:tc>
      </w:tr>
    </w:tbl>
    <w:p w14:paraId="616B60B9">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A3F561">
        <w:tblPrEx>
          <w:tblCellMar>
            <w:top w:w="0" w:type="dxa"/>
            <w:left w:w="108" w:type="dxa"/>
            <w:bottom w:w="0" w:type="dxa"/>
            <w:right w:w="108" w:type="dxa"/>
          </w:tblCellMar>
        </w:tblPrEx>
        <w:tc>
          <w:tcPr>
            <w:tcW w:w="8848" w:type="dxa"/>
            <w:gridSpan w:val="14"/>
            <w:vAlign w:val="center"/>
          </w:tcPr>
          <w:p w14:paraId="1EF7CF48">
            <w:pPr>
              <w:jc w:val="center"/>
            </w:pPr>
            <w:r>
              <w:rPr>
                <w:rFonts w:ascii="宋体" w:hAnsi="宋体" w:eastAsia="宋体"/>
                <w:sz w:val="24"/>
              </w:rPr>
              <w:t>项目支出绩效自评表</w:t>
            </w:r>
          </w:p>
        </w:tc>
      </w:tr>
      <w:tr w14:paraId="50454345">
        <w:tblPrEx>
          <w:tblCellMar>
            <w:top w:w="0" w:type="dxa"/>
            <w:left w:w="108" w:type="dxa"/>
            <w:bottom w:w="0" w:type="dxa"/>
            <w:right w:w="108" w:type="dxa"/>
          </w:tblCellMar>
        </w:tblPrEx>
        <w:tc>
          <w:tcPr>
            <w:tcW w:w="8848" w:type="dxa"/>
            <w:gridSpan w:val="14"/>
            <w:vAlign w:val="center"/>
          </w:tcPr>
          <w:p w14:paraId="53A9E676">
            <w:pPr>
              <w:jc w:val="center"/>
            </w:pPr>
            <w:r>
              <w:rPr>
                <w:rFonts w:ascii="宋体" w:hAnsi="宋体" w:eastAsia="宋体"/>
                <w:sz w:val="24"/>
              </w:rPr>
              <w:t>(2024年度)</w:t>
            </w:r>
          </w:p>
        </w:tc>
      </w:tr>
      <w:tr w14:paraId="032D4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D85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E76128">
            <w:pPr>
              <w:jc w:val="center"/>
            </w:pPr>
            <w:r>
              <w:rPr>
                <w:rFonts w:ascii="宋体" w:hAnsi="宋体" w:eastAsia="宋体"/>
                <w:sz w:val="16"/>
              </w:rPr>
              <w:t>异地交流干部住房保障项目</w:t>
            </w:r>
          </w:p>
        </w:tc>
      </w:tr>
      <w:tr w14:paraId="00F3BC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B9C6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D72143">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E299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15040D">
            <w:pPr>
              <w:jc w:val="center"/>
            </w:pPr>
            <w:r>
              <w:rPr>
                <w:rFonts w:ascii="宋体" w:hAnsi="宋体" w:eastAsia="宋体"/>
                <w:sz w:val="16"/>
              </w:rPr>
              <w:t>新疆维吾尔自治区喀什地区交通运输局</w:t>
            </w:r>
          </w:p>
        </w:tc>
      </w:tr>
      <w:tr w14:paraId="6752BE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911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26F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768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95A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D22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681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C2F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06B7">
            <w:pPr>
              <w:jc w:val="center"/>
            </w:pPr>
            <w:r>
              <w:rPr>
                <w:rFonts w:ascii="宋体" w:hAnsi="宋体" w:eastAsia="宋体"/>
                <w:sz w:val="16"/>
              </w:rPr>
              <w:t>得分</w:t>
            </w:r>
          </w:p>
        </w:tc>
      </w:tr>
      <w:tr w14:paraId="37F30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BC2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66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12B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5FF11">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F50D0">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6F8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E93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BD53">
            <w:pPr>
              <w:jc w:val="center"/>
            </w:pPr>
            <w:r>
              <w:rPr>
                <w:rFonts w:ascii="宋体" w:hAnsi="宋体" w:eastAsia="宋体"/>
                <w:sz w:val="16"/>
              </w:rPr>
              <w:t>10.00分</w:t>
            </w:r>
          </w:p>
        </w:tc>
      </w:tr>
      <w:tr w14:paraId="748CB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8D6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241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4A40">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E048">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5C5F">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7A8F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65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8981">
            <w:pPr>
              <w:jc w:val="center"/>
            </w:pPr>
            <w:r>
              <w:rPr>
                <w:rFonts w:ascii="宋体" w:hAnsi="宋体" w:eastAsia="宋体"/>
                <w:sz w:val="16"/>
              </w:rPr>
              <w:t>—</w:t>
            </w:r>
          </w:p>
        </w:tc>
      </w:tr>
      <w:tr w14:paraId="00C82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905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217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E3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5B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D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AF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A56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F467">
            <w:pPr>
              <w:jc w:val="center"/>
            </w:pPr>
            <w:r>
              <w:rPr>
                <w:rFonts w:ascii="宋体" w:hAnsi="宋体" w:eastAsia="宋体"/>
                <w:sz w:val="16"/>
              </w:rPr>
              <w:t>—</w:t>
            </w:r>
          </w:p>
        </w:tc>
      </w:tr>
      <w:tr w14:paraId="78BF53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586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690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99A36D">
            <w:pPr>
              <w:jc w:val="center"/>
            </w:pPr>
            <w:r>
              <w:rPr>
                <w:rFonts w:ascii="宋体" w:hAnsi="宋体" w:eastAsia="宋体"/>
                <w:sz w:val="16"/>
              </w:rPr>
              <w:t>实际完成情况</w:t>
            </w:r>
          </w:p>
        </w:tc>
      </w:tr>
      <w:tr w14:paraId="61C3BA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61E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25DAB">
            <w:pPr>
              <w:jc w:val="both"/>
            </w:pPr>
            <w:r>
              <w:rPr>
                <w:rFonts w:ascii="宋体" w:hAnsi="宋体" w:eastAsia="宋体"/>
                <w:sz w:val="16"/>
              </w:rPr>
              <w:t>项目资金0.58万元、保障干部人数1人、住房保障月数12月、每月租房成本480元，做好内地引进干部住房租赁费的缴费保障工作。为内引干部提供良好的居住环境，切实营造爱人才、护人才的良好氛围。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657B9">
            <w:pPr>
              <w:jc w:val="both"/>
            </w:pPr>
            <w:r>
              <w:rPr>
                <w:rFonts w:ascii="宋体" w:hAnsi="宋体" w:eastAsia="宋体"/>
                <w:sz w:val="16"/>
              </w:rPr>
              <w:t>异地交流干部1人、做好内地引进干部住房租赁费的缴费保障工作。为内引干部提供良好的居住环境，切实营造爱人才、护人才的良好氛围，已支付房租费5760元。</w:t>
            </w:r>
          </w:p>
        </w:tc>
      </w:tr>
      <w:tr w14:paraId="21125D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6E8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BF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2F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47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1BD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C4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499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AAB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1399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62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E99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C4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81A05">
            <w:pPr>
              <w:jc w:val="center"/>
            </w:pPr>
            <w:r>
              <w:rPr>
                <w:rFonts w:ascii="宋体" w:hAnsi="宋体" w:eastAsia="宋体"/>
                <w:sz w:val="16"/>
              </w:rPr>
              <w:t>偏差原因分析及改进措施</w:t>
            </w:r>
          </w:p>
        </w:tc>
      </w:tr>
      <w:tr w14:paraId="2A5C9A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5C6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B900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D27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FD1B">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757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7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F4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AC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05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90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70E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EE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20A79">
            <w:pPr>
              <w:jc w:val="center"/>
            </w:pPr>
          </w:p>
        </w:tc>
      </w:tr>
      <w:tr w14:paraId="05A16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97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BE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43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C5FF">
            <w:pPr>
              <w:jc w:val="center"/>
            </w:pPr>
            <w:r>
              <w:rPr>
                <w:rFonts w:ascii="宋体" w:hAnsi="宋体" w:eastAsia="宋体"/>
                <w:sz w:val="16"/>
              </w:rPr>
              <w:t>住房保障月数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DD7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5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B1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76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10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41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3D2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66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8414F">
            <w:pPr>
              <w:jc w:val="center"/>
            </w:pPr>
          </w:p>
        </w:tc>
      </w:tr>
      <w:tr w14:paraId="4FBAE1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50E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BF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DFF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EA125">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EE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19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B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0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03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034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9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CD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68F3">
            <w:pPr>
              <w:jc w:val="center"/>
            </w:pPr>
          </w:p>
        </w:tc>
      </w:tr>
      <w:tr w14:paraId="173C27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30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31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497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968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A23E">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8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4C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65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DA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9A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17C4">
            <w:pPr>
              <w:jc w:val="center"/>
            </w:pPr>
            <w:r>
              <w:rPr>
                <w:rFonts w:ascii="宋体" w:hAnsi="宋体" w:eastAsia="宋体"/>
                <w:sz w:val="16"/>
              </w:rPr>
              <w:t>2024年5月24日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37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E215E">
            <w:pPr>
              <w:jc w:val="center"/>
            </w:pPr>
          </w:p>
        </w:tc>
      </w:tr>
      <w:tr w14:paraId="74260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174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0E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97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D16C">
            <w:pPr>
              <w:jc w:val="center"/>
            </w:pPr>
            <w:r>
              <w:rPr>
                <w:rFonts w:ascii="宋体" w:hAnsi="宋体" w:eastAsia="宋体"/>
                <w:sz w:val="16"/>
              </w:rPr>
              <w:t>平均每月住房保障成本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C5F4">
            <w:pPr>
              <w:jc w:val="center"/>
            </w:pPr>
            <w:r>
              <w:rPr>
                <w:rFonts w:ascii="宋体" w:hAnsi="宋体" w:eastAsia="宋体"/>
                <w:sz w:val="16"/>
              </w:rPr>
              <w:t>&lt;=480元/月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25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27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01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68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6F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ED7A">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A1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64029">
            <w:pPr>
              <w:jc w:val="center"/>
            </w:pPr>
          </w:p>
        </w:tc>
      </w:tr>
      <w:tr w14:paraId="7DBCC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61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85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83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C8CC">
            <w:pPr>
              <w:jc w:val="center"/>
            </w:pPr>
            <w:r>
              <w:rPr>
                <w:rFonts w:ascii="宋体" w:hAnsi="宋体" w:eastAsia="宋体"/>
                <w:sz w:val="16"/>
              </w:rPr>
              <w:t>保障引进干部住房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8B26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E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0E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57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792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38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A05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719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970E">
            <w:pPr>
              <w:jc w:val="center"/>
            </w:pPr>
          </w:p>
        </w:tc>
      </w:tr>
      <w:tr w14:paraId="58F1E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B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B9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89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CCB3">
            <w:pPr>
              <w:jc w:val="center"/>
            </w:pPr>
            <w:r>
              <w:rPr>
                <w:rFonts w:ascii="宋体" w:hAnsi="宋体" w:eastAsia="宋体"/>
                <w:sz w:val="16"/>
              </w:rPr>
              <w:t>引进干部满意度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6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4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9B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F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16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DC2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B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DA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EDF2E">
            <w:pPr>
              <w:jc w:val="center"/>
            </w:pPr>
          </w:p>
        </w:tc>
      </w:tr>
      <w:tr w14:paraId="61FC77D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B4E2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ED9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B33E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0549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D4AB75"/>
        </w:tc>
      </w:tr>
    </w:tbl>
    <w:p w14:paraId="6444E0B0">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BBBC363">
        <w:tblPrEx>
          <w:tblCellMar>
            <w:top w:w="0" w:type="dxa"/>
            <w:left w:w="108" w:type="dxa"/>
            <w:bottom w:w="0" w:type="dxa"/>
            <w:right w:w="108" w:type="dxa"/>
          </w:tblCellMar>
        </w:tblPrEx>
        <w:tc>
          <w:tcPr>
            <w:tcW w:w="8848" w:type="dxa"/>
            <w:gridSpan w:val="14"/>
            <w:vAlign w:val="center"/>
          </w:tcPr>
          <w:p w14:paraId="4F0D5F5E">
            <w:pPr>
              <w:jc w:val="center"/>
            </w:pPr>
            <w:r>
              <w:rPr>
                <w:rFonts w:ascii="宋体" w:hAnsi="宋体" w:eastAsia="宋体"/>
                <w:sz w:val="24"/>
              </w:rPr>
              <w:t>项目支出绩效自评表</w:t>
            </w:r>
          </w:p>
        </w:tc>
      </w:tr>
      <w:tr w14:paraId="1565849E">
        <w:tblPrEx>
          <w:tblCellMar>
            <w:top w:w="0" w:type="dxa"/>
            <w:left w:w="108" w:type="dxa"/>
            <w:bottom w:w="0" w:type="dxa"/>
            <w:right w:w="108" w:type="dxa"/>
          </w:tblCellMar>
        </w:tblPrEx>
        <w:tc>
          <w:tcPr>
            <w:tcW w:w="8848" w:type="dxa"/>
            <w:gridSpan w:val="14"/>
            <w:vAlign w:val="center"/>
          </w:tcPr>
          <w:p w14:paraId="14624C76">
            <w:pPr>
              <w:jc w:val="center"/>
            </w:pPr>
            <w:r>
              <w:rPr>
                <w:rFonts w:ascii="宋体" w:hAnsi="宋体" w:eastAsia="宋体"/>
                <w:sz w:val="24"/>
              </w:rPr>
              <w:t>(2024年度)</w:t>
            </w:r>
          </w:p>
        </w:tc>
      </w:tr>
      <w:tr w14:paraId="6D5393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EE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8D6638">
            <w:pPr>
              <w:jc w:val="center"/>
            </w:pPr>
            <w:r>
              <w:rPr>
                <w:rFonts w:ascii="宋体" w:hAnsi="宋体" w:eastAsia="宋体"/>
                <w:sz w:val="16"/>
              </w:rPr>
              <w:t>执法局结余资金项目</w:t>
            </w:r>
          </w:p>
        </w:tc>
      </w:tr>
      <w:tr w14:paraId="470FC0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D7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D798DA">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EF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54817">
            <w:pPr>
              <w:jc w:val="center"/>
            </w:pPr>
            <w:r>
              <w:rPr>
                <w:rFonts w:ascii="宋体" w:hAnsi="宋体" w:eastAsia="宋体"/>
                <w:sz w:val="16"/>
              </w:rPr>
              <w:t>新疆维吾尔自治区喀什地区交通运输局</w:t>
            </w:r>
          </w:p>
        </w:tc>
      </w:tr>
      <w:tr w14:paraId="535CBF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722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046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405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881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802E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2B5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AC9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752A">
            <w:pPr>
              <w:jc w:val="center"/>
            </w:pPr>
            <w:r>
              <w:rPr>
                <w:rFonts w:ascii="宋体" w:hAnsi="宋体" w:eastAsia="宋体"/>
                <w:sz w:val="16"/>
              </w:rPr>
              <w:t>得分</w:t>
            </w:r>
          </w:p>
        </w:tc>
      </w:tr>
      <w:tr w14:paraId="1F770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65B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36F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D96D8">
            <w:pPr>
              <w:jc w:val="center"/>
            </w:pPr>
            <w:r>
              <w:rPr>
                <w:rFonts w:ascii="宋体" w:hAnsi="宋体" w:eastAsia="宋体"/>
                <w:sz w:val="16"/>
              </w:rPr>
              <w:t>29.19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A0E89">
            <w:pPr>
              <w:jc w:val="center"/>
            </w:pPr>
            <w:r>
              <w:rPr>
                <w:rFonts w:ascii="宋体" w:hAnsi="宋体" w:eastAsia="宋体"/>
                <w:sz w:val="16"/>
              </w:rPr>
              <w:t>29.19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4C154">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17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00B56">
            <w:pPr>
              <w:jc w:val="center"/>
            </w:pPr>
            <w:r>
              <w:rPr>
                <w:rFonts w:ascii="宋体" w:hAnsi="宋体" w:eastAsia="宋体"/>
                <w:sz w:val="16"/>
              </w:rPr>
              <w:t>23.6%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D898">
            <w:pPr>
              <w:jc w:val="center"/>
            </w:pPr>
            <w:r>
              <w:rPr>
                <w:rFonts w:ascii="宋体" w:hAnsi="宋体" w:eastAsia="宋体"/>
                <w:sz w:val="16"/>
              </w:rPr>
              <w:t>0.00分</w:t>
            </w:r>
          </w:p>
        </w:tc>
      </w:tr>
      <w:tr w14:paraId="7B4AE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896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10B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C3D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972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3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6DE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F25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9795">
            <w:pPr>
              <w:jc w:val="center"/>
            </w:pPr>
            <w:r>
              <w:rPr>
                <w:rFonts w:ascii="宋体" w:hAnsi="宋体" w:eastAsia="宋体"/>
                <w:sz w:val="16"/>
              </w:rPr>
              <w:t>—</w:t>
            </w:r>
          </w:p>
        </w:tc>
      </w:tr>
      <w:tr w14:paraId="29DD4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879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145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E25CE">
            <w:pPr>
              <w:jc w:val="center"/>
            </w:pPr>
            <w:r>
              <w:rPr>
                <w:rFonts w:ascii="宋体" w:hAnsi="宋体" w:eastAsia="宋体"/>
                <w:sz w:val="16"/>
              </w:rPr>
              <w:t>29.19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C3FDF">
            <w:pPr>
              <w:jc w:val="center"/>
            </w:pPr>
            <w:r>
              <w:rPr>
                <w:rFonts w:ascii="宋体" w:hAnsi="宋体" w:eastAsia="宋体"/>
                <w:sz w:val="16"/>
              </w:rPr>
              <w:t>29.19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68B2">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ED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C42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8D31">
            <w:pPr>
              <w:jc w:val="center"/>
            </w:pPr>
            <w:r>
              <w:rPr>
                <w:rFonts w:ascii="宋体" w:hAnsi="宋体" w:eastAsia="宋体"/>
                <w:sz w:val="16"/>
              </w:rPr>
              <w:t>—</w:t>
            </w:r>
          </w:p>
        </w:tc>
      </w:tr>
      <w:tr w14:paraId="75E26F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E6D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C51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230E5F">
            <w:pPr>
              <w:jc w:val="center"/>
            </w:pPr>
            <w:r>
              <w:rPr>
                <w:rFonts w:ascii="宋体" w:hAnsi="宋体" w:eastAsia="宋体"/>
                <w:sz w:val="16"/>
              </w:rPr>
              <w:t>实际完成情况</w:t>
            </w:r>
          </w:p>
        </w:tc>
      </w:tr>
      <w:tr w14:paraId="4C6C6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66B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3ED7E">
            <w:pPr>
              <w:jc w:val="both"/>
            </w:pPr>
            <w:r>
              <w:rPr>
                <w:rFonts w:ascii="宋体" w:hAnsi="宋体" w:eastAsia="宋体"/>
                <w:sz w:val="16"/>
              </w:rPr>
              <w:t>项目资金29.19万元、主要解决原单位的临时聘用人员的社保补缴、劳动仲裁赔偿等遗留问题、满足单位干部职工日常就餐需要，降低职工生活成本、增强职工的工作精力和效率、增强干部职工之间交流合作、进一步提高干部职工工作积极性、工作效率、增强职工的归属感和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2B029">
            <w:pPr>
              <w:jc w:val="both"/>
            </w:pPr>
            <w:r>
              <w:rPr>
                <w:rFonts w:ascii="宋体" w:hAnsi="宋体" w:eastAsia="宋体"/>
                <w:sz w:val="16"/>
              </w:rPr>
              <w:t>项目主要解决原单位的临时聘用人员4人的法律顾问诉讼费等遗留问题4次、支付以前年度遗留问题费用6.9万元、解决了以前年度遗留问题、降低了单位信访压力。</w:t>
            </w:r>
          </w:p>
        </w:tc>
      </w:tr>
      <w:tr w14:paraId="4FDEA5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DA54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21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D6D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D5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0F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07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F0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C87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A2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0E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B06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E3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B844B">
            <w:pPr>
              <w:jc w:val="center"/>
            </w:pPr>
            <w:r>
              <w:rPr>
                <w:rFonts w:ascii="宋体" w:hAnsi="宋体" w:eastAsia="宋体"/>
                <w:sz w:val="16"/>
              </w:rPr>
              <w:t>偏差原因分析及改进措施</w:t>
            </w:r>
          </w:p>
        </w:tc>
      </w:tr>
      <w:tr w14:paraId="76684F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0C79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DDE7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1CD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81A2">
            <w:pPr>
              <w:jc w:val="center"/>
            </w:pPr>
            <w:r>
              <w:rPr>
                <w:rFonts w:ascii="宋体" w:hAnsi="宋体" w:eastAsia="宋体"/>
                <w:sz w:val="16"/>
              </w:rPr>
              <w:t>以前年度遗留问题种类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834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6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8A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F53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9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07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A2AF6">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196B">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E8FE6">
            <w:pPr>
              <w:jc w:val="center"/>
            </w:pPr>
          </w:p>
        </w:tc>
      </w:tr>
      <w:tr w14:paraId="5BB5F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D5F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D9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9D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ED92">
            <w:pPr>
              <w:jc w:val="center"/>
            </w:pPr>
            <w:r>
              <w:rPr>
                <w:rFonts w:ascii="宋体" w:hAnsi="宋体" w:eastAsia="宋体"/>
                <w:sz w:val="16"/>
              </w:rPr>
              <w:t>食品安全事故率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44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7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A1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FB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74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65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6AB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85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1D458">
            <w:pPr>
              <w:jc w:val="center"/>
            </w:pPr>
          </w:p>
        </w:tc>
      </w:tr>
      <w:tr w14:paraId="4693F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83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3C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DEB8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C28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7F9C">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E5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886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41D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F3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D3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C81F">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CF0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22980">
            <w:pPr>
              <w:jc w:val="center"/>
            </w:pPr>
          </w:p>
        </w:tc>
      </w:tr>
      <w:tr w14:paraId="1ABD6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E6B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639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90D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A3C6">
            <w:pPr>
              <w:jc w:val="center"/>
            </w:pPr>
            <w:r>
              <w:rPr>
                <w:rFonts w:ascii="宋体" w:hAnsi="宋体" w:eastAsia="宋体"/>
                <w:sz w:val="16"/>
              </w:rPr>
              <w:t>食堂补助费用成本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12FF5">
            <w:pPr>
              <w:jc w:val="center"/>
            </w:pPr>
            <w:r>
              <w:rPr>
                <w:rFonts w:ascii="宋体" w:hAnsi="宋体" w:eastAsia="宋体"/>
                <w:sz w:val="16"/>
              </w:rPr>
              <w:t>&lt;=8.89万元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F4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65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74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E7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4F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AC8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FE9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DB69C">
            <w:pPr>
              <w:jc w:val="center"/>
            </w:pPr>
            <w:r>
              <w:rPr>
                <w:rFonts w:ascii="宋体" w:hAnsi="宋体" w:eastAsia="宋体"/>
                <w:sz w:val="16"/>
              </w:rPr>
              <w:t>偏差原因：因该项目未补助食堂费用，该指标项未完成；改进措施：在今后工作中合理设置绩效指标</w:t>
            </w:r>
          </w:p>
        </w:tc>
      </w:tr>
      <w:tr w14:paraId="5E7BD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20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ED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28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83D5">
            <w:pPr>
              <w:jc w:val="center"/>
            </w:pPr>
            <w:r>
              <w:rPr>
                <w:rFonts w:ascii="宋体" w:hAnsi="宋体" w:eastAsia="宋体"/>
                <w:sz w:val="16"/>
              </w:rPr>
              <w:t>以前年度遗留问题费用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7BB6">
            <w:pPr>
              <w:jc w:val="center"/>
            </w:pPr>
            <w:r>
              <w:rPr>
                <w:rFonts w:ascii="宋体" w:hAnsi="宋体" w:eastAsia="宋体"/>
                <w:sz w:val="16"/>
              </w:rPr>
              <w:t>&lt;=20.30万元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F3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D4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9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0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17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D991">
            <w:pPr>
              <w:jc w:val="center"/>
            </w:pPr>
            <w:r>
              <w:rPr>
                <w:rFonts w:ascii="宋体" w:hAnsi="宋体" w:eastAsia="宋体"/>
                <w:sz w:val="16"/>
              </w:rPr>
              <w:t>=6.9万元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7B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0A910">
            <w:pPr>
              <w:jc w:val="center"/>
            </w:pPr>
            <w:r>
              <w:rPr>
                <w:rFonts w:ascii="宋体" w:hAnsi="宋体" w:eastAsia="宋体"/>
                <w:sz w:val="16"/>
              </w:rPr>
              <w:t>偏差原因：因解决以前年度遗留问题支付6.9万元；改进措施：在今后工作中合理设置绩效指标</w:t>
            </w:r>
          </w:p>
        </w:tc>
      </w:tr>
      <w:tr w14:paraId="07BD0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66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0A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78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AD5C">
            <w:pPr>
              <w:jc w:val="center"/>
            </w:pPr>
            <w:r>
              <w:rPr>
                <w:rFonts w:ascii="宋体" w:hAnsi="宋体" w:eastAsia="宋体"/>
                <w:sz w:val="16"/>
              </w:rPr>
              <w:t>提升干部职工工作积极性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D6D9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7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BC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D6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97E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54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841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14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42E6B">
            <w:pPr>
              <w:jc w:val="center"/>
            </w:pPr>
          </w:p>
        </w:tc>
      </w:tr>
      <w:tr w14:paraId="708B8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733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E3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17A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4D7E">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4E6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EF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2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B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A7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E9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0A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453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C87AA">
            <w:pPr>
              <w:jc w:val="center"/>
            </w:pPr>
          </w:p>
        </w:tc>
      </w:tr>
      <w:tr w14:paraId="6B936F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FB5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794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57C7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8985">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662AF7"/>
        </w:tc>
      </w:tr>
    </w:tbl>
    <w:p w14:paraId="05861C80">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FF0B9C6">
        <w:tc>
          <w:tcPr>
            <w:tcW w:w="8848" w:type="dxa"/>
            <w:gridSpan w:val="14"/>
            <w:vAlign w:val="center"/>
          </w:tcPr>
          <w:p w14:paraId="66CFA79E">
            <w:pPr>
              <w:jc w:val="center"/>
            </w:pPr>
            <w:r>
              <w:rPr>
                <w:rFonts w:ascii="宋体" w:hAnsi="宋体" w:eastAsia="宋体"/>
                <w:sz w:val="24"/>
              </w:rPr>
              <w:t>项目支出绩效自评表</w:t>
            </w:r>
          </w:p>
        </w:tc>
      </w:tr>
      <w:tr w14:paraId="31787D75">
        <w:tblPrEx>
          <w:tblCellMar>
            <w:top w:w="0" w:type="dxa"/>
            <w:left w:w="108" w:type="dxa"/>
            <w:bottom w:w="0" w:type="dxa"/>
            <w:right w:w="108" w:type="dxa"/>
          </w:tblCellMar>
        </w:tblPrEx>
        <w:tc>
          <w:tcPr>
            <w:tcW w:w="8848" w:type="dxa"/>
            <w:gridSpan w:val="14"/>
            <w:vAlign w:val="center"/>
          </w:tcPr>
          <w:p w14:paraId="7FD0CBD9">
            <w:pPr>
              <w:jc w:val="center"/>
            </w:pPr>
            <w:r>
              <w:rPr>
                <w:rFonts w:ascii="宋体" w:hAnsi="宋体" w:eastAsia="宋体"/>
                <w:sz w:val="24"/>
              </w:rPr>
              <w:t>(2024年度)</w:t>
            </w:r>
          </w:p>
        </w:tc>
      </w:tr>
      <w:tr w14:paraId="0F0224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79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BCC45E">
            <w:pPr>
              <w:jc w:val="center"/>
            </w:pPr>
            <w:r>
              <w:rPr>
                <w:rFonts w:ascii="宋体" w:hAnsi="宋体" w:eastAsia="宋体"/>
                <w:sz w:val="16"/>
              </w:rPr>
              <w:t>执法网络工作项目</w:t>
            </w:r>
          </w:p>
        </w:tc>
      </w:tr>
      <w:tr w14:paraId="046DD7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EC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DE0FB">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4D5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20BF6C">
            <w:pPr>
              <w:jc w:val="center"/>
            </w:pPr>
            <w:r>
              <w:rPr>
                <w:rFonts w:ascii="宋体" w:hAnsi="宋体" w:eastAsia="宋体"/>
                <w:sz w:val="16"/>
              </w:rPr>
              <w:t>新疆维吾尔自治区喀什地区交通运输局</w:t>
            </w:r>
          </w:p>
        </w:tc>
      </w:tr>
      <w:tr w14:paraId="44FAF5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B0F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63D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E74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611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41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F88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4642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90D5">
            <w:pPr>
              <w:jc w:val="center"/>
            </w:pPr>
            <w:r>
              <w:rPr>
                <w:rFonts w:ascii="宋体" w:hAnsi="宋体" w:eastAsia="宋体"/>
                <w:sz w:val="16"/>
              </w:rPr>
              <w:t>得分</w:t>
            </w:r>
          </w:p>
        </w:tc>
      </w:tr>
      <w:tr w14:paraId="613655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318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045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D7E9D">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EC112">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6A15">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0EA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FD16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2A0D">
            <w:pPr>
              <w:jc w:val="center"/>
            </w:pPr>
            <w:r>
              <w:rPr>
                <w:rFonts w:ascii="宋体" w:hAnsi="宋体" w:eastAsia="宋体"/>
                <w:sz w:val="16"/>
              </w:rPr>
              <w:t>10.00分</w:t>
            </w:r>
          </w:p>
        </w:tc>
      </w:tr>
      <w:tr w14:paraId="0F209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614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F0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01BC">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BFF11">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01AA6">
            <w:pPr>
              <w:jc w:val="center"/>
            </w:pPr>
            <w:r>
              <w:rPr>
                <w:rFonts w:ascii="宋体" w:hAnsi="宋体" w:eastAsia="宋体"/>
                <w:sz w:val="16"/>
              </w:rPr>
              <w:t>5.16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1A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46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68A4E">
            <w:pPr>
              <w:jc w:val="center"/>
            </w:pPr>
            <w:r>
              <w:rPr>
                <w:rFonts w:ascii="宋体" w:hAnsi="宋体" w:eastAsia="宋体"/>
                <w:sz w:val="16"/>
              </w:rPr>
              <w:t>—</w:t>
            </w:r>
          </w:p>
        </w:tc>
      </w:tr>
      <w:tr w14:paraId="48C20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BA3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FF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3B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A57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8C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AD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D85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8B4E">
            <w:pPr>
              <w:jc w:val="center"/>
            </w:pPr>
            <w:r>
              <w:rPr>
                <w:rFonts w:ascii="宋体" w:hAnsi="宋体" w:eastAsia="宋体"/>
                <w:sz w:val="16"/>
              </w:rPr>
              <w:t>—</w:t>
            </w:r>
          </w:p>
        </w:tc>
      </w:tr>
      <w:tr w14:paraId="75B11A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209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93D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D23113">
            <w:pPr>
              <w:jc w:val="center"/>
            </w:pPr>
            <w:r>
              <w:rPr>
                <w:rFonts w:ascii="宋体" w:hAnsi="宋体" w:eastAsia="宋体"/>
                <w:sz w:val="16"/>
              </w:rPr>
              <w:t>实际完成情况</w:t>
            </w:r>
          </w:p>
        </w:tc>
      </w:tr>
      <w:tr w14:paraId="7404D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8AC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1562D7">
            <w:pPr>
              <w:jc w:val="both"/>
            </w:pPr>
            <w:r>
              <w:rPr>
                <w:rFonts w:ascii="宋体" w:hAnsi="宋体" w:eastAsia="宋体"/>
                <w:sz w:val="16"/>
              </w:rPr>
              <w:t>项目总投入：5.16万元；交通执法系统维护数量1套</w:t>
            </w:r>
            <w:r>
              <w:rPr>
                <w:rFonts w:hint="eastAsia" w:ascii="宋体" w:hAnsi="宋体"/>
                <w:sz w:val="16"/>
                <w:lang w:eastAsia="zh-CN"/>
              </w:rPr>
              <w:t>，系</w:t>
            </w:r>
            <w:r>
              <w:rPr>
                <w:rFonts w:ascii="宋体" w:hAnsi="宋体" w:eastAsia="宋体"/>
                <w:sz w:val="16"/>
              </w:rPr>
              <w:t>统维护成本3.16万元，办公楼网络费2万元，为实现新疆社会长治久安总目标创造安全、平稳、良好的交通运输环境为经营业户提供良好的履职能力。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48C912">
            <w:pPr>
              <w:jc w:val="both"/>
            </w:pPr>
            <w:r>
              <w:rPr>
                <w:rFonts w:ascii="宋体" w:hAnsi="宋体" w:eastAsia="宋体"/>
                <w:sz w:val="16"/>
              </w:rPr>
              <w:t>维护交通执法系统1套，支</w:t>
            </w:r>
            <w:r>
              <w:rPr>
                <w:rFonts w:hint="eastAsia" w:ascii="宋体" w:hAnsi="宋体"/>
                <w:sz w:val="16"/>
                <w:lang w:eastAsia="zh-CN"/>
              </w:rPr>
              <w:t>付系</w:t>
            </w:r>
            <w:r>
              <w:rPr>
                <w:rFonts w:ascii="宋体" w:hAnsi="宋体" w:eastAsia="宋体"/>
                <w:sz w:val="16"/>
              </w:rPr>
              <w:t>统维护成本3.16万元，办公楼网络费2万元，为实现新疆社会长治久安总目标创造安全、平稳、良好的交通运输环境为经营业户提供良好的履职能力。</w:t>
            </w:r>
          </w:p>
        </w:tc>
      </w:tr>
      <w:tr w14:paraId="1EB40A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8AE8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13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DD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EF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C7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5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34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2E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4F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7E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603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E5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5487F">
            <w:pPr>
              <w:jc w:val="center"/>
            </w:pPr>
            <w:r>
              <w:rPr>
                <w:rFonts w:ascii="宋体" w:hAnsi="宋体" w:eastAsia="宋体"/>
                <w:sz w:val="16"/>
              </w:rPr>
              <w:t>偏差原因分析及改进措施</w:t>
            </w:r>
          </w:p>
        </w:tc>
      </w:tr>
      <w:tr w14:paraId="5B6FA9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B2F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A5CD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C3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6E3A">
            <w:pPr>
              <w:jc w:val="center"/>
            </w:pPr>
            <w:r>
              <w:rPr>
                <w:rFonts w:ascii="宋体" w:hAnsi="宋体" w:eastAsia="宋体"/>
                <w:sz w:val="16"/>
              </w:rPr>
              <w:t>交通执法系统维护数量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C27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0E6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C37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33B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D9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37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0771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A69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4BE01">
            <w:pPr>
              <w:jc w:val="center"/>
            </w:pPr>
          </w:p>
        </w:tc>
      </w:tr>
      <w:tr w14:paraId="2106FE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4B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2A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C4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83C4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A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A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AB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768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14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CB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F2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2AF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5DB7E">
            <w:pPr>
              <w:jc w:val="center"/>
            </w:pPr>
          </w:p>
        </w:tc>
      </w:tr>
      <w:tr w14:paraId="352DF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249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3A8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E4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FDC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7C15">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4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848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5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40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A5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CEDD">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D7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E34C5">
            <w:pPr>
              <w:jc w:val="center"/>
            </w:pPr>
          </w:p>
        </w:tc>
      </w:tr>
      <w:tr w14:paraId="29D3F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F0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181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0CF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3085">
            <w:pPr>
              <w:jc w:val="center"/>
            </w:pPr>
            <w:r>
              <w:rPr>
                <w:rFonts w:ascii="宋体" w:hAnsi="宋体" w:eastAsia="宋体"/>
                <w:sz w:val="16"/>
              </w:rPr>
              <w:t>网络线路维护成本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0B82">
            <w:pPr>
              <w:jc w:val="center"/>
            </w:pPr>
            <w:r>
              <w:rPr>
                <w:rFonts w:ascii="宋体" w:hAnsi="宋体" w:eastAsia="宋体"/>
                <w:sz w:val="16"/>
              </w:rPr>
              <w:t>&lt;=3.16万元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2A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1A1B7">
            <w:pPr>
              <w:jc w:val="center"/>
            </w:pPr>
            <w:r>
              <w:rPr>
                <w:rFonts w:ascii="宋体" w:hAnsi="宋体" w:eastAsia="宋体"/>
                <w:sz w:val="16"/>
              </w:rPr>
              <w: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7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E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C7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5B8E">
            <w:pPr>
              <w:jc w:val="center"/>
            </w:pPr>
            <w:r>
              <w:rPr>
                <w:rFonts w:ascii="宋体" w:hAnsi="宋体" w:eastAsia="宋体"/>
                <w:sz w:val="16"/>
              </w:rPr>
              <w: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C1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CD47C">
            <w:pPr>
              <w:jc w:val="center"/>
            </w:pPr>
          </w:p>
        </w:tc>
      </w:tr>
      <w:tr w14:paraId="0C33B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7F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DF8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2BC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03BA">
            <w:pPr>
              <w:jc w:val="center"/>
            </w:pPr>
            <w:r>
              <w:rPr>
                <w:rFonts w:ascii="宋体" w:hAnsi="宋体" w:eastAsia="宋体"/>
                <w:sz w:val="16"/>
              </w:rPr>
              <w:t>网络费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A5C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45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381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D79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A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54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E63E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56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7761C">
            <w:pPr>
              <w:jc w:val="center"/>
            </w:pPr>
          </w:p>
        </w:tc>
      </w:tr>
      <w:tr w14:paraId="5A1E9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22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EF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EE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8CDE">
            <w:pPr>
              <w:jc w:val="center"/>
            </w:pPr>
            <w:r>
              <w:rPr>
                <w:rFonts w:ascii="宋体" w:hAnsi="宋体" w:eastAsia="宋体"/>
                <w:sz w:val="16"/>
              </w:rPr>
              <w:t>提供良好履职能力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C3CA">
            <w:pPr>
              <w:jc w:val="center"/>
            </w:pPr>
            <w:r>
              <w:rPr>
                <w:rFonts w:ascii="宋体" w:hAnsi="宋体" w:eastAsia="宋体"/>
                <w:sz w:val="16"/>
              </w:rPr>
              <w:t>很好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993B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E35DE">
            <w:pPr>
              <w:jc w:val="center"/>
            </w:pPr>
            <w:r>
              <w:rPr>
                <w:rFonts w:ascii="宋体" w:hAnsi="宋体" w:eastAsia="宋体"/>
                <w:sz w:val="16"/>
              </w:rPr>
              <w:t>很好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BEB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56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56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44309">
            <w:pPr>
              <w:jc w:val="center"/>
            </w:pPr>
            <w:r>
              <w:rPr>
                <w:rFonts w:ascii="宋体" w:hAnsi="宋体" w:eastAsia="宋体"/>
                <w:sz w:val="16"/>
              </w:rPr>
              <w:t>很好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6F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5E59">
            <w:pPr>
              <w:jc w:val="center"/>
            </w:pPr>
          </w:p>
        </w:tc>
      </w:tr>
      <w:tr w14:paraId="5717B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6A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BE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6C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FE50">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F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1DE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55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04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5B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3C8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2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38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70DE">
            <w:pPr>
              <w:jc w:val="center"/>
            </w:pPr>
          </w:p>
        </w:tc>
      </w:tr>
      <w:tr w14:paraId="705BED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10A3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7AD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FC6D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CA1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8757A0"/>
        </w:tc>
      </w:tr>
    </w:tbl>
    <w:p w14:paraId="4B9135B1">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999F10">
        <w:tblPrEx>
          <w:tblCellMar>
            <w:top w:w="0" w:type="dxa"/>
            <w:left w:w="108" w:type="dxa"/>
            <w:bottom w:w="0" w:type="dxa"/>
            <w:right w:w="108" w:type="dxa"/>
          </w:tblCellMar>
        </w:tblPrEx>
        <w:tc>
          <w:tcPr>
            <w:tcW w:w="8848" w:type="dxa"/>
            <w:gridSpan w:val="14"/>
            <w:vAlign w:val="center"/>
          </w:tcPr>
          <w:p w14:paraId="2D3E5582">
            <w:pPr>
              <w:jc w:val="center"/>
            </w:pPr>
            <w:r>
              <w:rPr>
                <w:rFonts w:ascii="宋体" w:hAnsi="宋体" w:eastAsia="宋体"/>
                <w:sz w:val="24"/>
              </w:rPr>
              <w:t>项目支出绩效自评表</w:t>
            </w:r>
          </w:p>
        </w:tc>
      </w:tr>
      <w:tr w14:paraId="07AB7FB2">
        <w:tblPrEx>
          <w:tblCellMar>
            <w:top w:w="0" w:type="dxa"/>
            <w:left w:w="108" w:type="dxa"/>
            <w:bottom w:w="0" w:type="dxa"/>
            <w:right w:w="108" w:type="dxa"/>
          </w:tblCellMar>
        </w:tblPrEx>
        <w:tc>
          <w:tcPr>
            <w:tcW w:w="8848" w:type="dxa"/>
            <w:gridSpan w:val="14"/>
            <w:vAlign w:val="center"/>
          </w:tcPr>
          <w:p w14:paraId="78FBE8F0">
            <w:pPr>
              <w:jc w:val="center"/>
            </w:pPr>
            <w:r>
              <w:rPr>
                <w:rFonts w:ascii="宋体" w:hAnsi="宋体" w:eastAsia="宋体"/>
                <w:sz w:val="24"/>
              </w:rPr>
              <w:t>(2024年度)</w:t>
            </w:r>
          </w:p>
        </w:tc>
      </w:tr>
      <w:tr w14:paraId="443E6B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CB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0A23DC">
            <w:pPr>
              <w:jc w:val="center"/>
            </w:pPr>
            <w:r>
              <w:rPr>
                <w:rFonts w:ascii="宋体" w:hAnsi="宋体" w:eastAsia="宋体"/>
                <w:sz w:val="16"/>
              </w:rPr>
              <w:t>新能源汽车租赁费项目</w:t>
            </w:r>
          </w:p>
        </w:tc>
      </w:tr>
      <w:tr w14:paraId="29CCBF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25C4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49D8B">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F4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CD59D3">
            <w:pPr>
              <w:jc w:val="center"/>
            </w:pPr>
            <w:r>
              <w:rPr>
                <w:rFonts w:ascii="宋体" w:hAnsi="宋体" w:eastAsia="宋体"/>
                <w:sz w:val="16"/>
              </w:rPr>
              <w:t>新疆维吾尔自治区喀什地区交通运输局</w:t>
            </w:r>
          </w:p>
        </w:tc>
      </w:tr>
      <w:tr w14:paraId="0B0393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613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D3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41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19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CB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73A7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E15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AEA4">
            <w:pPr>
              <w:jc w:val="center"/>
            </w:pPr>
            <w:r>
              <w:rPr>
                <w:rFonts w:ascii="宋体" w:hAnsi="宋体" w:eastAsia="宋体"/>
                <w:sz w:val="16"/>
              </w:rPr>
              <w:t>得分</w:t>
            </w:r>
          </w:p>
        </w:tc>
      </w:tr>
      <w:tr w14:paraId="1243FB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2A4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D4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486B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ED8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FFC7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07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26D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7F4B">
            <w:pPr>
              <w:jc w:val="center"/>
            </w:pPr>
            <w:r>
              <w:rPr>
                <w:rFonts w:ascii="宋体" w:hAnsi="宋体" w:eastAsia="宋体"/>
                <w:sz w:val="16"/>
              </w:rPr>
              <w:t>10.00分</w:t>
            </w:r>
          </w:p>
        </w:tc>
      </w:tr>
      <w:tr w14:paraId="3213C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74A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9E0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3A681">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114D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C85E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A7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44C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CCB3">
            <w:pPr>
              <w:jc w:val="center"/>
            </w:pPr>
            <w:r>
              <w:rPr>
                <w:rFonts w:ascii="宋体" w:hAnsi="宋体" w:eastAsia="宋体"/>
                <w:sz w:val="16"/>
              </w:rPr>
              <w:t>—</w:t>
            </w:r>
          </w:p>
        </w:tc>
      </w:tr>
      <w:tr w14:paraId="635A84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6B0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A79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39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07B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703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DDA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10A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5395">
            <w:pPr>
              <w:jc w:val="center"/>
            </w:pPr>
            <w:r>
              <w:rPr>
                <w:rFonts w:ascii="宋体" w:hAnsi="宋体" w:eastAsia="宋体"/>
                <w:sz w:val="16"/>
              </w:rPr>
              <w:t>—</w:t>
            </w:r>
          </w:p>
        </w:tc>
      </w:tr>
      <w:tr w14:paraId="309331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8DCF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986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6392BE">
            <w:pPr>
              <w:jc w:val="center"/>
            </w:pPr>
            <w:r>
              <w:rPr>
                <w:rFonts w:ascii="宋体" w:hAnsi="宋体" w:eastAsia="宋体"/>
                <w:sz w:val="16"/>
              </w:rPr>
              <w:t>实际完成情况</w:t>
            </w:r>
          </w:p>
        </w:tc>
      </w:tr>
      <w:tr w14:paraId="14412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CE5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0B16D0">
            <w:pPr>
              <w:jc w:val="both"/>
            </w:pPr>
            <w:r>
              <w:rPr>
                <w:rFonts w:ascii="宋体" w:hAnsi="宋体" w:eastAsia="宋体"/>
                <w:sz w:val="16"/>
              </w:rPr>
              <w:t>新能源汽车租赁费项目通过租赁1辆新能源纯电动汽车为环保绿色出行、构建环保型政府提供保障。建设一支政治坚定、素质过硬、纪律严明、作风优良、廉洁高效的交通运输队伍。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48E797">
            <w:pPr>
              <w:jc w:val="both"/>
            </w:pPr>
            <w:r>
              <w:rPr>
                <w:rFonts w:ascii="宋体" w:hAnsi="宋体" w:eastAsia="宋体"/>
                <w:sz w:val="16"/>
              </w:rPr>
              <w:t>租赁1辆新能源纯电动汽车、为绿色环保出行、构建环保型政府提供保障</w:t>
            </w:r>
          </w:p>
        </w:tc>
      </w:tr>
      <w:tr w14:paraId="5D87D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7A8E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CDB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706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445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5B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B6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7E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55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F2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C7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92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EE6A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ABEE9">
            <w:pPr>
              <w:jc w:val="center"/>
            </w:pPr>
            <w:r>
              <w:rPr>
                <w:rFonts w:ascii="宋体" w:hAnsi="宋体" w:eastAsia="宋体"/>
                <w:sz w:val="16"/>
              </w:rPr>
              <w:t>偏差原因分析及改进措施</w:t>
            </w:r>
          </w:p>
        </w:tc>
      </w:tr>
      <w:tr w14:paraId="2E9EF8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182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11E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8A0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4F31">
            <w:pPr>
              <w:jc w:val="center"/>
            </w:pPr>
            <w:r>
              <w:rPr>
                <w:rFonts w:ascii="宋体" w:hAnsi="宋体" w:eastAsia="宋体"/>
                <w:sz w:val="16"/>
              </w:rPr>
              <w:t>租赁车辆数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BDD6">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F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0F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8E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39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56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9BF4">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B9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44062">
            <w:pPr>
              <w:jc w:val="center"/>
            </w:pPr>
          </w:p>
        </w:tc>
      </w:tr>
      <w:tr w14:paraId="357D0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68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BE6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4EBA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4BAC">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F4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24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8E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5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F0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242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ED9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7E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DA05">
            <w:pPr>
              <w:jc w:val="center"/>
            </w:pPr>
          </w:p>
        </w:tc>
      </w:tr>
      <w:tr w14:paraId="0A0ED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2C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07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A47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3C10">
            <w:pPr>
              <w:jc w:val="center"/>
            </w:pPr>
            <w:r>
              <w:rPr>
                <w:rFonts w:ascii="宋体" w:hAnsi="宋体" w:eastAsia="宋体"/>
                <w:sz w:val="16"/>
              </w:rPr>
              <w:t>合同执行率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F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4A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7DA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D8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4A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63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A30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EAD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E2D1">
            <w:pPr>
              <w:jc w:val="center"/>
            </w:pPr>
          </w:p>
        </w:tc>
      </w:tr>
      <w:tr w14:paraId="3D538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E7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44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424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058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CDB8">
            <w:pPr>
              <w:jc w:val="center"/>
            </w:pPr>
            <w:r>
              <w:rPr>
                <w:rFonts w:ascii="宋体" w:hAnsi="宋体" w:eastAsia="宋体"/>
                <w:sz w:val="16"/>
              </w:rPr>
              <w:t>=2024年8月30日前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2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58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7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46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4E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1EEC">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8F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6BFC">
            <w:pPr>
              <w:jc w:val="center"/>
            </w:pPr>
          </w:p>
        </w:tc>
      </w:tr>
      <w:tr w14:paraId="72D36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E4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21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71E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516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087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A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53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2F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EC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53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78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992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27103">
            <w:pPr>
              <w:jc w:val="center"/>
            </w:pPr>
          </w:p>
        </w:tc>
      </w:tr>
      <w:tr w14:paraId="3021FF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91C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2EBE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FC1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640D">
            <w:pPr>
              <w:jc w:val="center"/>
            </w:pPr>
            <w:r>
              <w:rPr>
                <w:rFonts w:ascii="宋体" w:hAnsi="宋体" w:eastAsia="宋体"/>
                <w:sz w:val="16"/>
              </w:rPr>
              <w:t>符合环保要求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A03D">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A5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00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CE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D44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7F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4ED8">
            <w:pPr>
              <w:jc w:val="center"/>
            </w:pPr>
            <w:r>
              <w:rPr>
                <w:rFonts w:ascii="宋体" w:hAnsi="宋体" w:eastAsia="宋体"/>
                <w:sz w:val="16"/>
              </w:rPr>
              <w:t>符合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26E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5A86E">
            <w:pPr>
              <w:jc w:val="center"/>
            </w:pPr>
          </w:p>
        </w:tc>
      </w:tr>
      <w:tr w14:paraId="1AF89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8CE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A2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21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2C5C">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267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6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90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5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1F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1D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7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40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B2B37">
            <w:pPr>
              <w:jc w:val="center"/>
            </w:pPr>
            <w:r>
              <w:rPr>
                <w:rFonts w:ascii="宋体" w:hAnsi="宋体" w:eastAsia="宋体"/>
                <w:sz w:val="16"/>
              </w:rPr>
              <w:t>偏差原因：满意度指标目标值设置偏低、改进措施：根据项目实际情况合理设置</w:t>
            </w:r>
          </w:p>
        </w:tc>
      </w:tr>
      <w:tr w14:paraId="59A3B3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9F0A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E7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7615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F6D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BBE338"/>
        </w:tc>
      </w:tr>
    </w:tbl>
    <w:p w14:paraId="53724774">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320C18F">
        <w:tblPrEx>
          <w:tblCellMar>
            <w:top w:w="0" w:type="dxa"/>
            <w:left w:w="108" w:type="dxa"/>
            <w:bottom w:w="0" w:type="dxa"/>
            <w:right w:w="108" w:type="dxa"/>
          </w:tblCellMar>
        </w:tblPrEx>
        <w:tc>
          <w:tcPr>
            <w:tcW w:w="8848" w:type="dxa"/>
            <w:gridSpan w:val="14"/>
            <w:vAlign w:val="center"/>
          </w:tcPr>
          <w:p w14:paraId="4D7B7696">
            <w:pPr>
              <w:jc w:val="center"/>
            </w:pPr>
            <w:r>
              <w:rPr>
                <w:rFonts w:ascii="宋体" w:hAnsi="宋体" w:eastAsia="宋体"/>
                <w:sz w:val="24"/>
              </w:rPr>
              <w:t>项目支出绩效自评表</w:t>
            </w:r>
          </w:p>
        </w:tc>
      </w:tr>
      <w:tr w14:paraId="6D8E3E26">
        <w:tblPrEx>
          <w:tblCellMar>
            <w:top w:w="0" w:type="dxa"/>
            <w:left w:w="108" w:type="dxa"/>
            <w:bottom w:w="0" w:type="dxa"/>
            <w:right w:w="108" w:type="dxa"/>
          </w:tblCellMar>
        </w:tblPrEx>
        <w:tc>
          <w:tcPr>
            <w:tcW w:w="8848" w:type="dxa"/>
            <w:gridSpan w:val="14"/>
            <w:vAlign w:val="center"/>
          </w:tcPr>
          <w:p w14:paraId="0E1ECE86">
            <w:pPr>
              <w:jc w:val="center"/>
            </w:pPr>
            <w:r>
              <w:rPr>
                <w:rFonts w:ascii="宋体" w:hAnsi="宋体" w:eastAsia="宋体"/>
                <w:sz w:val="24"/>
              </w:rPr>
              <w:t>(2024年度)</w:t>
            </w:r>
          </w:p>
        </w:tc>
      </w:tr>
      <w:tr w14:paraId="09A9BA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99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E06A60">
            <w:pPr>
              <w:jc w:val="center"/>
            </w:pPr>
            <w:r>
              <w:rPr>
                <w:rFonts w:ascii="宋体" w:hAnsi="宋体" w:eastAsia="宋体"/>
                <w:sz w:val="16"/>
              </w:rPr>
              <w:t>法律顾问费项目</w:t>
            </w:r>
          </w:p>
        </w:tc>
      </w:tr>
      <w:tr w14:paraId="54D980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86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331D5">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86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EB6E43">
            <w:pPr>
              <w:jc w:val="center"/>
            </w:pPr>
            <w:r>
              <w:rPr>
                <w:rFonts w:ascii="宋体" w:hAnsi="宋体" w:eastAsia="宋体"/>
                <w:sz w:val="16"/>
              </w:rPr>
              <w:t>新疆维吾尔自治区喀什地区交通运输局</w:t>
            </w:r>
          </w:p>
        </w:tc>
      </w:tr>
      <w:tr w14:paraId="5F025B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F25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EB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C8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46D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82B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470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FF91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7562">
            <w:pPr>
              <w:jc w:val="center"/>
            </w:pPr>
            <w:r>
              <w:rPr>
                <w:rFonts w:ascii="宋体" w:hAnsi="宋体" w:eastAsia="宋体"/>
                <w:sz w:val="16"/>
              </w:rPr>
              <w:t>得分</w:t>
            </w:r>
          </w:p>
        </w:tc>
      </w:tr>
      <w:tr w14:paraId="24CDD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ABD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CFEE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48E0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3A6F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F86F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998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5C10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0E47">
            <w:pPr>
              <w:jc w:val="center"/>
            </w:pPr>
            <w:r>
              <w:rPr>
                <w:rFonts w:ascii="宋体" w:hAnsi="宋体" w:eastAsia="宋体"/>
                <w:sz w:val="16"/>
              </w:rPr>
              <w:t>10.00分</w:t>
            </w:r>
          </w:p>
        </w:tc>
      </w:tr>
      <w:tr w14:paraId="48F4D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EA9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B19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3A1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3A87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1876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E24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A56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FD9F">
            <w:pPr>
              <w:jc w:val="center"/>
            </w:pPr>
            <w:r>
              <w:rPr>
                <w:rFonts w:ascii="宋体" w:hAnsi="宋体" w:eastAsia="宋体"/>
                <w:sz w:val="16"/>
              </w:rPr>
              <w:t>—</w:t>
            </w:r>
          </w:p>
        </w:tc>
      </w:tr>
      <w:tr w14:paraId="6466A8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33E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6AE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09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08D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913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A1B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6A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91C4">
            <w:pPr>
              <w:jc w:val="center"/>
            </w:pPr>
            <w:r>
              <w:rPr>
                <w:rFonts w:ascii="宋体" w:hAnsi="宋体" w:eastAsia="宋体"/>
                <w:sz w:val="16"/>
              </w:rPr>
              <w:t>—</w:t>
            </w:r>
          </w:p>
        </w:tc>
      </w:tr>
      <w:tr w14:paraId="6D1977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B44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0E7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F1E1BB">
            <w:pPr>
              <w:jc w:val="center"/>
            </w:pPr>
            <w:r>
              <w:rPr>
                <w:rFonts w:ascii="宋体" w:hAnsi="宋体" w:eastAsia="宋体"/>
                <w:sz w:val="16"/>
              </w:rPr>
              <w:t>实际完成情况</w:t>
            </w:r>
          </w:p>
        </w:tc>
      </w:tr>
      <w:tr w14:paraId="45443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A8A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D4889">
            <w:pPr>
              <w:jc w:val="both"/>
            </w:pPr>
            <w:r>
              <w:rPr>
                <w:rFonts w:ascii="宋体" w:hAnsi="宋体" w:eastAsia="宋体"/>
                <w:sz w:val="16"/>
              </w:rPr>
              <w:t>委托第三方机构数量1家，指定服务律师1人，协助</w:t>
            </w:r>
            <w:r>
              <w:rPr>
                <w:rFonts w:hint="eastAsia" w:ascii="宋体" w:hAnsi="宋体"/>
                <w:sz w:val="16"/>
                <w:lang w:eastAsia="zh-CN"/>
              </w:rPr>
              <w:t>本部门</w:t>
            </w:r>
            <w:r>
              <w:rPr>
                <w:rFonts w:ascii="宋体" w:hAnsi="宋体" w:eastAsia="宋体"/>
                <w:sz w:val="16"/>
              </w:rPr>
              <w:t>做好地区交通运输系统的公路路政、道路运政、地方海事行政、工程质量监督管理等行政执法门类的行政检查、行政处罚、行政复议、行政诉讼案件的调查处理、解决在执法管理活动中产生的经济争议或者其他重大纠纷事项。提高单位业务和法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A24523">
            <w:pPr>
              <w:jc w:val="both"/>
            </w:pPr>
            <w:r>
              <w:rPr>
                <w:rFonts w:ascii="宋体" w:hAnsi="宋体" w:eastAsia="宋体"/>
                <w:sz w:val="16"/>
              </w:rPr>
              <w:t>委托律师事务所1家、聘请律师1人、支付法律顾问费2万元、协助</w:t>
            </w:r>
            <w:r>
              <w:rPr>
                <w:rFonts w:hint="eastAsia" w:ascii="宋体" w:hAnsi="宋体"/>
                <w:sz w:val="16"/>
                <w:lang w:eastAsia="zh-CN"/>
              </w:rPr>
              <w:t>本部门</w:t>
            </w:r>
            <w:r>
              <w:rPr>
                <w:rFonts w:ascii="宋体" w:hAnsi="宋体" w:eastAsia="宋体"/>
                <w:sz w:val="16"/>
              </w:rPr>
              <w:t>做好地区交通运输系统的公路路政、道路运政、地方海事行政、工程质量监督管理等行政执法门类的行政检查、行政处罚、行政复议、行政诉讼案件的调查处理、解决在执法管理活动中产生的经济争议或者其他重大纠纷事项。提高单位业务和法律。</w:t>
            </w:r>
          </w:p>
        </w:tc>
      </w:tr>
      <w:tr w14:paraId="420B43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4A8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2F9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6E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23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4AF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61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D0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A4D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1F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D72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CD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8BA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5C63">
            <w:pPr>
              <w:jc w:val="center"/>
            </w:pPr>
            <w:r>
              <w:rPr>
                <w:rFonts w:ascii="宋体" w:hAnsi="宋体" w:eastAsia="宋体"/>
                <w:sz w:val="16"/>
              </w:rPr>
              <w:t>偏差原因分析及改进措施</w:t>
            </w:r>
          </w:p>
        </w:tc>
      </w:tr>
      <w:tr w14:paraId="1B741C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B6D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049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4D0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02AE">
            <w:pPr>
              <w:jc w:val="center"/>
            </w:pPr>
            <w:r>
              <w:rPr>
                <w:rFonts w:ascii="宋体" w:hAnsi="宋体" w:eastAsia="宋体"/>
                <w:sz w:val="16"/>
              </w:rPr>
              <w:t>委托第三方机构数量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119E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8B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945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040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ED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E0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758D">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00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5E427">
            <w:pPr>
              <w:jc w:val="center"/>
            </w:pPr>
          </w:p>
        </w:tc>
      </w:tr>
      <w:tr w14:paraId="0BDE1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73E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06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B4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AAFE">
            <w:pPr>
              <w:jc w:val="center"/>
            </w:pPr>
            <w:r>
              <w:rPr>
                <w:rFonts w:ascii="宋体" w:hAnsi="宋体" w:eastAsia="宋体"/>
                <w:sz w:val="16"/>
              </w:rPr>
              <w:t>指定服务律师人数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E6DB1">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D3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8FE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CC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8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0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BC5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B5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B46DD">
            <w:pPr>
              <w:jc w:val="center"/>
            </w:pPr>
          </w:p>
        </w:tc>
      </w:tr>
      <w:tr w14:paraId="2436F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825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3CB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EF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3318">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8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EB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718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15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6E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81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A7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07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DDDFB">
            <w:pPr>
              <w:jc w:val="center"/>
            </w:pPr>
          </w:p>
        </w:tc>
      </w:tr>
      <w:tr w14:paraId="79735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AC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53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61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D30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E264">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7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70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B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5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8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DAB9">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04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4097">
            <w:pPr>
              <w:jc w:val="center"/>
            </w:pPr>
          </w:p>
        </w:tc>
      </w:tr>
      <w:tr w14:paraId="4F783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A91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11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05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882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E3AD">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3D6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89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EF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9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7F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BB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CE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CF336">
            <w:pPr>
              <w:jc w:val="center"/>
            </w:pPr>
          </w:p>
        </w:tc>
      </w:tr>
      <w:tr w14:paraId="45AAF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F58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C4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6D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CBE7">
            <w:pPr>
              <w:jc w:val="center"/>
            </w:pPr>
            <w:r>
              <w:rPr>
                <w:rFonts w:ascii="宋体" w:hAnsi="宋体" w:eastAsia="宋体"/>
                <w:sz w:val="16"/>
              </w:rPr>
              <w:t>单位业务合法率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F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5A0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1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9C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4F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0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9B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E10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B25F4">
            <w:pPr>
              <w:jc w:val="center"/>
            </w:pPr>
          </w:p>
        </w:tc>
      </w:tr>
      <w:tr w14:paraId="1D287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77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81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AD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327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0C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768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D8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9A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51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3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E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432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FA4A">
            <w:pPr>
              <w:jc w:val="center"/>
            </w:pPr>
          </w:p>
        </w:tc>
      </w:tr>
      <w:tr w14:paraId="638355D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340D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7C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8C40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5A3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DCD499"/>
        </w:tc>
      </w:tr>
    </w:tbl>
    <w:p w14:paraId="1E3C4E92">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0A7B2EC">
        <w:tblPrEx>
          <w:tblCellMar>
            <w:top w:w="0" w:type="dxa"/>
            <w:left w:w="108" w:type="dxa"/>
            <w:bottom w:w="0" w:type="dxa"/>
            <w:right w:w="108" w:type="dxa"/>
          </w:tblCellMar>
        </w:tblPrEx>
        <w:tc>
          <w:tcPr>
            <w:tcW w:w="8848" w:type="dxa"/>
            <w:gridSpan w:val="14"/>
            <w:vAlign w:val="center"/>
          </w:tcPr>
          <w:p w14:paraId="416D50A2">
            <w:pPr>
              <w:jc w:val="center"/>
            </w:pPr>
            <w:r>
              <w:rPr>
                <w:rFonts w:ascii="宋体" w:hAnsi="宋体" w:eastAsia="宋体"/>
                <w:sz w:val="24"/>
              </w:rPr>
              <w:t>项目支出绩效自评表</w:t>
            </w:r>
          </w:p>
        </w:tc>
      </w:tr>
      <w:tr w14:paraId="2DC3BC02">
        <w:tblPrEx>
          <w:tblCellMar>
            <w:top w:w="0" w:type="dxa"/>
            <w:left w:w="108" w:type="dxa"/>
            <w:bottom w:w="0" w:type="dxa"/>
            <w:right w:w="108" w:type="dxa"/>
          </w:tblCellMar>
        </w:tblPrEx>
        <w:tc>
          <w:tcPr>
            <w:tcW w:w="8848" w:type="dxa"/>
            <w:gridSpan w:val="14"/>
            <w:vAlign w:val="center"/>
          </w:tcPr>
          <w:p w14:paraId="182E76B6">
            <w:pPr>
              <w:jc w:val="center"/>
            </w:pPr>
            <w:r>
              <w:rPr>
                <w:rFonts w:ascii="宋体" w:hAnsi="宋体" w:eastAsia="宋体"/>
                <w:sz w:val="24"/>
              </w:rPr>
              <w:t>(2024年度)</w:t>
            </w:r>
          </w:p>
        </w:tc>
      </w:tr>
      <w:tr w14:paraId="2228B1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E4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4AB9D6">
            <w:pPr>
              <w:jc w:val="center"/>
            </w:pPr>
            <w:r>
              <w:rPr>
                <w:rFonts w:ascii="宋体" w:hAnsi="宋体" w:eastAsia="宋体"/>
                <w:sz w:val="16"/>
              </w:rPr>
              <w:t>规范生产专项项目</w:t>
            </w:r>
          </w:p>
        </w:tc>
      </w:tr>
      <w:tr w14:paraId="1B7838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DB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71D92">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4E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A4B5AB">
            <w:pPr>
              <w:jc w:val="center"/>
            </w:pPr>
            <w:r>
              <w:rPr>
                <w:rFonts w:ascii="宋体" w:hAnsi="宋体" w:eastAsia="宋体"/>
                <w:sz w:val="16"/>
              </w:rPr>
              <w:t>新疆维吾尔自治区喀什地区交通运输局</w:t>
            </w:r>
          </w:p>
        </w:tc>
      </w:tr>
      <w:tr w14:paraId="764AEA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25A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AC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863C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DD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8D5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45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FF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C97D">
            <w:pPr>
              <w:jc w:val="center"/>
            </w:pPr>
            <w:r>
              <w:rPr>
                <w:rFonts w:ascii="宋体" w:hAnsi="宋体" w:eastAsia="宋体"/>
                <w:sz w:val="16"/>
              </w:rPr>
              <w:t>得分</w:t>
            </w:r>
          </w:p>
        </w:tc>
      </w:tr>
      <w:tr w14:paraId="5BDFF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9B5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6A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05B7F">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A3CEF">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9BF5">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0A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79E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2DB2">
            <w:pPr>
              <w:jc w:val="center"/>
            </w:pPr>
            <w:r>
              <w:rPr>
                <w:rFonts w:ascii="宋体" w:hAnsi="宋体" w:eastAsia="宋体"/>
                <w:sz w:val="16"/>
              </w:rPr>
              <w:t>10.00分</w:t>
            </w:r>
          </w:p>
        </w:tc>
      </w:tr>
      <w:tr w14:paraId="7A848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3D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529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D2C6E">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CD55">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12B8B">
            <w:pPr>
              <w:jc w:val="center"/>
            </w:pPr>
            <w:r>
              <w:rPr>
                <w:rFonts w:ascii="宋体" w:hAnsi="宋体" w:eastAsia="宋体"/>
                <w:sz w:val="16"/>
              </w:rPr>
              <w:t>17.65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85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9F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74158">
            <w:pPr>
              <w:jc w:val="center"/>
            </w:pPr>
            <w:r>
              <w:rPr>
                <w:rFonts w:ascii="宋体" w:hAnsi="宋体" w:eastAsia="宋体"/>
                <w:sz w:val="16"/>
              </w:rPr>
              <w:t>—</w:t>
            </w:r>
          </w:p>
        </w:tc>
      </w:tr>
      <w:tr w14:paraId="060AD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30C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E64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6A1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51A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0F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3AC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1FD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62B4">
            <w:pPr>
              <w:jc w:val="center"/>
            </w:pPr>
            <w:r>
              <w:rPr>
                <w:rFonts w:ascii="宋体" w:hAnsi="宋体" w:eastAsia="宋体"/>
                <w:sz w:val="16"/>
              </w:rPr>
              <w:t>—</w:t>
            </w:r>
          </w:p>
        </w:tc>
      </w:tr>
      <w:tr w14:paraId="6DF6D6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615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49C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5C3697">
            <w:pPr>
              <w:jc w:val="center"/>
            </w:pPr>
            <w:r>
              <w:rPr>
                <w:rFonts w:ascii="宋体" w:hAnsi="宋体" w:eastAsia="宋体"/>
                <w:sz w:val="16"/>
              </w:rPr>
              <w:t>实际完成情况</w:t>
            </w:r>
          </w:p>
        </w:tc>
      </w:tr>
      <w:tr w14:paraId="0BDFE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3B2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5E79F">
            <w:pPr>
              <w:jc w:val="both"/>
            </w:pPr>
            <w:r>
              <w:rPr>
                <w:rFonts w:ascii="宋体" w:hAnsi="宋体" w:eastAsia="宋体"/>
                <w:sz w:val="16"/>
              </w:rPr>
              <w:t>项目总投入：17.65万元；保障人数23人，</w:t>
            </w:r>
            <w:r>
              <w:rPr>
                <w:rFonts w:hint="eastAsia" w:ascii="宋体" w:hAnsi="宋体"/>
                <w:sz w:val="16"/>
                <w:lang w:eastAsia="zh-CN"/>
              </w:rPr>
              <w:t>差旅费</w:t>
            </w:r>
            <w:r>
              <w:rPr>
                <w:rFonts w:ascii="宋体" w:hAnsi="宋体" w:eastAsia="宋体"/>
                <w:sz w:val="16"/>
              </w:rPr>
              <w:t>成本11万元，办公费成本6.65万元；完善和落实重在“从根本上消除事故隐患”的责任链条、制度成果、管理办法、重点工程和工作机制，扎实推进安全生产治理体系和治理能力现代化，专项整治取得积极成效，事故总量和一般事故持续下降,较大事故有效遏制，重特大事故坚决杜绝，自治区交通运输系统安全生产整体水平明显提高，为实现新疆社会长治久安总目标创造安全、平稳、良好的交通运输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3D521E">
            <w:pPr>
              <w:jc w:val="both"/>
            </w:pPr>
            <w:r>
              <w:rPr>
                <w:rFonts w:ascii="宋体" w:hAnsi="宋体" w:eastAsia="宋体"/>
                <w:sz w:val="16"/>
              </w:rPr>
              <w:t>执法人员23人、进行全年安全生产全覆盖重点督导检查10次、完成目标任务17.65万元，专项整治取得积极成效，事故总量和一般事故持续下降,较大事故有效遏制，重特大事故坚决杜绝，创造安全、平稳、良好的交通运输环境，交通安全事故下降率、隐患整改率达100%.</w:t>
            </w:r>
          </w:p>
        </w:tc>
      </w:tr>
      <w:tr w14:paraId="6C3892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BB69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4A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92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32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B1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01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842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76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92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CE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28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BF9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0F4F7">
            <w:pPr>
              <w:jc w:val="center"/>
            </w:pPr>
            <w:r>
              <w:rPr>
                <w:rFonts w:ascii="宋体" w:hAnsi="宋体" w:eastAsia="宋体"/>
                <w:sz w:val="16"/>
              </w:rPr>
              <w:t>偏差原因分析及改进措施</w:t>
            </w:r>
          </w:p>
        </w:tc>
      </w:tr>
      <w:tr w14:paraId="09D632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67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AC1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72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C61F">
            <w:pPr>
              <w:jc w:val="center"/>
            </w:pPr>
            <w:r>
              <w:rPr>
                <w:rFonts w:ascii="宋体" w:hAnsi="宋体" w:eastAsia="宋体"/>
                <w:sz w:val="16"/>
              </w:rPr>
              <w:t>指导服务人数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663F">
            <w:pPr>
              <w:jc w:val="center"/>
            </w:pPr>
            <w:r>
              <w:rPr>
                <w:rFonts w:ascii="宋体" w:hAnsi="宋体" w:eastAsia="宋体"/>
                <w:sz w:val="16"/>
              </w:rPr>
              <w:t>&gt;=23人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301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92DE">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F6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35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B2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38EE">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B0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294F1">
            <w:pPr>
              <w:jc w:val="center"/>
            </w:pPr>
          </w:p>
        </w:tc>
      </w:tr>
      <w:tr w14:paraId="34DE6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F6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35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6D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4CA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1D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3F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129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FA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BC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C8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3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B6D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052ED">
            <w:pPr>
              <w:jc w:val="center"/>
            </w:pPr>
          </w:p>
        </w:tc>
      </w:tr>
      <w:tr w14:paraId="3A7869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69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E6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F41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9A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F3CA">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4F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7C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C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89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8538">
            <w:pPr>
              <w:jc w:val="center"/>
            </w:pPr>
            <w:r>
              <w:rPr>
                <w:rFonts w:ascii="宋体" w:hAnsi="宋体" w:eastAsia="宋体"/>
                <w:sz w:val="16"/>
              </w:rPr>
              <w:t>=2023年8月26日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66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A3ED5">
            <w:pPr>
              <w:jc w:val="center"/>
            </w:pPr>
          </w:p>
        </w:tc>
      </w:tr>
      <w:tr w14:paraId="39121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B76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248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21C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AE2A">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DF7A">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6C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1501">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C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88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D6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E3AB">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B1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963B">
            <w:pPr>
              <w:jc w:val="center"/>
            </w:pPr>
          </w:p>
        </w:tc>
      </w:tr>
      <w:tr w14:paraId="2BB4D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6B5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8CC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22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4169">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3AC6">
            <w:pPr>
              <w:jc w:val="center"/>
            </w:pPr>
            <w:r>
              <w:rPr>
                <w:rFonts w:ascii="宋体" w:hAnsi="宋体" w:eastAsia="宋体"/>
                <w:sz w:val="16"/>
              </w:rPr>
              <w:t>&lt;=6.65万元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732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1684">
            <w:pPr>
              <w:jc w:val="center"/>
            </w:pPr>
            <w:r>
              <w:rPr>
                <w:rFonts w:ascii="宋体" w:hAnsi="宋体" w:eastAsia="宋体"/>
                <w:sz w:val="16"/>
              </w:rPr>
              <w: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75D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34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3C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B04B">
            <w:pPr>
              <w:jc w:val="center"/>
            </w:pPr>
            <w:r>
              <w:rPr>
                <w:rFonts w:ascii="宋体" w:hAnsi="宋体" w:eastAsia="宋体"/>
                <w:sz w:val="16"/>
              </w:rPr>
              <w:t>=6.65万元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70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0AE88">
            <w:pPr>
              <w:jc w:val="center"/>
            </w:pPr>
          </w:p>
        </w:tc>
      </w:tr>
      <w:tr w14:paraId="6D5B24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37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0A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73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DBCE">
            <w:pPr>
              <w:jc w:val="center"/>
            </w:pPr>
            <w:r>
              <w:rPr>
                <w:rFonts w:ascii="宋体" w:hAnsi="宋体" w:eastAsia="宋体"/>
                <w:sz w:val="16"/>
              </w:rPr>
              <w:t>提升交通运输部门依法依规履职能力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FA1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F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D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EF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5A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45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ADA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213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3C79D">
            <w:pPr>
              <w:jc w:val="center"/>
            </w:pPr>
          </w:p>
        </w:tc>
      </w:tr>
      <w:tr w14:paraId="09E61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EA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7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B0D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F9CB">
            <w:pPr>
              <w:jc w:val="center"/>
            </w:pPr>
            <w:r>
              <w:rPr>
                <w:rFonts w:ascii="宋体" w:hAnsi="宋体" w:eastAsia="宋体"/>
                <w:sz w:val="16"/>
              </w:rPr>
              <w:t>指导服务对象满意度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5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7CC0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01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1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83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58B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2D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C2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2506B">
            <w:pPr>
              <w:jc w:val="center"/>
            </w:pPr>
          </w:p>
        </w:tc>
      </w:tr>
      <w:tr w14:paraId="4684135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383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2D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3E1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5AB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0F1208"/>
        </w:tc>
      </w:tr>
    </w:tbl>
    <w:p w14:paraId="07F82A55">
      <w:r>
        <w:br w:type="page"/>
      </w:r>
    </w:p>
    <w:tbl>
      <w:tblPr>
        <w:tblStyle w:val="10"/>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1636969">
        <w:tblPrEx>
          <w:tblCellMar>
            <w:top w:w="0" w:type="dxa"/>
            <w:left w:w="108" w:type="dxa"/>
            <w:bottom w:w="0" w:type="dxa"/>
            <w:right w:w="108" w:type="dxa"/>
          </w:tblCellMar>
        </w:tblPrEx>
        <w:tc>
          <w:tcPr>
            <w:tcW w:w="8848" w:type="dxa"/>
            <w:gridSpan w:val="14"/>
            <w:vAlign w:val="center"/>
          </w:tcPr>
          <w:p w14:paraId="6A7C033D">
            <w:pPr>
              <w:jc w:val="center"/>
            </w:pPr>
            <w:r>
              <w:rPr>
                <w:rFonts w:ascii="宋体" w:hAnsi="宋体" w:eastAsia="宋体"/>
                <w:sz w:val="24"/>
              </w:rPr>
              <w:t>项目支出绩效自评表</w:t>
            </w:r>
          </w:p>
        </w:tc>
      </w:tr>
      <w:tr w14:paraId="04AB9222">
        <w:tblPrEx>
          <w:tblCellMar>
            <w:top w:w="0" w:type="dxa"/>
            <w:left w:w="108" w:type="dxa"/>
            <w:bottom w:w="0" w:type="dxa"/>
            <w:right w:w="108" w:type="dxa"/>
          </w:tblCellMar>
        </w:tblPrEx>
        <w:tc>
          <w:tcPr>
            <w:tcW w:w="8848" w:type="dxa"/>
            <w:gridSpan w:val="14"/>
            <w:vAlign w:val="center"/>
          </w:tcPr>
          <w:p w14:paraId="7AED61F4">
            <w:pPr>
              <w:jc w:val="center"/>
            </w:pPr>
            <w:r>
              <w:rPr>
                <w:rFonts w:ascii="宋体" w:hAnsi="宋体" w:eastAsia="宋体"/>
                <w:sz w:val="24"/>
              </w:rPr>
              <w:t>(2024年度)</w:t>
            </w:r>
          </w:p>
        </w:tc>
      </w:tr>
      <w:tr w14:paraId="77517E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CB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A3145A">
            <w:pPr>
              <w:jc w:val="center"/>
            </w:pPr>
            <w:r>
              <w:rPr>
                <w:rFonts w:ascii="宋体" w:hAnsi="宋体" w:eastAsia="宋体"/>
                <w:sz w:val="16"/>
              </w:rPr>
              <w:t>铁路、公路、航空物流、能源基础设施前期费项目</w:t>
            </w:r>
          </w:p>
        </w:tc>
      </w:tr>
      <w:tr w14:paraId="72C8A3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66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A4DC6">
            <w:pPr>
              <w:jc w:val="center"/>
            </w:pPr>
            <w:r>
              <w:rPr>
                <w:rFonts w:ascii="宋体" w:hAnsi="宋体" w:eastAsia="宋体"/>
                <w:sz w:val="16"/>
              </w:rPr>
              <w:t>喀什地区交通运输局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C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4B0918">
            <w:pPr>
              <w:jc w:val="center"/>
            </w:pPr>
            <w:r>
              <w:rPr>
                <w:rFonts w:ascii="宋体" w:hAnsi="宋体" w:eastAsia="宋体"/>
                <w:sz w:val="16"/>
              </w:rPr>
              <w:t>新疆维吾尔自治区喀什地区交通运输局</w:t>
            </w:r>
          </w:p>
        </w:tc>
      </w:tr>
      <w:tr w14:paraId="42A419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2FA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E07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C73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DE8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D0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37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AF00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8C90">
            <w:pPr>
              <w:jc w:val="center"/>
            </w:pPr>
            <w:r>
              <w:rPr>
                <w:rFonts w:ascii="宋体" w:hAnsi="宋体" w:eastAsia="宋体"/>
                <w:sz w:val="16"/>
              </w:rPr>
              <w:t>得分</w:t>
            </w:r>
          </w:p>
        </w:tc>
      </w:tr>
      <w:tr w14:paraId="2A787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D4B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169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B4C14">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1840A">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D00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334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52D5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5E7A2">
            <w:pPr>
              <w:jc w:val="center"/>
            </w:pPr>
            <w:r>
              <w:rPr>
                <w:rFonts w:ascii="宋体" w:hAnsi="宋体" w:eastAsia="宋体"/>
                <w:sz w:val="16"/>
              </w:rPr>
              <w:t>0.00分</w:t>
            </w:r>
          </w:p>
        </w:tc>
      </w:tr>
      <w:tr w14:paraId="2FEC6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B6A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657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03A45">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9BB46">
            <w:pPr>
              <w:jc w:val="center"/>
            </w:pPr>
            <w:r>
              <w:rPr>
                <w:rFonts w:ascii="宋体" w:hAnsi="宋体" w:eastAsia="宋体"/>
                <w:sz w:val="16"/>
              </w:rPr>
              <w:t>1,500.00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66F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813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9ED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654D">
            <w:pPr>
              <w:jc w:val="center"/>
            </w:pPr>
            <w:r>
              <w:rPr>
                <w:rFonts w:ascii="宋体" w:hAnsi="宋体" w:eastAsia="宋体"/>
                <w:sz w:val="16"/>
              </w:rPr>
              <w:t>—</w:t>
            </w:r>
          </w:p>
        </w:tc>
      </w:tr>
      <w:tr w14:paraId="537562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797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CA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D3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552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0EB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876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E0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49572">
            <w:pPr>
              <w:jc w:val="center"/>
            </w:pPr>
            <w:r>
              <w:rPr>
                <w:rFonts w:ascii="宋体" w:hAnsi="宋体" w:eastAsia="宋体"/>
                <w:sz w:val="16"/>
              </w:rPr>
              <w:t>—</w:t>
            </w:r>
          </w:p>
        </w:tc>
      </w:tr>
      <w:tr w14:paraId="38FC0F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C33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601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95A73E">
            <w:pPr>
              <w:jc w:val="center"/>
            </w:pPr>
            <w:r>
              <w:rPr>
                <w:rFonts w:ascii="宋体" w:hAnsi="宋体" w:eastAsia="宋体"/>
                <w:sz w:val="16"/>
              </w:rPr>
              <w:t>实际完成情况</w:t>
            </w:r>
          </w:p>
        </w:tc>
      </w:tr>
      <w:tr w14:paraId="44A2E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D2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4648A">
            <w:pPr>
              <w:jc w:val="both"/>
            </w:pPr>
            <w:r>
              <w:rPr>
                <w:rFonts w:ascii="宋体" w:hAnsi="宋体" w:eastAsia="宋体"/>
                <w:sz w:val="16"/>
              </w:rPr>
              <w:t>项目资金1500元、主要用于保障6个项目可研、选址、土地预审、安评、社稳、环评、林地林草、地灾、压覆矿、水保、土地勘界、建设用地批复、防洪等前期费六个重点项目争取纳入“十四五”规划中期调整，完成项目前期工作，争取在“十四五”期建设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86AF7">
            <w:pPr>
              <w:jc w:val="both"/>
            </w:pPr>
            <w:r>
              <w:rPr>
                <w:rFonts w:ascii="宋体" w:hAnsi="宋体" w:eastAsia="宋体"/>
                <w:sz w:val="16"/>
              </w:rPr>
              <w:t>该项目是援疆资金项目、项目金额为1500万元，涉及2023年援疆项目，由于地区援疆项目被审计未完，一直未通知能够使用该笔资金。项目未执行。</w:t>
            </w:r>
          </w:p>
        </w:tc>
      </w:tr>
      <w:tr w14:paraId="25CDFA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A90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A2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97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0D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7F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11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5D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65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1DF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D7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4A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0B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1163D">
            <w:pPr>
              <w:jc w:val="center"/>
            </w:pPr>
            <w:r>
              <w:rPr>
                <w:rFonts w:ascii="宋体" w:hAnsi="宋体" w:eastAsia="宋体"/>
                <w:sz w:val="16"/>
              </w:rPr>
              <w:t>偏差原因分析及改进措施</w:t>
            </w:r>
          </w:p>
        </w:tc>
      </w:tr>
      <w:tr w14:paraId="5088BD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89F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D88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89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D088">
            <w:pPr>
              <w:jc w:val="center"/>
            </w:pPr>
            <w:r>
              <w:rPr>
                <w:rFonts w:ascii="宋体" w:hAnsi="宋体" w:eastAsia="宋体"/>
                <w:sz w:val="16"/>
              </w:rPr>
              <w:t>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1623">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753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83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D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286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E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619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75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42AE9">
            <w:pPr>
              <w:jc w:val="center"/>
            </w:pPr>
            <w:r>
              <w:rPr>
                <w:rFonts w:ascii="宋体" w:hAnsi="宋体" w:eastAsia="宋体"/>
                <w:sz w:val="16"/>
              </w:rPr>
              <w:t>偏差原因：该项目涉及2023年援疆项目，由于地区援疆项目被审计未完项目未执行、资金未支付</w:t>
            </w:r>
          </w:p>
        </w:tc>
      </w:tr>
      <w:tr w14:paraId="083A5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27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D8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BE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270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2C0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A5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8C4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5B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E3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4C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8F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C1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A1CC">
            <w:pPr>
              <w:jc w:val="center"/>
            </w:pPr>
            <w:r>
              <w:rPr>
                <w:rFonts w:ascii="宋体" w:hAnsi="宋体" w:eastAsia="宋体"/>
                <w:sz w:val="16"/>
              </w:rPr>
              <w:t>偏差原因：该项目涉及2023年援疆项目，由于地区援疆项目被审计未完项目未执行、资金未支付</w:t>
            </w:r>
          </w:p>
        </w:tc>
      </w:tr>
      <w:tr w14:paraId="2B87B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D0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D9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452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EF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ACFD">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C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979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9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B6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7A9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BF24">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FA0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5B104">
            <w:pPr>
              <w:jc w:val="center"/>
            </w:pPr>
            <w:r>
              <w:rPr>
                <w:rFonts w:ascii="宋体" w:hAnsi="宋体" w:eastAsia="宋体"/>
                <w:sz w:val="16"/>
              </w:rPr>
              <w:t>偏差原因：该项目涉及2023年援疆项目，由于地区援疆项目被审计未完项目未执行、资金未支付</w:t>
            </w:r>
          </w:p>
        </w:tc>
      </w:tr>
      <w:tr w14:paraId="3FC2AD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A1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E9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01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FAA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E2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3F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67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6F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D6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C79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E06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613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602A5">
            <w:pPr>
              <w:jc w:val="center"/>
            </w:pPr>
            <w:r>
              <w:rPr>
                <w:rFonts w:ascii="宋体" w:hAnsi="宋体" w:eastAsia="宋体"/>
                <w:sz w:val="16"/>
              </w:rPr>
              <w:t>偏差原因：该项目涉及2023年援疆项目，由于地区援疆项目被审计未完项目未执行、资金未支付</w:t>
            </w:r>
          </w:p>
        </w:tc>
      </w:tr>
      <w:tr w14:paraId="2195B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FF3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D7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D7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8303">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F7C5A">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0B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0A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331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1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02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CA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F7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914F5">
            <w:pPr>
              <w:jc w:val="center"/>
            </w:pPr>
            <w:r>
              <w:rPr>
                <w:rFonts w:ascii="宋体" w:hAnsi="宋体" w:eastAsia="宋体"/>
                <w:sz w:val="16"/>
              </w:rPr>
              <w:t>偏差原因：该项目涉及2023年援疆项目，由于地区援疆项目被审计未完项目未执行、资金未支付</w:t>
            </w:r>
          </w:p>
        </w:tc>
      </w:tr>
      <w:tr w14:paraId="5453D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D1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BA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D8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74ECE">
            <w:pPr>
              <w:jc w:val="center"/>
            </w:pPr>
            <w:r>
              <w:rPr>
                <w:rFonts w:ascii="宋体" w:hAnsi="宋体" w:eastAsia="宋体"/>
                <w:sz w:val="16"/>
              </w:rPr>
              <w:t>业务保障能力提升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982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7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DC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E6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9B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69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677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801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D9FDC">
            <w:pPr>
              <w:jc w:val="center"/>
            </w:pPr>
            <w:r>
              <w:rPr>
                <w:rFonts w:ascii="宋体" w:hAnsi="宋体" w:eastAsia="宋体"/>
                <w:sz w:val="16"/>
              </w:rPr>
              <w:t>偏差原因：该项目涉及2023年援疆项目，由于地区援疆项目被审计未完项目未执行、资金未支付</w:t>
            </w:r>
          </w:p>
        </w:tc>
      </w:tr>
      <w:tr w14:paraId="2E77D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9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D6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B7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8CD1">
            <w:pPr>
              <w:jc w:val="center"/>
            </w:pPr>
            <w:r>
              <w:rPr>
                <w:rFonts w:ascii="宋体" w:hAnsi="宋体" w:eastAsia="宋体"/>
                <w:sz w:val="16"/>
              </w:rPr>
              <w:t>项目施工单位满意度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544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9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07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A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BE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67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A4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F2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ADCD6">
            <w:pPr>
              <w:jc w:val="center"/>
            </w:pPr>
            <w:r>
              <w:rPr>
                <w:rFonts w:ascii="宋体" w:hAnsi="宋体" w:eastAsia="宋体"/>
                <w:sz w:val="16"/>
              </w:rPr>
              <w:t>偏差原因：该项目涉及2023年援疆项目，由于地区援疆项目被审计未完项目未执行、资金未支付</w:t>
            </w:r>
          </w:p>
        </w:tc>
      </w:tr>
      <w:tr w14:paraId="4D2C103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A9E1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344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204B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F6E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C4B58A3"/>
        </w:tc>
      </w:tr>
    </w:tbl>
    <w:p w14:paraId="25A5B115">
      <w:r>
        <w:br w:type="page"/>
      </w:r>
    </w:p>
    <w:p w14:paraId="6C1F36C9">
      <w:pPr>
        <w:spacing w:line="640" w:lineRule="exact"/>
        <w:ind w:firstLine="640"/>
        <w:jc w:val="both"/>
        <w:outlineLvl w:val="2"/>
      </w:pPr>
      <w:r>
        <w:rPr>
          <w:rFonts w:ascii="黑体" w:hAnsi="黑体" w:eastAsia="黑体"/>
          <w:sz w:val="32"/>
        </w:rPr>
        <w:t>十二、其他需说明的事项</w:t>
      </w:r>
    </w:p>
    <w:p w14:paraId="40FF12E7">
      <w:pPr>
        <w:spacing w:line="580" w:lineRule="exact"/>
        <w:ind w:firstLine="640"/>
        <w:jc w:val="both"/>
      </w:pPr>
      <w:r>
        <w:rPr>
          <w:rFonts w:ascii="仿宋_GB2312" w:hAnsi="仿宋_GB2312" w:eastAsia="仿宋_GB2312"/>
          <w:b w:val="0"/>
          <w:sz w:val="32"/>
        </w:rPr>
        <w:t>本部门无其他需说明的事项。</w:t>
      </w:r>
    </w:p>
    <w:p w14:paraId="63BD42A6">
      <w:r>
        <w:br w:type="page"/>
      </w:r>
    </w:p>
    <w:p w14:paraId="0CA906F7">
      <w:pPr>
        <w:spacing w:line="240" w:lineRule="auto"/>
        <w:jc w:val="center"/>
        <w:outlineLvl w:val="1"/>
      </w:pPr>
      <w:r>
        <w:rPr>
          <w:rFonts w:ascii="黑体" w:hAnsi="黑体" w:eastAsia="黑体"/>
          <w:sz w:val="32"/>
        </w:rPr>
        <w:t>第三部分 专业名词解释</w:t>
      </w:r>
    </w:p>
    <w:p w14:paraId="69FC33C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13433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244CE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F84F7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7D132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8F271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459A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5A2724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35A3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0BACD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CE9B6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3C5776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DCDA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6A40F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934EFD">
      <w:r>
        <w:br w:type="page"/>
      </w:r>
    </w:p>
    <w:p w14:paraId="5F5D57D4">
      <w:pPr>
        <w:spacing w:line="240" w:lineRule="auto"/>
        <w:jc w:val="center"/>
        <w:outlineLvl w:val="1"/>
      </w:pPr>
      <w:r>
        <w:rPr>
          <w:rFonts w:ascii="黑体" w:hAnsi="黑体" w:eastAsia="黑体"/>
          <w:sz w:val="32"/>
        </w:rPr>
        <w:t>第四部分 部门决算报表（见附表）</w:t>
      </w:r>
    </w:p>
    <w:p w14:paraId="430F2207">
      <w:pPr>
        <w:spacing w:line="240" w:lineRule="auto"/>
        <w:ind w:firstLine="640"/>
        <w:jc w:val="both"/>
      </w:pPr>
      <w:r>
        <w:rPr>
          <w:rFonts w:ascii="仿宋_GB2312" w:hAnsi="仿宋_GB2312" w:eastAsia="仿宋_GB2312"/>
          <w:b w:val="0"/>
          <w:sz w:val="32"/>
        </w:rPr>
        <w:t>一、《收入支出决算总表》</w:t>
      </w:r>
    </w:p>
    <w:p w14:paraId="43B5274B">
      <w:pPr>
        <w:spacing w:line="240" w:lineRule="auto"/>
        <w:ind w:firstLine="640"/>
        <w:jc w:val="both"/>
      </w:pPr>
      <w:r>
        <w:rPr>
          <w:rFonts w:ascii="仿宋_GB2312" w:hAnsi="仿宋_GB2312" w:eastAsia="仿宋_GB2312"/>
          <w:b w:val="0"/>
          <w:sz w:val="32"/>
        </w:rPr>
        <w:t>二、《收入决算表》</w:t>
      </w:r>
    </w:p>
    <w:p w14:paraId="25346FF0">
      <w:pPr>
        <w:spacing w:line="240" w:lineRule="auto"/>
        <w:ind w:firstLine="640"/>
        <w:jc w:val="both"/>
      </w:pPr>
      <w:r>
        <w:rPr>
          <w:rFonts w:ascii="仿宋_GB2312" w:hAnsi="仿宋_GB2312" w:eastAsia="仿宋_GB2312"/>
          <w:b w:val="0"/>
          <w:sz w:val="32"/>
        </w:rPr>
        <w:t>三、《支出决算表》</w:t>
      </w:r>
    </w:p>
    <w:p w14:paraId="6EFD63B2">
      <w:pPr>
        <w:spacing w:line="240" w:lineRule="auto"/>
        <w:ind w:firstLine="640"/>
        <w:jc w:val="both"/>
      </w:pPr>
      <w:r>
        <w:rPr>
          <w:rFonts w:ascii="仿宋_GB2312" w:hAnsi="仿宋_GB2312" w:eastAsia="仿宋_GB2312"/>
          <w:b w:val="0"/>
          <w:sz w:val="32"/>
        </w:rPr>
        <w:t>四、《财政拨款收入支出决算总表》</w:t>
      </w:r>
    </w:p>
    <w:p w14:paraId="14D45526">
      <w:pPr>
        <w:spacing w:line="240" w:lineRule="auto"/>
        <w:ind w:firstLine="640"/>
        <w:jc w:val="both"/>
      </w:pPr>
      <w:r>
        <w:rPr>
          <w:rFonts w:ascii="仿宋_GB2312" w:hAnsi="仿宋_GB2312" w:eastAsia="仿宋_GB2312"/>
          <w:b w:val="0"/>
          <w:sz w:val="32"/>
        </w:rPr>
        <w:t>五、《一般公共预算财政拨款支出决算表》</w:t>
      </w:r>
    </w:p>
    <w:p w14:paraId="466F063B">
      <w:pPr>
        <w:spacing w:line="240" w:lineRule="auto"/>
        <w:ind w:firstLine="640"/>
        <w:jc w:val="both"/>
      </w:pPr>
      <w:r>
        <w:rPr>
          <w:rFonts w:ascii="仿宋_GB2312" w:hAnsi="仿宋_GB2312" w:eastAsia="仿宋_GB2312"/>
          <w:b w:val="0"/>
          <w:sz w:val="32"/>
        </w:rPr>
        <w:t>六、《一般公共预算财政拨款基本支出决算表》</w:t>
      </w:r>
    </w:p>
    <w:p w14:paraId="788B0211">
      <w:pPr>
        <w:spacing w:line="240" w:lineRule="auto"/>
        <w:ind w:firstLine="640"/>
        <w:jc w:val="both"/>
      </w:pPr>
      <w:r>
        <w:rPr>
          <w:rFonts w:ascii="仿宋_GB2312" w:hAnsi="仿宋_GB2312" w:eastAsia="仿宋_GB2312"/>
          <w:b w:val="0"/>
          <w:sz w:val="32"/>
        </w:rPr>
        <w:t>七、《政府性基金预算财政拨款收入支出决算表》</w:t>
      </w:r>
    </w:p>
    <w:p w14:paraId="6BF12667">
      <w:pPr>
        <w:spacing w:line="240" w:lineRule="auto"/>
        <w:ind w:firstLine="640"/>
        <w:jc w:val="both"/>
      </w:pPr>
      <w:r>
        <w:rPr>
          <w:rFonts w:ascii="仿宋_GB2312" w:hAnsi="仿宋_GB2312" w:eastAsia="仿宋_GB2312"/>
          <w:b w:val="0"/>
          <w:sz w:val="32"/>
        </w:rPr>
        <w:t>八、《国有资本经营预算财政拨款收入支出决算表》</w:t>
      </w:r>
    </w:p>
    <w:p w14:paraId="40FEA3D2">
      <w:pPr>
        <w:spacing w:line="240" w:lineRule="auto"/>
        <w:ind w:firstLine="640"/>
        <w:jc w:val="both"/>
      </w:pPr>
      <w:r>
        <w:rPr>
          <w:rFonts w:ascii="仿宋_GB2312" w:hAnsi="仿宋_GB2312" w:eastAsia="仿宋_GB2312"/>
          <w:b w:val="0"/>
          <w:sz w:val="32"/>
        </w:rPr>
        <w:t>九、《财政拨款“三公”经费支出决算表》</w:t>
      </w:r>
    </w:p>
    <w:p w14:paraId="54562AAC">
      <w:pPr>
        <w:spacing w:line="240" w:lineRule="auto"/>
        <w:ind w:firstLine="640"/>
        <w:jc w:val="both"/>
      </w:pPr>
    </w:p>
    <w:p w14:paraId="3135227A">
      <w:pPr>
        <w:spacing w:line="240" w:lineRule="auto"/>
        <w:ind w:firstLine="640"/>
        <w:jc w:val="both"/>
      </w:pPr>
    </w:p>
    <w:p w14:paraId="1EB6BEE8">
      <w:pPr>
        <w:spacing w:line="240" w:lineRule="auto"/>
        <w:ind w:firstLine="640"/>
        <w:jc w:val="both"/>
      </w:pPr>
    </w:p>
    <w:p w14:paraId="5B11EC06">
      <w:pPr>
        <w:spacing w:line="240" w:lineRule="auto"/>
        <w:ind w:firstLine="640"/>
        <w:jc w:val="both"/>
      </w:pPr>
    </w:p>
    <w:p w14:paraId="358E23E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281C64-70AA-4D2A-AA22-76491F0B02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B0257E7-5625-4F9D-BA3F-0AC0D75BF7CE}"/>
  </w:font>
  <w:font w:name="方正小标宋_GBK">
    <w:panose1 w:val="02000000000000000000"/>
    <w:charset w:val="86"/>
    <w:family w:val="script"/>
    <w:pitch w:val="default"/>
    <w:sig w:usb0="A00002BF" w:usb1="38CF7CFA" w:usb2="00082016" w:usb3="00000000" w:csb0="00040001" w:csb1="00000000"/>
    <w:embedRegular r:id="rId3" w:fontKey="{ACFA135F-F749-49A4-BFD6-E8FE834A8EA8}"/>
  </w:font>
  <w:font w:name="楷体_GB2312">
    <w:altName w:val="楷体"/>
    <w:panose1 w:val="02010609030101010101"/>
    <w:charset w:val="86"/>
    <w:family w:val="auto"/>
    <w:pitch w:val="default"/>
    <w:sig w:usb0="00000000" w:usb1="00000000" w:usb2="00000000" w:usb3="00000000" w:csb0="00040000" w:csb1="00000000"/>
    <w:embedRegular r:id="rId4" w:fontKey="{479DF7A2-261F-48CB-A1E0-ED67846FAB62}"/>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326D09"/>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681A40"/>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5614BA"/>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7292</Words>
  <Characters>8254</Characters>
  <Lines>0</Lines>
  <Paragraphs>0</Paragraphs>
  <TotalTime>7</TotalTime>
  <ScaleCrop>false</ScaleCrop>
  <LinksUpToDate>false</LinksUpToDate>
  <CharactersWithSpaces>8262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