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新疆维吾尔自治区喀什地区住房公积金管理中心2024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B238A6">
      <w:r>
        <w:br w:type="page"/>
      </w:r>
    </w:p>
    <w:p w14:paraId="17A49013">
      <w:pPr>
        <w:spacing w:line="640" w:lineRule="exact"/>
        <w:jc w:val="center"/>
        <w:outlineLvl w:val="1"/>
      </w:pPr>
      <w:r>
        <w:rPr>
          <w:rFonts w:ascii="黑体" w:hAnsi="黑体" w:eastAsia="黑体"/>
          <w:sz w:val="32"/>
        </w:rPr>
        <w:t>第一部分 部门概况</w:t>
      </w:r>
    </w:p>
    <w:p w14:paraId="2DA1EEC6">
      <w:pPr>
        <w:spacing w:line="640" w:lineRule="exact"/>
        <w:ind w:firstLine="640"/>
        <w:jc w:val="both"/>
        <w:outlineLvl w:val="2"/>
      </w:pPr>
      <w:r>
        <w:rPr>
          <w:rFonts w:ascii="黑体" w:hAnsi="黑体" w:eastAsia="黑体"/>
          <w:sz w:val="32"/>
        </w:rPr>
        <w:t>一、主要职能</w:t>
      </w:r>
    </w:p>
    <w:p w14:paraId="00C33455">
      <w:pPr>
        <w:spacing w:line="580" w:lineRule="exact"/>
        <w:ind w:firstLine="640"/>
        <w:jc w:val="both"/>
      </w:pPr>
      <w:r>
        <w:rPr>
          <w:rFonts w:ascii="仿宋_GB2312" w:hAnsi="仿宋_GB2312" w:eastAsia="仿宋_GB2312"/>
          <w:sz w:val="32"/>
        </w:rPr>
        <w:t>1、负责编制、执行住房公积金的年度归集、使用计划。</w:t>
      </w:r>
    </w:p>
    <w:p w14:paraId="0A5A4B38">
      <w:pPr>
        <w:spacing w:line="580" w:lineRule="exact"/>
        <w:ind w:firstLine="640"/>
        <w:jc w:val="both"/>
      </w:pPr>
      <w:r>
        <w:rPr>
          <w:rFonts w:ascii="仿宋_GB2312" w:hAnsi="仿宋_GB2312" w:eastAsia="仿宋_GB2312"/>
          <w:sz w:val="32"/>
        </w:rPr>
        <w:t>2、编报年度计划执行情况的报告</w:t>
      </w:r>
      <w:r>
        <w:rPr>
          <w:rFonts w:hint="eastAsia" w:ascii="仿宋_GB2312" w:hAnsi="仿宋_GB2312" w:eastAsia="仿宋_GB2312"/>
          <w:sz w:val="32"/>
          <w:lang w:eastAsia="zh-CN"/>
        </w:rPr>
        <w:t>；</w:t>
      </w:r>
      <w:r>
        <w:rPr>
          <w:rFonts w:ascii="仿宋_GB2312" w:hAnsi="仿宋_GB2312" w:eastAsia="仿宋_GB2312"/>
          <w:sz w:val="32"/>
        </w:rPr>
        <w:t>负责拟定调整住房公积金的具体管理政策措施,并组织实施。</w:t>
      </w:r>
    </w:p>
    <w:p w14:paraId="5B8C3C78">
      <w:pPr>
        <w:spacing w:line="580" w:lineRule="exact"/>
        <w:ind w:firstLine="640"/>
        <w:jc w:val="both"/>
      </w:pPr>
      <w:r>
        <w:rPr>
          <w:rFonts w:ascii="仿宋_GB2312" w:hAnsi="仿宋_GB2312" w:eastAsia="仿宋_GB2312"/>
          <w:sz w:val="32"/>
        </w:rPr>
        <w:t>3、负责审核、审批、办理并记载缴存职工住房公积金的归集、提取</w:t>
      </w:r>
      <w:r>
        <w:rPr>
          <w:rFonts w:hint="eastAsia" w:ascii="仿宋_GB2312" w:hAnsi="仿宋_GB2312" w:eastAsia="仿宋_GB2312"/>
          <w:sz w:val="32"/>
          <w:lang w:eastAsia="zh-CN"/>
        </w:rPr>
        <w:t>、使用</w:t>
      </w:r>
      <w:r>
        <w:rPr>
          <w:rFonts w:ascii="仿宋_GB2312" w:hAnsi="仿宋_GB2312" w:eastAsia="仿宋_GB2312"/>
          <w:sz w:val="32"/>
        </w:rPr>
        <w:t>、贷款发放、贷后管理。</w:t>
      </w:r>
    </w:p>
    <w:p w14:paraId="254352D3">
      <w:pPr>
        <w:spacing w:line="580" w:lineRule="exact"/>
        <w:ind w:firstLine="640"/>
        <w:jc w:val="both"/>
      </w:pPr>
      <w:r>
        <w:rPr>
          <w:rFonts w:ascii="仿宋_GB2312" w:hAnsi="仿宋_GB2312" w:eastAsia="仿宋_GB2312"/>
          <w:sz w:val="32"/>
        </w:rPr>
        <w:t>4、与委托代办银行签订委托协议</w:t>
      </w:r>
      <w:r>
        <w:rPr>
          <w:rFonts w:hint="eastAsia" w:ascii="仿宋_GB2312" w:hAnsi="仿宋_GB2312" w:eastAsia="仿宋_GB2312"/>
          <w:sz w:val="32"/>
          <w:lang w:eastAsia="zh-CN"/>
        </w:rPr>
        <w:t>，</w:t>
      </w:r>
      <w:r>
        <w:rPr>
          <w:rFonts w:ascii="仿宋_GB2312" w:hAnsi="仿宋_GB2312" w:eastAsia="仿宋_GB2312"/>
          <w:sz w:val="32"/>
        </w:rPr>
        <w:t>并指导监督其开展业务</w:t>
      </w:r>
      <w:r>
        <w:rPr>
          <w:rFonts w:hint="eastAsia" w:ascii="仿宋_GB2312" w:hAnsi="仿宋_GB2312" w:eastAsia="仿宋_GB2312"/>
          <w:sz w:val="32"/>
          <w:lang w:eastAsia="zh-CN"/>
        </w:rPr>
        <w:t>；</w:t>
      </w:r>
      <w:r>
        <w:rPr>
          <w:rFonts w:ascii="仿宋_GB2312" w:hAnsi="仿宋_GB2312" w:eastAsia="仿宋_GB2312"/>
          <w:sz w:val="32"/>
        </w:rPr>
        <w:t>负责住房公积金的统一管理,统一核算。</w:t>
      </w:r>
    </w:p>
    <w:p w14:paraId="4F890823">
      <w:pPr>
        <w:spacing w:line="580" w:lineRule="exact"/>
        <w:ind w:firstLine="640"/>
        <w:jc w:val="both"/>
      </w:pPr>
      <w:r>
        <w:rPr>
          <w:rFonts w:ascii="仿宋_GB2312" w:hAnsi="仿宋_GB2312" w:eastAsia="仿宋_GB2312"/>
          <w:sz w:val="32"/>
        </w:rPr>
        <w:t>5、负责公积金的保值和归还。</w:t>
      </w:r>
    </w:p>
    <w:p w14:paraId="59B4C62D">
      <w:pPr>
        <w:spacing w:line="580" w:lineRule="exact"/>
        <w:ind w:firstLine="640"/>
        <w:jc w:val="both"/>
      </w:pPr>
      <w:r>
        <w:rPr>
          <w:rFonts w:ascii="仿宋_GB2312" w:hAnsi="仿宋_GB2312" w:eastAsia="仿宋_GB2312"/>
          <w:sz w:val="32"/>
        </w:rPr>
        <w:t>6、负责编制住房公积金的年度预算</w:t>
      </w:r>
      <w:r>
        <w:rPr>
          <w:rFonts w:hint="eastAsia" w:ascii="仿宋_GB2312" w:hAnsi="仿宋_GB2312" w:eastAsia="仿宋_GB2312"/>
          <w:sz w:val="32"/>
          <w:lang w:eastAsia="zh-CN"/>
        </w:rPr>
        <w:t>、决算</w:t>
      </w:r>
      <w:r>
        <w:rPr>
          <w:rFonts w:ascii="仿宋_GB2312" w:hAnsi="仿宋_GB2312" w:eastAsia="仿宋_GB2312"/>
          <w:sz w:val="32"/>
        </w:rPr>
        <w:t>,提出住房公积金</w:t>
      </w:r>
      <w:r>
        <w:rPr>
          <w:rFonts w:hint="eastAsia" w:ascii="仿宋_GB2312" w:hAnsi="仿宋_GB2312" w:eastAsia="仿宋_GB2312"/>
          <w:sz w:val="32"/>
          <w:lang w:eastAsia="zh-CN"/>
        </w:rPr>
        <w:t>增值</w:t>
      </w:r>
      <w:r>
        <w:rPr>
          <w:rFonts w:ascii="仿宋_GB2312" w:hAnsi="仿宋_GB2312" w:eastAsia="仿宋_GB2312"/>
          <w:sz w:val="32"/>
        </w:rPr>
        <w:t>收益分配方案</w:t>
      </w:r>
      <w:r>
        <w:rPr>
          <w:rFonts w:hint="eastAsia" w:ascii="仿宋_GB2312" w:hAnsi="仿宋_GB2312" w:eastAsia="仿宋_GB2312"/>
          <w:sz w:val="32"/>
          <w:lang w:eastAsia="zh-CN"/>
        </w:rPr>
        <w:t>，</w:t>
      </w:r>
      <w:r>
        <w:rPr>
          <w:rFonts w:ascii="仿宋_GB2312" w:hAnsi="仿宋_GB2312" w:eastAsia="仿宋_GB2312"/>
          <w:sz w:val="32"/>
        </w:rPr>
        <w:t>经财政部门审核、管委会审议通过后组织执行</w:t>
      </w:r>
      <w:r>
        <w:rPr>
          <w:rFonts w:hint="eastAsia" w:ascii="仿宋_GB2312" w:hAnsi="仿宋_GB2312" w:eastAsia="仿宋_GB2312"/>
          <w:sz w:val="32"/>
          <w:lang w:eastAsia="zh-CN"/>
        </w:rPr>
        <w:t>；组织</w:t>
      </w:r>
      <w:r>
        <w:rPr>
          <w:rFonts w:ascii="仿宋_GB2312" w:hAnsi="仿宋_GB2312" w:eastAsia="仿宋_GB2312"/>
          <w:sz w:val="32"/>
        </w:rPr>
        <w:t>实施《住房公积金管理条例》,依法催建催缴、催收贷款</w:t>
      </w:r>
      <w:r>
        <w:rPr>
          <w:rFonts w:hint="eastAsia" w:ascii="仿宋_GB2312" w:hAnsi="仿宋_GB2312" w:eastAsia="仿宋_GB2312"/>
          <w:sz w:val="32"/>
          <w:lang w:eastAsia="zh-CN"/>
        </w:rPr>
        <w:t>，</w:t>
      </w:r>
      <w:r>
        <w:rPr>
          <w:rFonts w:ascii="仿宋_GB2312" w:hAnsi="仿宋_GB2312" w:eastAsia="仿宋_GB2312"/>
          <w:sz w:val="32"/>
        </w:rPr>
        <w:t>依法对应建不建、应缴不缴、骗支骗贷公积金等违法行为进行处罚。</w:t>
      </w:r>
    </w:p>
    <w:p w14:paraId="1B94F3CC">
      <w:pPr>
        <w:spacing w:line="580" w:lineRule="exact"/>
        <w:ind w:firstLine="640"/>
        <w:jc w:val="both"/>
      </w:pPr>
      <w:r>
        <w:rPr>
          <w:rFonts w:ascii="仿宋_GB2312" w:hAnsi="仿宋_GB2312" w:eastAsia="仿宋_GB2312"/>
          <w:sz w:val="32"/>
        </w:rPr>
        <w:t>7、审核办理单位降低住房公积金缴存比例或缓缴的申请。</w:t>
      </w:r>
    </w:p>
    <w:p w14:paraId="7BB1C3B5">
      <w:pPr>
        <w:spacing w:line="580" w:lineRule="exact"/>
        <w:ind w:firstLine="640"/>
        <w:jc w:val="both"/>
      </w:pPr>
      <w:r>
        <w:rPr>
          <w:rFonts w:ascii="仿宋_GB2312" w:hAnsi="仿宋_GB2312" w:eastAsia="仿宋_GB2312"/>
          <w:sz w:val="32"/>
        </w:rPr>
        <w:t>8、负责组织建立健全公积金业务管理运行系统,保障公积金资金运行安全。</w:t>
      </w:r>
    </w:p>
    <w:p w14:paraId="0FD6CCEF">
      <w:pPr>
        <w:spacing w:line="640" w:lineRule="exact"/>
        <w:ind w:firstLine="640"/>
        <w:jc w:val="both"/>
        <w:outlineLvl w:val="2"/>
      </w:pPr>
      <w:r>
        <w:rPr>
          <w:rFonts w:ascii="黑体" w:hAnsi="黑体" w:eastAsia="黑体"/>
          <w:sz w:val="32"/>
        </w:rPr>
        <w:t>二、机构设置及人员情况</w:t>
      </w:r>
    </w:p>
    <w:p w14:paraId="162B0182">
      <w:pPr>
        <w:spacing w:line="580" w:lineRule="exact"/>
        <w:ind w:firstLine="640"/>
        <w:jc w:val="both"/>
      </w:pPr>
      <w:r>
        <w:rPr>
          <w:rFonts w:ascii="仿宋_GB2312" w:hAnsi="仿宋_GB2312" w:eastAsia="仿宋_GB2312"/>
          <w:sz w:val="32"/>
        </w:rPr>
        <w:t>新疆维吾尔自治区喀什地区住房公积金管理中心2024年度，实有人数96人，其中：在职人员73人，增加3人；离休人员0人，增加0人；退休人员23人</w:t>
      </w:r>
      <w:r>
        <w:rPr>
          <w:rFonts w:hint="eastAsia" w:ascii="仿宋_GB2312" w:hAnsi="仿宋_GB2312" w:eastAsia="仿宋_GB2312"/>
          <w:sz w:val="32"/>
          <w:lang w:eastAsia="zh-CN"/>
        </w:rPr>
        <w:t>，</w:t>
      </w:r>
      <w:r>
        <w:rPr>
          <w:rFonts w:ascii="仿宋_GB2312" w:hAnsi="仿宋_GB2312" w:eastAsia="仿宋_GB2312"/>
          <w:sz w:val="32"/>
        </w:rPr>
        <w:t>增加2人。</w:t>
      </w:r>
    </w:p>
    <w:p w14:paraId="2BA02908">
      <w:pPr>
        <w:spacing w:line="580" w:lineRule="exact"/>
        <w:ind w:firstLine="640"/>
        <w:jc w:val="both"/>
      </w:pPr>
      <w:r>
        <w:rPr>
          <w:rFonts w:ascii="仿宋_GB2312" w:hAnsi="仿宋_GB2312" w:eastAsia="仿宋_GB2312"/>
          <w:sz w:val="32"/>
        </w:rPr>
        <w:t>新疆维吾尔自治区喀什地区住房公积金管理中心无下属预算单位，下设6个科室，分别是：行政办公室、稽查科、归集科、个贷科、网络信息科、核算科。</w:t>
      </w:r>
    </w:p>
    <w:p w14:paraId="4DCE28C0">
      <w:r>
        <w:br w:type="page"/>
      </w:r>
    </w:p>
    <w:p w14:paraId="1FC6B714">
      <w:pPr>
        <w:spacing w:line="240" w:lineRule="auto"/>
        <w:jc w:val="center"/>
        <w:outlineLvl w:val="1"/>
      </w:pPr>
      <w:r>
        <w:rPr>
          <w:rFonts w:ascii="黑体" w:hAnsi="黑体" w:eastAsia="黑体"/>
          <w:sz w:val="32"/>
        </w:rPr>
        <w:t>第二部分 部门决算情况说明</w:t>
      </w:r>
    </w:p>
    <w:p w14:paraId="699EE983">
      <w:pPr>
        <w:spacing w:line="640" w:lineRule="exact"/>
        <w:ind w:firstLine="640"/>
        <w:jc w:val="both"/>
        <w:outlineLvl w:val="2"/>
      </w:pPr>
      <w:r>
        <w:rPr>
          <w:rFonts w:ascii="黑体" w:hAnsi="黑体" w:eastAsia="黑体"/>
          <w:sz w:val="32"/>
        </w:rPr>
        <w:t>一、收入支出决算总体情况说明</w:t>
      </w:r>
    </w:p>
    <w:p w14:paraId="084DBAD1">
      <w:pPr>
        <w:spacing w:line="580" w:lineRule="exact"/>
        <w:ind w:firstLine="640"/>
        <w:jc w:val="both"/>
      </w:pPr>
      <w:r>
        <w:rPr>
          <w:rFonts w:ascii="仿宋_GB2312" w:hAnsi="仿宋_GB2312" w:eastAsia="仿宋_GB2312"/>
          <w:b/>
          <w:sz w:val="32"/>
        </w:rPr>
        <w:t>2024年度收入总计2,097.25万元，</w:t>
      </w:r>
      <w:r>
        <w:rPr>
          <w:rFonts w:ascii="仿宋_GB2312" w:hAnsi="仿宋_GB2312" w:eastAsia="仿宋_GB2312"/>
          <w:b w:val="0"/>
          <w:sz w:val="32"/>
        </w:rPr>
        <w:t>其中：本年收入合计2,097.25万元，使用非财政拨款结余（含专用结余）0.00万元，年初结转和结余0.00万元。</w:t>
      </w:r>
    </w:p>
    <w:p w14:paraId="323FFA8A">
      <w:pPr>
        <w:spacing w:line="580" w:lineRule="exact"/>
        <w:ind w:firstLine="640"/>
        <w:jc w:val="both"/>
      </w:pPr>
      <w:r>
        <w:rPr>
          <w:rFonts w:ascii="仿宋_GB2312" w:hAnsi="仿宋_GB2312" w:eastAsia="仿宋_GB2312"/>
          <w:b/>
          <w:sz w:val="32"/>
        </w:rPr>
        <w:t>2024年度支出总计2,097.25万元，</w:t>
      </w:r>
      <w:r>
        <w:rPr>
          <w:rFonts w:ascii="仿宋_GB2312" w:hAnsi="仿宋_GB2312" w:eastAsia="仿宋_GB2312"/>
          <w:b w:val="0"/>
          <w:sz w:val="32"/>
        </w:rPr>
        <w:t>其中：本年支出合计2,097.25万元，结余分配0.00万元，年末结转和结余0.00万元。</w:t>
      </w:r>
    </w:p>
    <w:p w14:paraId="106F7527">
      <w:pPr>
        <w:spacing w:line="580" w:lineRule="exact"/>
        <w:ind w:firstLine="640"/>
        <w:jc w:val="both"/>
      </w:pPr>
      <w:r>
        <w:rPr>
          <w:rFonts w:ascii="仿宋_GB2312" w:hAnsi="仿宋_GB2312" w:eastAsia="仿宋_GB2312"/>
          <w:b w:val="0"/>
          <w:sz w:val="32"/>
        </w:rPr>
        <w:t>收入支出总体与上年相比，增加89.71万元，增长4.47%，主要原因是：本年在职人员增加，在职人员工资调增、社保、公积金基数调增，人员经费增加。本年住房公积金管理业务能力提升专项项目经费增加。</w:t>
      </w:r>
    </w:p>
    <w:p w14:paraId="337F2483">
      <w:pPr>
        <w:spacing w:line="640" w:lineRule="exact"/>
        <w:ind w:firstLine="640"/>
        <w:jc w:val="both"/>
        <w:outlineLvl w:val="2"/>
      </w:pPr>
      <w:r>
        <w:rPr>
          <w:rFonts w:ascii="黑体" w:hAnsi="黑体" w:eastAsia="黑体"/>
          <w:sz w:val="32"/>
        </w:rPr>
        <w:t>二、收入决算情况说明</w:t>
      </w:r>
    </w:p>
    <w:p w14:paraId="634081E3">
      <w:pPr>
        <w:spacing w:line="580" w:lineRule="exact"/>
        <w:ind w:firstLine="640"/>
        <w:jc w:val="both"/>
      </w:pPr>
      <w:r>
        <w:rPr>
          <w:rFonts w:ascii="仿宋_GB2312" w:hAnsi="仿宋_GB2312" w:eastAsia="仿宋_GB2312"/>
          <w:b/>
          <w:sz w:val="32"/>
        </w:rPr>
        <w:t>本年收入2,097.25万元，</w:t>
      </w:r>
      <w:r>
        <w:rPr>
          <w:rFonts w:ascii="仿宋_GB2312" w:hAnsi="仿宋_GB2312" w:eastAsia="仿宋_GB2312"/>
          <w:b w:val="0"/>
          <w:sz w:val="32"/>
        </w:rPr>
        <w:t>其中：财政拨款收入2,097.25万元，占100.00%；上级补助收入0.00万元，占0.00%；事业收入0.00万元，占0.00%；经营收入0.00万元，占0.00%；附属单位上缴收入0.00万元，占0.00%；其他收入0.00万元，占0.00%。</w:t>
      </w:r>
    </w:p>
    <w:p w14:paraId="10BC817C">
      <w:pPr>
        <w:spacing w:line="640" w:lineRule="exact"/>
        <w:ind w:firstLine="640"/>
        <w:jc w:val="both"/>
        <w:outlineLvl w:val="2"/>
      </w:pPr>
      <w:r>
        <w:rPr>
          <w:rFonts w:ascii="黑体" w:hAnsi="黑体" w:eastAsia="黑体"/>
          <w:sz w:val="32"/>
        </w:rPr>
        <w:t>三、支出决算情况说明</w:t>
      </w:r>
    </w:p>
    <w:p w14:paraId="6AE20751">
      <w:pPr>
        <w:spacing w:line="580" w:lineRule="exact"/>
        <w:ind w:firstLine="640"/>
        <w:jc w:val="both"/>
      </w:pPr>
      <w:r>
        <w:rPr>
          <w:rFonts w:ascii="仿宋_GB2312" w:hAnsi="仿宋_GB2312" w:eastAsia="仿宋_GB2312"/>
          <w:b/>
          <w:sz w:val="32"/>
        </w:rPr>
        <w:t>本年支出2,097.25万元，</w:t>
      </w:r>
      <w:r>
        <w:rPr>
          <w:rFonts w:ascii="仿宋_GB2312" w:hAnsi="仿宋_GB2312" w:eastAsia="仿宋_GB2312"/>
          <w:b w:val="0"/>
          <w:sz w:val="32"/>
        </w:rPr>
        <w:t>其中：基本支出1,556.34万元，占74.21%；项目支出540.91万元，占25.79%；上缴上级支出0.00万元，占0.00%；经营支出0.00万元，占0.00%；对附属单位补助支出0.00万元，占0.00%。</w:t>
      </w:r>
    </w:p>
    <w:p w14:paraId="7B992BB3">
      <w:pPr>
        <w:spacing w:line="640" w:lineRule="exact"/>
        <w:ind w:firstLine="640"/>
        <w:jc w:val="both"/>
        <w:outlineLvl w:val="2"/>
      </w:pPr>
      <w:r>
        <w:rPr>
          <w:rFonts w:ascii="黑体" w:hAnsi="黑体" w:eastAsia="黑体"/>
          <w:sz w:val="32"/>
        </w:rPr>
        <w:t>四、财政拨款收入支出决算总体情况说明</w:t>
      </w:r>
    </w:p>
    <w:p w14:paraId="0E4A46C8">
      <w:pPr>
        <w:spacing w:line="580" w:lineRule="exact"/>
        <w:ind w:firstLine="640"/>
        <w:jc w:val="both"/>
      </w:pPr>
      <w:r>
        <w:rPr>
          <w:rFonts w:ascii="仿宋_GB2312" w:hAnsi="仿宋_GB2312" w:eastAsia="仿宋_GB2312"/>
          <w:b/>
          <w:sz w:val="32"/>
        </w:rPr>
        <w:t>2024年度财政拨款收入总计2,097.25万元，</w:t>
      </w:r>
      <w:r>
        <w:rPr>
          <w:rFonts w:ascii="仿宋_GB2312" w:hAnsi="仿宋_GB2312" w:eastAsia="仿宋_GB2312"/>
          <w:b w:val="0"/>
          <w:sz w:val="32"/>
        </w:rPr>
        <w:t>其中：年初财政拨款结转和结余0.00万元，本年财政拨款收入2,097.25万元。</w:t>
      </w:r>
      <w:r>
        <w:rPr>
          <w:rFonts w:ascii="仿宋_GB2312" w:hAnsi="仿宋_GB2312" w:eastAsia="仿宋_GB2312"/>
          <w:b/>
          <w:sz w:val="32"/>
        </w:rPr>
        <w:t>财政拨款支出总计2,097.25万元，</w:t>
      </w:r>
      <w:r>
        <w:rPr>
          <w:rFonts w:ascii="仿宋_GB2312" w:hAnsi="仿宋_GB2312" w:eastAsia="仿宋_GB2312"/>
          <w:b w:val="0"/>
          <w:sz w:val="32"/>
        </w:rPr>
        <w:t>其中：年末财政拨款结转和结余0.00万元，本年财政拨款支出2,097.25万元。</w:t>
      </w:r>
    </w:p>
    <w:p w14:paraId="3D2EE77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增加89.71万元，增长4.47%，主要原因是：本年在职人员增加，在职人员工资调增、社保、公积金基数调增，人员经费增加。本年住房公积金管理业务能力提升专项项目经费增加。</w:t>
      </w:r>
      <w:r>
        <w:rPr>
          <w:rFonts w:ascii="仿宋_GB2312" w:hAnsi="仿宋_GB2312" w:eastAsia="仿宋_GB2312"/>
          <w:b/>
          <w:sz w:val="32"/>
        </w:rPr>
        <w:t>与年初预算相比，</w:t>
      </w:r>
      <w:r>
        <w:rPr>
          <w:rFonts w:ascii="仿宋_GB2312" w:hAnsi="仿宋_GB2312" w:eastAsia="仿宋_GB2312"/>
          <w:b w:val="0"/>
          <w:sz w:val="32"/>
        </w:rPr>
        <w:t>年初预算数2,127.23万元，决算数2,097.25万元，预决算差异率-1.41%，主要原因是：严格落实中央八项规定精神，厉行节约，减少不必要的开支。</w:t>
      </w:r>
    </w:p>
    <w:p w14:paraId="464E64BF">
      <w:pPr>
        <w:spacing w:line="640" w:lineRule="exact"/>
        <w:ind w:firstLine="640"/>
        <w:jc w:val="both"/>
        <w:outlineLvl w:val="2"/>
      </w:pPr>
      <w:r>
        <w:rPr>
          <w:rFonts w:ascii="黑体" w:hAnsi="黑体" w:eastAsia="黑体"/>
          <w:sz w:val="32"/>
        </w:rPr>
        <w:t>五、一般公共预算财政拨款支出决算情况说明</w:t>
      </w:r>
    </w:p>
    <w:p w14:paraId="4CD60616">
      <w:pPr>
        <w:spacing w:line="640" w:lineRule="exact"/>
        <w:ind w:firstLine="640"/>
        <w:jc w:val="both"/>
        <w:outlineLvl w:val="3"/>
      </w:pPr>
      <w:r>
        <w:rPr>
          <w:rFonts w:ascii="楷体_GB2312" w:hAnsi="楷体_GB2312" w:eastAsia="楷体_GB2312"/>
          <w:b/>
          <w:sz w:val="32"/>
        </w:rPr>
        <w:t>（一）一般公共预算财政拨款支出决算总体情况</w:t>
      </w:r>
    </w:p>
    <w:p w14:paraId="482E7D3C">
      <w:pPr>
        <w:spacing w:line="580" w:lineRule="exact"/>
        <w:ind w:firstLine="640"/>
        <w:jc w:val="both"/>
      </w:pPr>
      <w:r>
        <w:rPr>
          <w:rFonts w:ascii="仿宋_GB2312" w:hAnsi="仿宋_GB2312" w:eastAsia="仿宋_GB2312"/>
          <w:b/>
          <w:sz w:val="32"/>
        </w:rPr>
        <w:t>2024年度一般公共预算财政拨款支出2,097.25万元，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增加89.71万元，增长4.47%，主要原因是：本年在职人员增加，在职人员工资调增、社保、公积金基数调增，人员经费增加。本年住房公积金管理业务能力提升专项项目经费增加。</w:t>
      </w:r>
      <w:r>
        <w:rPr>
          <w:rFonts w:ascii="仿宋_GB2312" w:hAnsi="仿宋_GB2312" w:eastAsia="仿宋_GB2312"/>
          <w:b/>
          <w:sz w:val="32"/>
        </w:rPr>
        <w:t>与年初预算相比,</w:t>
      </w:r>
      <w:r>
        <w:rPr>
          <w:rFonts w:ascii="仿宋_GB2312" w:hAnsi="仿宋_GB2312" w:eastAsia="仿宋_GB2312"/>
          <w:b w:val="0"/>
          <w:sz w:val="32"/>
        </w:rPr>
        <w:t>年初预算数2,127.23万元，决算数2,097.25万元，预决算差异率-1.41%，主要原因是：严格落实中央八项规定精神，厉行节约，减少不必要的开支。</w:t>
      </w:r>
    </w:p>
    <w:p w14:paraId="63C76BF8">
      <w:pPr>
        <w:spacing w:line="640" w:lineRule="exact"/>
        <w:ind w:firstLine="640"/>
        <w:jc w:val="both"/>
        <w:outlineLvl w:val="3"/>
      </w:pPr>
      <w:r>
        <w:rPr>
          <w:rFonts w:ascii="楷体_GB2312" w:hAnsi="楷体_GB2312" w:eastAsia="楷体_GB2312"/>
          <w:b/>
          <w:sz w:val="32"/>
        </w:rPr>
        <w:t>（二）一般公共预算财政拨款支出决算结构情况</w:t>
      </w:r>
    </w:p>
    <w:p w14:paraId="2356F61B">
      <w:pPr>
        <w:spacing w:line="580" w:lineRule="exact"/>
        <w:ind w:firstLine="640"/>
        <w:jc w:val="both"/>
      </w:pPr>
      <w:r>
        <w:rPr>
          <w:rFonts w:ascii="仿宋_GB2312" w:hAnsi="仿宋_GB2312" w:eastAsia="仿宋_GB2312"/>
          <w:b w:val="0"/>
          <w:sz w:val="32"/>
        </w:rPr>
        <w:t>1.一般公共服务支出(类)4.39万元,占0.21%。</w:t>
      </w:r>
    </w:p>
    <w:p w14:paraId="2E37159D">
      <w:pPr>
        <w:spacing w:line="580" w:lineRule="exact"/>
        <w:ind w:firstLine="640"/>
        <w:jc w:val="both"/>
      </w:pPr>
      <w:r>
        <w:rPr>
          <w:rFonts w:ascii="仿宋_GB2312" w:hAnsi="仿宋_GB2312" w:eastAsia="仿宋_GB2312"/>
          <w:b w:val="0"/>
          <w:sz w:val="32"/>
        </w:rPr>
        <w:t>2.社会保障和就业支出(类)177.20万元,占8.45%。</w:t>
      </w:r>
    </w:p>
    <w:p w14:paraId="57A9A22B">
      <w:pPr>
        <w:spacing w:line="580" w:lineRule="exact"/>
        <w:ind w:firstLine="640"/>
        <w:jc w:val="both"/>
      </w:pPr>
      <w:r>
        <w:rPr>
          <w:rFonts w:ascii="仿宋_GB2312" w:hAnsi="仿宋_GB2312" w:eastAsia="仿宋_GB2312"/>
          <w:b w:val="0"/>
          <w:sz w:val="32"/>
        </w:rPr>
        <w:t>3.卫生健康支出(类)70.86万元,占3.38%。</w:t>
      </w:r>
    </w:p>
    <w:p w14:paraId="3E1E2E5D">
      <w:pPr>
        <w:spacing w:line="580" w:lineRule="exact"/>
        <w:ind w:firstLine="640"/>
        <w:jc w:val="both"/>
      </w:pPr>
      <w:r>
        <w:rPr>
          <w:rFonts w:ascii="仿宋_GB2312" w:hAnsi="仿宋_GB2312" w:eastAsia="仿宋_GB2312"/>
          <w:b w:val="0"/>
          <w:sz w:val="32"/>
        </w:rPr>
        <w:t>4.城乡社区支出(类)1,734.54万元,占82.71%。</w:t>
      </w:r>
    </w:p>
    <w:p w14:paraId="5EE08F1D">
      <w:pPr>
        <w:spacing w:line="580" w:lineRule="exact"/>
        <w:ind w:firstLine="640"/>
        <w:jc w:val="both"/>
      </w:pPr>
      <w:r>
        <w:rPr>
          <w:rFonts w:ascii="仿宋_GB2312" w:hAnsi="仿宋_GB2312" w:eastAsia="仿宋_GB2312"/>
          <w:b w:val="0"/>
          <w:sz w:val="32"/>
        </w:rPr>
        <w:t>5.住房保障支出(类)110.25万元,占5.26%。</w:t>
      </w:r>
    </w:p>
    <w:p w14:paraId="57F587ED">
      <w:pPr>
        <w:spacing w:line="640" w:lineRule="exact"/>
        <w:ind w:firstLine="640"/>
        <w:jc w:val="both"/>
        <w:outlineLvl w:val="3"/>
      </w:pPr>
      <w:r>
        <w:rPr>
          <w:rFonts w:ascii="楷体_GB2312" w:hAnsi="楷体_GB2312" w:eastAsia="楷体_GB2312"/>
          <w:b/>
          <w:sz w:val="32"/>
        </w:rPr>
        <w:t>（三）一般公共预算财政拨款支出决算具体情况</w:t>
      </w:r>
    </w:p>
    <w:p w14:paraId="0630440E">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1.一般公共服务支出(类)统战事务(款)宗教事务(项):支出决算数为4.39万元，比上年决算增加4.39万元，增长100.00%,主要原因是：本年增加人员补助资金，导致此科目经费增加。</w:t>
      </w:r>
    </w:p>
    <w:p w14:paraId="4AC8D5EB">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2.社会保障和就业支出(类)行政事业单位养老支出(款)行政单位离退休(项):支出决算数为33.48万元，比上年决算增加10.95万元，增长48.60%,主要原因是：本年退休人员增加，退休费支出增加。</w:t>
      </w:r>
    </w:p>
    <w:p w14:paraId="61F2944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129.22万元，比上年决算增加9.20万元，增长7.67%,主要原因是：本年在职人员增加，养老保险缴费较上年增加。</w:t>
      </w:r>
    </w:p>
    <w:p w14:paraId="3060A474">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4.社会保障和就业支出(类)行政事业单位养老支出(款)机关事业单位职业年金缴费支出(项):支出决算数为14.50万元，比上年决算增加14.50万元，增长100.00%,主要原因是：本年新增退休人员，职业年金缴费支出增加。</w:t>
      </w:r>
    </w:p>
    <w:p w14:paraId="34FD0147">
      <w:pPr>
        <w:spacing w:line="580" w:lineRule="exact"/>
        <w:ind w:firstLine="640"/>
        <w:jc w:val="both"/>
      </w:pPr>
      <w:r>
        <w:rPr>
          <w:rFonts w:ascii="仿宋_GB2312" w:hAnsi="仿宋_GB2312" w:eastAsia="仿宋_GB2312"/>
          <w:b w:val="0"/>
          <w:sz w:val="32"/>
        </w:rPr>
        <w:t>5.卫生健康支出(类)行政事业单位医疗(款)行政单位医疗(项):支出决算数为55.40万元，比上年决算增加4.10万元，增长7.99%,主要原因是：本年在职人员增加，行政单位医疗支出较上年增加。</w:t>
      </w:r>
    </w:p>
    <w:p w14:paraId="0D31BB1F">
      <w:pPr>
        <w:spacing w:line="580" w:lineRule="exact"/>
        <w:ind w:firstLine="640"/>
        <w:jc w:val="both"/>
      </w:pPr>
      <w:r>
        <w:rPr>
          <w:rFonts w:ascii="仿宋_GB2312" w:hAnsi="仿宋_GB2312" w:eastAsia="仿宋_GB2312"/>
          <w:b w:val="0"/>
          <w:sz w:val="32"/>
        </w:rPr>
        <w:t>6.卫生健康支出(类)行政事业单位医疗(款)公务员医疗补助(项):支出决算数为15.47万元，比上年决算增加1.25万元，增长8.79%,主要原因是：本年在职人员增加，工资基数调增，医疗缴费基数上涨，相应支出增加。</w:t>
      </w:r>
    </w:p>
    <w:p w14:paraId="1DB01B36">
      <w:pPr>
        <w:spacing w:line="580" w:lineRule="exact"/>
        <w:ind w:firstLine="640"/>
        <w:jc w:val="both"/>
      </w:pPr>
      <w:r>
        <w:rPr>
          <w:rFonts w:ascii="仿宋_GB2312" w:hAnsi="仿宋_GB2312" w:eastAsia="仿宋_GB2312"/>
          <w:b w:val="0"/>
          <w:sz w:val="32"/>
        </w:rPr>
        <w:t>7.城乡社区支出(类)其他城乡社区支出(款)其他城乡社区支出(项):支出决算数为1,734.54万元，比上年决算增加34.22万元，增长2.01%,主要原因是：本年在职人员增加，在职人员工资调标，工资等人员经费增加。</w:t>
      </w:r>
    </w:p>
    <w:p w14:paraId="0C13FA6C">
      <w:pPr>
        <w:spacing w:line="580" w:lineRule="exact"/>
        <w:ind w:firstLine="640"/>
        <w:jc w:val="both"/>
      </w:pPr>
      <w:r>
        <w:rPr>
          <w:rFonts w:ascii="仿宋_GB2312" w:hAnsi="仿宋_GB2312" w:eastAsia="仿宋_GB2312"/>
          <w:b w:val="0"/>
          <w:sz w:val="32"/>
        </w:rPr>
        <w:t>8.住房保障支出(类)住房改革支出(款)住房公积金(项):支出决算数为110.25万元，比上年决算增加11.09万元，增长11.18%,主要原因是：本年在职人员增加，工资基数调增，公积金缴费基数上涨，住房公积金支出较上年增加。</w:t>
      </w:r>
    </w:p>
    <w:p w14:paraId="1F5E86B3">
      <w:pPr>
        <w:spacing w:line="640" w:lineRule="exact"/>
        <w:ind w:firstLine="640"/>
        <w:jc w:val="both"/>
        <w:outlineLvl w:val="2"/>
      </w:pPr>
      <w:r>
        <w:rPr>
          <w:rFonts w:ascii="黑体" w:hAnsi="黑体" w:eastAsia="黑体"/>
          <w:sz w:val="32"/>
        </w:rPr>
        <w:t>六、一般公共预算财政拨款基本支出决算情况说明</w:t>
      </w:r>
    </w:p>
    <w:p w14:paraId="7D8C3381">
      <w:pPr>
        <w:spacing w:line="580" w:lineRule="exact"/>
        <w:ind w:firstLine="640"/>
        <w:jc w:val="both"/>
      </w:pPr>
      <w:r>
        <w:rPr>
          <w:rFonts w:ascii="仿宋_GB2312" w:hAnsi="仿宋_GB2312" w:eastAsia="仿宋_GB2312"/>
          <w:b w:val="0"/>
          <w:sz w:val="32"/>
        </w:rPr>
        <w:t>2024年度一般公共预算财政拨款基本支出1,556.34万元，其中：</w:t>
      </w:r>
      <w:r>
        <w:rPr>
          <w:rFonts w:ascii="仿宋_GB2312" w:hAnsi="仿宋_GB2312" w:eastAsia="仿宋_GB2312"/>
          <w:b/>
          <w:sz w:val="32"/>
        </w:rPr>
        <w:t>人员经费1,494.14万元，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097315EF">
      <w:pPr>
        <w:spacing w:line="580" w:lineRule="exact"/>
        <w:ind w:firstLine="640"/>
        <w:jc w:val="both"/>
      </w:pPr>
      <w:r>
        <w:rPr>
          <w:rFonts w:ascii="仿宋_GB2312" w:hAnsi="仿宋_GB2312" w:eastAsia="仿宋_GB2312"/>
          <w:b/>
          <w:sz w:val="32"/>
        </w:rPr>
        <w:t>公用经费62.20万元，</w:t>
      </w:r>
      <w:r>
        <w:rPr>
          <w:rFonts w:ascii="仿宋_GB2312" w:hAnsi="仿宋_GB2312" w:eastAsia="仿宋_GB2312"/>
          <w:b w:val="0"/>
          <w:sz w:val="32"/>
        </w:rPr>
        <w:t>包括：办公费、手续费、水费、电费、邮电费、取暖费、物业管理费、差旅费、维修（护）费、专用材料费、工会经费、公务用车运行维护费、其他交通费用、其他商品和服务支出。</w:t>
      </w:r>
    </w:p>
    <w:p w14:paraId="7EE13536">
      <w:pPr>
        <w:spacing w:line="640" w:lineRule="exact"/>
        <w:ind w:firstLine="640"/>
        <w:jc w:val="both"/>
        <w:outlineLvl w:val="2"/>
      </w:pPr>
      <w:r>
        <w:rPr>
          <w:rFonts w:ascii="黑体" w:hAnsi="黑体" w:eastAsia="黑体"/>
          <w:sz w:val="32"/>
        </w:rPr>
        <w:t>七、政府性基金预算财政拨款收入支出决算情况说明</w:t>
      </w:r>
    </w:p>
    <w:p w14:paraId="7FCF762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450FC76">
      <w:pPr>
        <w:spacing w:line="640" w:lineRule="exact"/>
        <w:ind w:firstLine="640"/>
        <w:jc w:val="both"/>
        <w:outlineLvl w:val="2"/>
      </w:pPr>
      <w:r>
        <w:rPr>
          <w:rFonts w:ascii="黑体" w:hAnsi="黑体" w:eastAsia="黑体"/>
          <w:sz w:val="32"/>
        </w:rPr>
        <w:t>八、国有资本经营预算财政拨款收入支出决算情况说明</w:t>
      </w:r>
    </w:p>
    <w:p w14:paraId="76C0572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3527B6F">
      <w:pPr>
        <w:spacing w:line="640" w:lineRule="exact"/>
        <w:ind w:firstLine="640"/>
        <w:jc w:val="both"/>
        <w:outlineLvl w:val="2"/>
      </w:pPr>
      <w:r>
        <w:rPr>
          <w:rFonts w:ascii="黑体" w:hAnsi="黑体" w:eastAsia="黑体"/>
          <w:sz w:val="32"/>
        </w:rPr>
        <w:t>九、财政拨款“三公”经费支出决算情况说明</w:t>
      </w:r>
    </w:p>
    <w:p w14:paraId="66354C0A">
      <w:pPr>
        <w:spacing w:line="580" w:lineRule="exact"/>
        <w:ind w:firstLine="640"/>
        <w:jc w:val="both"/>
      </w:pPr>
      <w:r>
        <w:rPr>
          <w:rFonts w:ascii="仿宋_GB2312" w:hAnsi="仿宋_GB2312" w:eastAsia="仿宋_GB2312"/>
          <w:b/>
          <w:sz w:val="32"/>
        </w:rPr>
        <w:t>2024年度财政拨款“三公”经费支出2.89万元，</w:t>
      </w:r>
      <w:r>
        <w:rPr>
          <w:rFonts w:ascii="仿宋_GB2312" w:hAnsi="仿宋_GB2312" w:eastAsia="仿宋_GB2312"/>
          <w:b w:val="0"/>
          <w:sz w:val="32"/>
        </w:rPr>
        <w:t>比上年减少1.80万元，下降38.38%，主要原因是：本年报废两辆公务用车，减少公务用车运行维护费。其中：因公出国（境）费支出0.00万元，占0.00%，比上年增加0.00万元，增长0.00%，主要原因是：2023年与2024年均未安排因公出国（境）费支出。公务用车购置及运行维护费支出2.89万元，占100.00%，比上年减少1.80万元，下降38.38%，主要原因是：本年报废两辆公务用车，减少公务用车运行维护费。公务接待费支出0.00万元，占0.00%，比上年增加0.00万元，增长0.00%，主要原因是：2023年与2024年均未安排公务接待费支出。</w:t>
      </w:r>
    </w:p>
    <w:p w14:paraId="5E036117">
      <w:pPr>
        <w:spacing w:line="580" w:lineRule="exact"/>
        <w:ind w:firstLine="640"/>
        <w:jc w:val="both"/>
      </w:pPr>
      <w:r>
        <w:rPr>
          <w:rFonts w:ascii="仿宋_GB2312" w:hAnsi="仿宋_GB2312" w:eastAsia="仿宋_GB2312"/>
          <w:b/>
          <w:sz w:val="32"/>
        </w:rPr>
        <w:t>具体情况如下：</w:t>
      </w:r>
    </w:p>
    <w:p w14:paraId="59172F7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C2D25C3">
      <w:pPr>
        <w:spacing w:line="580" w:lineRule="exact"/>
        <w:ind w:firstLine="640"/>
        <w:jc w:val="both"/>
      </w:pPr>
      <w:r>
        <w:rPr>
          <w:rFonts w:ascii="仿宋_GB2312" w:hAnsi="仿宋_GB2312" w:eastAsia="仿宋_GB2312"/>
          <w:b w:val="0"/>
          <w:sz w:val="32"/>
        </w:rPr>
        <w:t>公务用车购置及运行维护费2.89万元，其中：公务用车购置费0.00万元，公务用车运行维护费2.89万元。公务用车运行维护费开支内容包括车辆加油费、维修费、保险费、审车费、过路费等。公务用车购置数0辆，公务用车保有量2辆。国有资产占用情况中固定资产车辆2辆，与公务用车保有量差异原因是：本部门固定资产车辆与公务用车保有量一致无差异。</w:t>
      </w:r>
    </w:p>
    <w:p w14:paraId="4776DD1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BC6E42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2.89万元，决算数2.89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2.89万元，决算数2.89万元，预决算差异率0.00%，主要原因是：严格按照预算执行，预决算无差异。公务接待费全年预算数0.00万元，决算数0.00万元，预决算差异率0.00%，主要原因是：本部门无公务接待费。</w:t>
      </w:r>
    </w:p>
    <w:p w14:paraId="75BA82A4">
      <w:pPr>
        <w:spacing w:line="640" w:lineRule="exact"/>
        <w:ind w:firstLine="640"/>
        <w:jc w:val="both"/>
        <w:outlineLvl w:val="2"/>
      </w:pPr>
      <w:r>
        <w:rPr>
          <w:rFonts w:ascii="黑体" w:hAnsi="黑体" w:eastAsia="黑体"/>
          <w:sz w:val="32"/>
        </w:rPr>
        <w:t>十、其他重要事项的情况说明</w:t>
      </w:r>
    </w:p>
    <w:p w14:paraId="5AAA9771">
      <w:pPr>
        <w:spacing w:line="640" w:lineRule="exact"/>
        <w:ind w:firstLine="640"/>
        <w:jc w:val="both"/>
        <w:outlineLvl w:val="3"/>
      </w:pPr>
      <w:r>
        <w:rPr>
          <w:rFonts w:ascii="楷体_GB2312" w:hAnsi="楷体_GB2312" w:eastAsia="楷体_GB2312"/>
          <w:b/>
          <w:sz w:val="32"/>
        </w:rPr>
        <w:t>（一）机关运行经费及公用经费支出情况</w:t>
      </w:r>
    </w:p>
    <w:p w14:paraId="0E078C57">
      <w:pPr>
        <w:spacing w:line="580" w:lineRule="exact"/>
        <w:ind w:firstLine="640"/>
        <w:jc w:val="both"/>
      </w:pPr>
      <w:r>
        <w:rPr>
          <w:rFonts w:ascii="仿宋_GB2312" w:hAnsi="仿宋_GB2312" w:eastAsia="仿宋_GB2312"/>
          <w:b w:val="0"/>
          <w:sz w:val="32"/>
        </w:rPr>
        <w:t>2024年度新疆维吾尔自治区喀什地区住房公积金管理中心（行政单位和参照公务员法管理事业单位）机关运行经费支出62.20万元，比上年增加3.52万元，增长6.00%，主要原因是：本年在职人员增加，办公费用增加，导致机关运行经费增加。</w:t>
      </w:r>
    </w:p>
    <w:p w14:paraId="102F72B2">
      <w:pPr>
        <w:spacing w:line="640" w:lineRule="exact"/>
        <w:ind w:firstLine="640"/>
        <w:jc w:val="both"/>
        <w:outlineLvl w:val="3"/>
      </w:pPr>
      <w:r>
        <w:rPr>
          <w:rFonts w:ascii="楷体_GB2312" w:hAnsi="楷体_GB2312" w:eastAsia="楷体_GB2312"/>
          <w:b/>
          <w:sz w:val="32"/>
        </w:rPr>
        <w:t>（二）政府采购情况</w:t>
      </w:r>
    </w:p>
    <w:p w14:paraId="296264DE">
      <w:pPr>
        <w:spacing w:line="580" w:lineRule="exact"/>
        <w:ind w:firstLine="640"/>
        <w:jc w:val="both"/>
      </w:pPr>
      <w:r>
        <w:rPr>
          <w:rFonts w:ascii="仿宋_GB2312" w:hAnsi="仿宋_GB2312" w:eastAsia="仿宋_GB2312"/>
          <w:b w:val="0"/>
          <w:sz w:val="32"/>
        </w:rPr>
        <w:t>2024年度政府采购支出总额105.84万元，其中：政府采购货物支出18.63万元、政府采购工程支出0.00万元、政府采购服务支出87.21万元。</w:t>
      </w:r>
    </w:p>
    <w:p w14:paraId="4FA30D27">
      <w:pPr>
        <w:spacing w:line="580" w:lineRule="exact"/>
        <w:ind w:firstLine="640"/>
        <w:jc w:val="both"/>
      </w:pPr>
      <w:r>
        <w:rPr>
          <w:rFonts w:ascii="仿宋_GB2312" w:hAnsi="仿宋_GB2312" w:eastAsia="仿宋_GB2312"/>
          <w:b w:val="0"/>
          <w:sz w:val="32"/>
        </w:rPr>
        <w:t>授予中小企业合同金额100.84万元，占政府采购支出总额的95.28%，其中：授予小微企业合同金额100.84万元，占政府采购支出总额的95.28%。</w:t>
      </w:r>
    </w:p>
    <w:p w14:paraId="5DDDE13B">
      <w:pPr>
        <w:spacing w:line="640" w:lineRule="exact"/>
        <w:ind w:firstLine="640"/>
        <w:jc w:val="both"/>
        <w:outlineLvl w:val="3"/>
      </w:pPr>
      <w:r>
        <w:rPr>
          <w:rFonts w:ascii="楷体_GB2312" w:hAnsi="楷体_GB2312" w:eastAsia="楷体_GB2312"/>
          <w:b/>
          <w:sz w:val="32"/>
        </w:rPr>
        <w:t>（三）国有资产占用情况说明</w:t>
      </w:r>
    </w:p>
    <w:p w14:paraId="637CE8D4">
      <w:pPr>
        <w:spacing w:line="580" w:lineRule="exact"/>
        <w:ind w:firstLine="640"/>
        <w:jc w:val="both"/>
      </w:pPr>
      <w:r>
        <w:rPr>
          <w:rFonts w:ascii="仿宋_GB2312" w:hAnsi="仿宋_GB2312" w:eastAsia="仿宋_GB2312"/>
          <w:b w:val="0"/>
          <w:sz w:val="32"/>
        </w:rPr>
        <w:t>截至2024年12月31日，房屋1,537.02平方米，价值687.91万元。车辆2辆，价值37.51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33BE3551">
      <w:pPr>
        <w:spacing w:line="640" w:lineRule="exact"/>
        <w:ind w:firstLine="640"/>
        <w:jc w:val="both"/>
        <w:outlineLvl w:val="2"/>
      </w:pPr>
      <w:r>
        <w:rPr>
          <w:rFonts w:ascii="黑体" w:hAnsi="黑体" w:eastAsia="黑体"/>
          <w:sz w:val="32"/>
        </w:rPr>
        <w:t>十一、预算绩效的情况说明</w:t>
      </w:r>
    </w:p>
    <w:p w14:paraId="5783B5B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根据预算绩效管理要求，本部门2024年度预算绩效管理形成整体支出绩效自评表1个，全年预算总额2,100.28万元，实际执行总额2,097.25万元；预算绩效评价项目</w:t>
      </w:r>
      <w:r>
        <w:rPr>
          <w:rFonts w:hint="eastAsia" w:ascii="仿宋_GB2312" w:hAnsi="仿宋_GB2312" w:eastAsia="仿宋_GB2312"/>
          <w:b w:val="0"/>
          <w:sz w:val="32"/>
          <w:lang w:val="en-US" w:eastAsia="zh-CN"/>
        </w:rPr>
        <w:t>3</w:t>
      </w:r>
      <w:r>
        <w:rPr>
          <w:rFonts w:ascii="仿宋_GB2312" w:hAnsi="仿宋_GB2312" w:eastAsia="仿宋_GB2312"/>
          <w:b w:val="0"/>
          <w:sz w:val="32"/>
        </w:rPr>
        <w:t>个，全年预算数5</w:t>
      </w:r>
      <w:r>
        <w:rPr>
          <w:rFonts w:hint="eastAsia" w:ascii="仿宋_GB2312" w:hAnsi="仿宋_GB2312" w:eastAsia="仿宋_GB2312"/>
          <w:b w:val="0"/>
          <w:sz w:val="32"/>
          <w:lang w:val="en-US" w:eastAsia="zh-CN"/>
        </w:rPr>
        <w:t>41</w:t>
      </w:r>
      <w:r>
        <w:rPr>
          <w:rFonts w:ascii="仿宋_GB2312" w:hAnsi="仿宋_GB2312" w:eastAsia="仿宋_GB2312"/>
          <w:b w:val="0"/>
          <w:sz w:val="32"/>
        </w:rPr>
        <w:t>.56万元，全年执行数5</w:t>
      </w:r>
      <w:r>
        <w:rPr>
          <w:rFonts w:hint="eastAsia" w:ascii="仿宋_GB2312" w:hAnsi="仿宋_GB2312" w:eastAsia="仿宋_GB2312"/>
          <w:b w:val="0"/>
          <w:sz w:val="32"/>
          <w:lang w:val="en-US" w:eastAsia="zh-CN"/>
        </w:rPr>
        <w:t>40</w:t>
      </w:r>
      <w:r>
        <w:rPr>
          <w:rFonts w:ascii="仿宋_GB2312" w:hAnsi="仿宋_GB2312" w:eastAsia="仿宋_GB2312"/>
          <w:b w:val="0"/>
          <w:sz w:val="32"/>
        </w:rPr>
        <w:t>.91万元。预算绩效管理取得的成效：一是本项目能够严格按照《住房公积金管理业务能力提升专项项目实施方案》执行，资金支付率99.9%，项目执行情况较好。二是加强组织领导，本项目绩效评价工作，有主要领导亲自挂帅，分管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我单位及时向领导汇报项目执行情况，加强与第三方的沟通，确保公积金系统正常运行，系统故障率始终保持在5%以内。四是本项目管理制度完善、责任落实到位，跟踪考核机制完善且运行有效，在项目实施过程中创新管理办法，通过预算绩效管理，总结了工作中的较好的经验，加大对综合服务平台多渠道服务便捷性的宣传服务力度，确保服务群众的满意度持续提升。发现的问题及原因：一是工作人员对专业的政策知识和业务操作能力学习不够深入，对绩效评价工作还存在局限性，会影响评价的质量，容易造成问题的疏漏。二是通过预算绩效管理，发现资金没有实现最大效益。按照验收时提出的整改要求，还需要进一步完善，不断延长互联网+住房公积金应用推广应用，充分应用好每笔财政资金，用信息化的手段管理好住房公积金。三是项目成本预算存在偏差，项目资金结余未使用完。下一步改进措施：一是开展“精准化”专题培训：组织绩效评价政策解读会，重点学习最新预算绩效管理办法、绩效指标设定规则等，结合住房公积金业务案例进行实操讲解，避免“理论脱节”。建立“业务错题本”机制，收集以往绩效评价中因政策理解偏差或操作疏漏导致的问题，组织内部复盘，让工作人员对照问题找差距、学方法。二是推行“实战练兵+结对帮扶”：安排新手参与具体绩效评价项目，由资深同事全程指导，在实践中熟悉流程、积累经验。让工作人员分享在指标筛选、问题分析中的心得和困惑，通过“互问互答”深化对业务的理解，减少“凭经验办事”的随意性。三是按“整改清单”推进信息化落地：对照验收提出的整改要求，明确“互联网+住房公积金”推广的具体任务和时间表，如：2025年6月前完成线上提取流程优化，2025年12月前实现与不动产登记系统数据互通。邀请缴存单位、职工代表体验信息化系统，收集“好不好用、哪里卡壳”的真实反馈，针对高频问题优先整改，确保财政资金花在群众急需的功能上。四是建立资金使用“效益追踪账”：统计财政资金对应的业务成效，对支出进度慢、效益不明显的项目，及时排查原因，并调整资金使用方向。年底结合绩效评价结果，将资金效益与下一年度预算分配挂钩，倒逼各环节“花小钱、办大事”。五是从源头“算细账、防漏项”：编制项目预算前，组织财务、业务、技术等多部门人员共同参与，参考同类项目历史成本，逐项测算费用，避免“笼统估算”。预算方案形成后，邀请第三方专业机构或上级财务部门进行“交叉审核”。六是动态预算执行，盘活结余资金：每季度末对比实际支出与预算，对资金结余超过20%的项目，召开专题分析会，查明原因，并制定调整方案：对短期内无法使用的资金，按规定程序申请调剂到急需的项目，避免资金闲置。建立预算执行“红黄绿”预警机制：进度低于预期30%标“红色”、低于20%标“黄色”，重点督办，确保资金按计划高效使用。具体附部门整体支出绩效自评表，项目支出绩效自评表和部门评价报告。</w:t>
      </w:r>
    </w:p>
    <w:p w14:paraId="2F2636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89A003C">
        <w:tblPrEx>
          <w:tblCellMar>
            <w:top w:w="0" w:type="dxa"/>
            <w:left w:w="108" w:type="dxa"/>
            <w:bottom w:w="0" w:type="dxa"/>
            <w:right w:w="108" w:type="dxa"/>
          </w:tblCellMar>
        </w:tblPrEx>
        <w:tc>
          <w:tcPr>
            <w:tcW w:w="8847" w:type="dxa"/>
            <w:gridSpan w:val="9"/>
            <w:vAlign w:val="center"/>
          </w:tcPr>
          <w:p w14:paraId="48BB5101">
            <w:pPr>
              <w:jc w:val="center"/>
            </w:pPr>
            <w:r>
              <w:rPr>
                <w:rFonts w:ascii="宋体" w:hAnsi="宋体" w:eastAsia="宋体"/>
                <w:sz w:val="24"/>
              </w:rPr>
              <w:t>部门整体支出绩效自评表</w:t>
            </w:r>
          </w:p>
        </w:tc>
      </w:tr>
      <w:tr w14:paraId="76159388">
        <w:tblPrEx>
          <w:tblCellMar>
            <w:top w:w="0" w:type="dxa"/>
            <w:left w:w="108" w:type="dxa"/>
            <w:bottom w:w="0" w:type="dxa"/>
            <w:right w:w="108" w:type="dxa"/>
          </w:tblCellMar>
        </w:tblPrEx>
        <w:tc>
          <w:tcPr>
            <w:tcW w:w="8847" w:type="dxa"/>
            <w:gridSpan w:val="9"/>
            <w:vAlign w:val="center"/>
          </w:tcPr>
          <w:p w14:paraId="14422DA7">
            <w:pPr>
              <w:jc w:val="center"/>
            </w:pPr>
            <w:r>
              <w:rPr>
                <w:rFonts w:ascii="宋体" w:hAnsi="宋体" w:eastAsia="宋体"/>
                <w:sz w:val="24"/>
              </w:rPr>
              <w:t>（2024年度）</w:t>
            </w:r>
          </w:p>
        </w:tc>
      </w:tr>
      <w:tr w14:paraId="0FB382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B6F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F60F20">
            <w:pPr>
              <w:jc w:val="center"/>
            </w:pPr>
            <w:r>
              <w:rPr>
                <w:rFonts w:ascii="宋体" w:hAnsi="宋体" w:eastAsia="宋体"/>
                <w:sz w:val="16"/>
              </w:rPr>
              <w:t>新疆维吾尔自治区喀什地区住房公积金管理中心</w:t>
            </w:r>
          </w:p>
        </w:tc>
      </w:tr>
      <w:tr w14:paraId="6ECC14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51AA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F0C2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F5A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B95E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496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156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86F0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E85B4">
            <w:pPr>
              <w:jc w:val="center"/>
            </w:pPr>
            <w:r>
              <w:rPr>
                <w:rFonts w:ascii="宋体" w:hAnsi="宋体" w:eastAsia="宋体"/>
                <w:sz w:val="16"/>
              </w:rPr>
              <w:t>得分</w:t>
            </w:r>
          </w:p>
        </w:tc>
      </w:tr>
      <w:tr w14:paraId="50A77B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684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59DB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05ADF">
            <w:pPr>
              <w:jc w:val="center"/>
            </w:pPr>
            <w:r>
              <w:rPr>
                <w:rFonts w:ascii="宋体" w:hAnsi="宋体" w:eastAsia="宋体"/>
                <w:sz w:val="16"/>
              </w:rPr>
              <w:t>2,127.23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417F6">
            <w:pPr>
              <w:jc w:val="center"/>
            </w:pPr>
            <w:r>
              <w:rPr>
                <w:rFonts w:ascii="宋体" w:hAnsi="宋体" w:eastAsia="宋体"/>
                <w:sz w:val="16"/>
              </w:rPr>
              <w:t>2,100.28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03EB8">
            <w:pPr>
              <w:jc w:val="center"/>
            </w:pPr>
            <w:r>
              <w:rPr>
                <w:rFonts w:ascii="宋体" w:hAnsi="宋体" w:eastAsia="宋体"/>
                <w:sz w:val="16"/>
              </w:rPr>
              <w:t>2,097.25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51B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94DC">
            <w:pPr>
              <w:jc w:val="center"/>
            </w:pPr>
            <w:r>
              <w:rPr>
                <w:rFonts w:ascii="宋体" w:hAnsi="宋体" w:eastAsia="宋体"/>
                <w:sz w:val="16"/>
              </w:rPr>
              <w:t>99.86%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C7457">
            <w:pPr>
              <w:jc w:val="center"/>
            </w:pPr>
            <w:r>
              <w:rPr>
                <w:rFonts w:ascii="宋体" w:hAnsi="宋体" w:eastAsia="宋体"/>
                <w:sz w:val="16"/>
              </w:rPr>
              <w:t>9.86</w:t>
            </w:r>
          </w:p>
        </w:tc>
      </w:tr>
      <w:tr w14:paraId="710839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4B0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46E0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5F8C9">
            <w:pPr>
              <w:jc w:val="center"/>
            </w:pPr>
            <w:r>
              <w:rPr>
                <w:rFonts w:ascii="宋体" w:hAnsi="宋体" w:eastAsia="宋体"/>
                <w:sz w:val="16"/>
              </w:rPr>
              <w:t>5.62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0EBFA">
            <w:pPr>
              <w:jc w:val="center"/>
            </w:pPr>
            <w:r>
              <w:rPr>
                <w:rFonts w:ascii="宋体" w:hAnsi="宋体" w:eastAsia="宋体"/>
                <w:sz w:val="16"/>
              </w:rPr>
              <w:t>46.78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4C46C">
            <w:pPr>
              <w:jc w:val="center"/>
            </w:pPr>
            <w:r>
              <w:rPr>
                <w:rFonts w:ascii="宋体" w:hAnsi="宋体" w:eastAsia="宋体"/>
                <w:sz w:val="16"/>
              </w:rPr>
              <w:t>43.75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8FF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827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522A1">
            <w:pPr>
              <w:jc w:val="center"/>
            </w:pPr>
            <w:r>
              <w:rPr>
                <w:rFonts w:ascii="宋体" w:hAnsi="宋体" w:eastAsia="宋体"/>
                <w:sz w:val="16"/>
              </w:rPr>
              <w:t>—</w:t>
            </w:r>
          </w:p>
        </w:tc>
      </w:tr>
      <w:tr w14:paraId="4ECCE3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BB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4B6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55BAC">
            <w:pPr>
              <w:jc w:val="center"/>
            </w:pPr>
            <w:r>
              <w:rPr>
                <w:rFonts w:ascii="宋体" w:hAnsi="宋体" w:eastAsia="宋体"/>
                <w:sz w:val="16"/>
              </w:rPr>
              <w:t>2,121.61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13177">
            <w:pPr>
              <w:jc w:val="center"/>
            </w:pPr>
            <w:r>
              <w:rPr>
                <w:rFonts w:ascii="宋体" w:hAnsi="宋体" w:eastAsia="宋体"/>
                <w:sz w:val="16"/>
              </w:rPr>
              <w:t>2,053.50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F452B">
            <w:pPr>
              <w:jc w:val="center"/>
            </w:pPr>
            <w:r>
              <w:rPr>
                <w:rFonts w:ascii="宋体" w:hAnsi="宋体" w:eastAsia="宋体"/>
                <w:sz w:val="16"/>
              </w:rPr>
              <w:t>2,053.50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C8F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A5B9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DAC3F">
            <w:pPr>
              <w:jc w:val="center"/>
            </w:pPr>
            <w:r>
              <w:rPr>
                <w:rFonts w:ascii="宋体" w:hAnsi="宋体" w:eastAsia="宋体"/>
                <w:sz w:val="16"/>
              </w:rPr>
              <w:t>—</w:t>
            </w:r>
          </w:p>
        </w:tc>
      </w:tr>
      <w:tr w14:paraId="0A3E08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474A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2FF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25C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A31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084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E32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D00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D1F71">
            <w:pPr>
              <w:jc w:val="center"/>
            </w:pPr>
            <w:r>
              <w:rPr>
                <w:rFonts w:ascii="宋体" w:hAnsi="宋体" w:eastAsia="宋体"/>
                <w:sz w:val="16"/>
              </w:rPr>
              <w:t>—</w:t>
            </w:r>
          </w:p>
        </w:tc>
      </w:tr>
      <w:tr w14:paraId="4A01DC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100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85E45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00CB69">
            <w:pPr>
              <w:jc w:val="center"/>
            </w:pPr>
            <w:r>
              <w:rPr>
                <w:rFonts w:ascii="宋体" w:hAnsi="宋体" w:eastAsia="宋体"/>
                <w:sz w:val="16"/>
              </w:rPr>
              <w:t>实际完成情况</w:t>
            </w:r>
          </w:p>
        </w:tc>
      </w:tr>
      <w:tr w14:paraId="0D419B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307A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28406B">
            <w:pPr>
              <w:jc w:val="both"/>
            </w:pPr>
            <w:r>
              <w:rPr>
                <w:rFonts w:ascii="宋体" w:hAnsi="宋体" w:eastAsia="宋体"/>
                <w:sz w:val="16"/>
              </w:rPr>
              <w:t>确保我中心在职69人、退休23人、聘用22人，全年工资，社保、住房公积金等发放；退休人员补助及其他对个人和家庭的补助支出；单位公用经费（车辆、商品服务、差旅等）经费；延续缴纳信息系统综合服务项目9项业务费，具体包括：公积金业务管理云平台服务、公积金综合服务平台服务、公积金华为云服务、公积金“12329”服务热线服务、公积金服务平台短信服务、自治区电信和联通业务专线服务、12个县市业务专线服务、中心软硬件设备系统维保费，公积金系统电子签章服务费；确保我中心按照计划顺利承办公积金各项业务，赴县市督导检查调研工作，争取完成2024年住房公积金各项业务指标计划：归集住房公积金63亿元，提取使用住房公积金50亿元，发放住房公积金贷款36亿元。利用大数据，做到 “让信息快跑路、让职工少跑腿”，实现资金管理效能和服务效率双提升。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B0A104">
            <w:pPr>
              <w:jc w:val="both"/>
            </w:pPr>
            <w:r>
              <w:rPr>
                <w:rFonts w:hint="eastAsia" w:ascii="宋体" w:hAnsi="宋体"/>
                <w:sz w:val="16"/>
                <w:lang w:eastAsia="zh-CN"/>
              </w:rPr>
              <w:t>截至</w:t>
            </w:r>
            <w:r>
              <w:rPr>
                <w:rFonts w:ascii="宋体" w:hAnsi="宋体" w:eastAsia="宋体"/>
                <w:sz w:val="16"/>
              </w:rPr>
              <w:t>2024年12月项目全部完成，保障了在职人员73人，退休人员23人，长期聘用人员22人工资及社保及时发放，各项按时缴费。2024年统计的年承办公积金业务数量30.21万笔，全地区缴存住房公积金65.67亿元，完成年度计划任务63亿元的104.24%，同比增长9.98%；提取住房公积金58.87亿元，完成年度计划任务50亿元的117.74%，同比增长2.03%，其中租、购、建房和偿还住房贷款等住房消费类提取46.72亿元；发放住房公积金贷款8509笔32.23亿元，完成年度计划任务36亿元的89.52%，同比下降14.65%,当年新增缴存单位715家，新增缴存20218人，完成年度扩面任务的148.66%，住房公积金制度普惠基础不断夯实。公积金中心严格执行资金预算支出，充分履行公积金中心的部门职能。坚持以基本支出为引领和基础，发挥项目资金效益最大化为支撑，推进公积金各项工作为目标，努力提升公积金工作管理质量，确保公积金各项工作稳步推进提升。按照资金计划开展各项工作</w:t>
            </w:r>
            <w:r>
              <w:rPr>
                <w:rFonts w:hint="eastAsia" w:ascii="宋体" w:hAnsi="宋体"/>
                <w:sz w:val="16"/>
                <w:lang w:eastAsia="zh-CN"/>
              </w:rPr>
              <w:t>，确</w:t>
            </w:r>
            <w:r>
              <w:rPr>
                <w:rFonts w:ascii="宋体" w:hAnsi="宋体" w:eastAsia="宋体"/>
                <w:sz w:val="16"/>
              </w:rPr>
              <w:t>保干部工资及社保正常发放，充分调动干部工作积极性；保障部门正常运转，确保项目支出有序正常，顺利完成全年各项工作目标，为中心提供功能齐全、安全便捷、服务高效、公众满意的互联网服务，提供业务办理、信息查询、信息发布和互动交流等服务功能，做到 “让信息快跑路、让群众少跑腿”,顺利完成全年各项工作任务。</w:t>
            </w:r>
          </w:p>
        </w:tc>
      </w:tr>
      <w:tr w14:paraId="746026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394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528B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9FCB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CE3C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F9C7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F9A6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6ED8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6B0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69B90">
            <w:pPr>
              <w:jc w:val="center"/>
            </w:pPr>
            <w:r>
              <w:rPr>
                <w:rFonts w:ascii="宋体" w:hAnsi="宋体" w:eastAsia="宋体"/>
                <w:sz w:val="16"/>
              </w:rPr>
              <w:t>得分</w:t>
            </w:r>
          </w:p>
        </w:tc>
      </w:tr>
      <w:tr w14:paraId="3C325F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D1DF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9D4A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70787">
            <w:pPr>
              <w:jc w:val="center"/>
            </w:pPr>
            <w:r>
              <w:rPr>
                <w:rFonts w:ascii="宋体" w:hAnsi="宋体" w:eastAsia="宋体"/>
                <w:sz w:val="16"/>
              </w:rPr>
              <w:t>年承办公积金业务数量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C3770">
            <w:pPr>
              <w:jc w:val="center"/>
            </w:pPr>
            <w:r>
              <w:rPr>
                <w:rFonts w:ascii="宋体" w:hAnsi="宋体" w:eastAsia="宋体"/>
                <w:sz w:val="16"/>
              </w:rPr>
              <w:t>&gt;=30万笔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4EE64">
            <w:pPr>
              <w:jc w:val="center"/>
            </w:pPr>
            <w:r>
              <w:rPr>
                <w:rFonts w:ascii="宋体" w:hAnsi="宋体" w:eastAsia="宋体"/>
                <w:sz w:val="16"/>
              </w:rPr>
              <w:t>《喀什地区住房公积金管理中心2024年工作计划》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3F4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ED095">
            <w:pPr>
              <w:jc w:val="center"/>
            </w:pPr>
            <w:r>
              <w:rPr>
                <w:rFonts w:ascii="宋体" w:hAnsi="宋体" w:eastAsia="宋体"/>
                <w:sz w:val="16"/>
              </w:rPr>
              <w:t>30.21万笔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0293">
            <w:pPr>
              <w:jc w:val="center"/>
            </w:pPr>
            <w:r>
              <w:rPr>
                <w:rFonts w:ascii="宋体" w:hAnsi="宋体" w:eastAsia="宋体"/>
                <w:sz w:val="16"/>
              </w:rPr>
              <w:t>100.7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1C3B3">
            <w:pPr>
              <w:jc w:val="center"/>
            </w:pPr>
            <w:r>
              <w:rPr>
                <w:rFonts w:ascii="宋体" w:hAnsi="宋体" w:eastAsia="宋体"/>
                <w:sz w:val="16"/>
              </w:rPr>
              <w:t>15</w:t>
            </w:r>
          </w:p>
        </w:tc>
      </w:tr>
      <w:tr w14:paraId="1CAA81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2A5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3D5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72B82">
            <w:pPr>
              <w:jc w:val="center"/>
            </w:pPr>
            <w:r>
              <w:rPr>
                <w:rFonts w:ascii="宋体" w:hAnsi="宋体" w:eastAsia="宋体"/>
                <w:sz w:val="16"/>
              </w:rPr>
              <w:t>归集住房公积金额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237D7">
            <w:pPr>
              <w:jc w:val="center"/>
            </w:pPr>
            <w:r>
              <w:rPr>
                <w:rFonts w:ascii="宋体" w:hAnsi="宋体" w:eastAsia="宋体"/>
                <w:sz w:val="16"/>
              </w:rPr>
              <w:t>&gt;=63亿元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9520B">
            <w:pPr>
              <w:jc w:val="center"/>
            </w:pPr>
            <w:r>
              <w:rPr>
                <w:rFonts w:ascii="宋体" w:hAnsi="宋体" w:eastAsia="宋体"/>
                <w:sz w:val="16"/>
              </w:rPr>
              <w:t>《喀什地区住房公积金管理中心2024年工作计划》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AD16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6FE86">
            <w:pPr>
              <w:jc w:val="center"/>
            </w:pPr>
            <w:r>
              <w:rPr>
                <w:rFonts w:ascii="宋体" w:hAnsi="宋体" w:eastAsia="宋体"/>
                <w:sz w:val="16"/>
              </w:rPr>
              <w:t>65.67亿元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58905">
            <w:pPr>
              <w:jc w:val="center"/>
            </w:pPr>
            <w:r>
              <w:rPr>
                <w:rFonts w:ascii="宋体" w:hAnsi="宋体" w:eastAsia="宋体"/>
                <w:sz w:val="16"/>
              </w:rPr>
              <w:t>104.24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5482">
            <w:pPr>
              <w:jc w:val="center"/>
            </w:pPr>
            <w:r>
              <w:rPr>
                <w:rFonts w:ascii="宋体" w:hAnsi="宋体" w:eastAsia="宋体"/>
                <w:sz w:val="16"/>
              </w:rPr>
              <w:t>15</w:t>
            </w:r>
          </w:p>
        </w:tc>
      </w:tr>
      <w:tr w14:paraId="663185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7A0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BF6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3E1BD">
            <w:pPr>
              <w:jc w:val="center"/>
            </w:pPr>
            <w:r>
              <w:rPr>
                <w:rFonts w:ascii="宋体" w:hAnsi="宋体" w:eastAsia="宋体"/>
                <w:sz w:val="16"/>
              </w:rPr>
              <w:t>提取使用住房公积金额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13D46">
            <w:pPr>
              <w:jc w:val="center"/>
            </w:pPr>
            <w:r>
              <w:rPr>
                <w:rFonts w:ascii="宋体" w:hAnsi="宋体" w:eastAsia="宋体"/>
                <w:sz w:val="16"/>
              </w:rPr>
              <w:t>&gt;=50亿元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13892">
            <w:pPr>
              <w:jc w:val="center"/>
            </w:pPr>
            <w:r>
              <w:rPr>
                <w:rFonts w:ascii="宋体" w:hAnsi="宋体" w:eastAsia="宋体"/>
                <w:sz w:val="16"/>
              </w:rPr>
              <w:t>《喀什地区住房公积金管理中心2024年工作计划》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05BC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35769">
            <w:pPr>
              <w:jc w:val="center"/>
            </w:pPr>
            <w:r>
              <w:rPr>
                <w:rFonts w:ascii="宋体" w:hAnsi="宋体" w:eastAsia="宋体"/>
                <w:sz w:val="16"/>
              </w:rPr>
              <w:t>58.87亿元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FE90D">
            <w:pPr>
              <w:jc w:val="center"/>
            </w:pPr>
            <w:r>
              <w:rPr>
                <w:rFonts w:ascii="宋体" w:hAnsi="宋体" w:eastAsia="宋体"/>
                <w:sz w:val="16"/>
              </w:rPr>
              <w:t>117.74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B659F">
            <w:pPr>
              <w:jc w:val="center"/>
            </w:pPr>
            <w:r>
              <w:rPr>
                <w:rFonts w:ascii="宋体" w:hAnsi="宋体" w:eastAsia="宋体"/>
                <w:sz w:val="16"/>
              </w:rPr>
              <w:t>15</w:t>
            </w:r>
          </w:p>
        </w:tc>
      </w:tr>
      <w:tr w14:paraId="064567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059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A2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89F24">
            <w:pPr>
              <w:jc w:val="center"/>
            </w:pPr>
            <w:r>
              <w:rPr>
                <w:rFonts w:ascii="宋体" w:hAnsi="宋体" w:eastAsia="宋体"/>
                <w:sz w:val="16"/>
              </w:rPr>
              <w:t>发放住房公积金贷款额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DEEAC">
            <w:pPr>
              <w:jc w:val="center"/>
            </w:pPr>
            <w:r>
              <w:rPr>
                <w:rFonts w:ascii="宋体" w:hAnsi="宋体" w:eastAsia="宋体"/>
                <w:sz w:val="16"/>
              </w:rPr>
              <w:t>&gt;=36亿元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03BBC">
            <w:pPr>
              <w:jc w:val="center"/>
            </w:pPr>
            <w:r>
              <w:rPr>
                <w:rFonts w:ascii="宋体" w:hAnsi="宋体" w:eastAsia="宋体"/>
                <w:sz w:val="16"/>
              </w:rPr>
              <w:t>《喀什地区住房公积金管理中心2024年工作计划》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B1F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9DA35">
            <w:pPr>
              <w:jc w:val="center"/>
            </w:pPr>
            <w:r>
              <w:rPr>
                <w:rFonts w:ascii="宋体" w:hAnsi="宋体" w:eastAsia="宋体"/>
                <w:sz w:val="16"/>
              </w:rPr>
              <w:t>32.23亿元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72746">
            <w:pPr>
              <w:jc w:val="center"/>
            </w:pPr>
            <w:r>
              <w:rPr>
                <w:rFonts w:ascii="宋体" w:hAnsi="宋体" w:eastAsia="宋体"/>
                <w:sz w:val="16"/>
              </w:rPr>
              <w:t>89.53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42CF9">
            <w:pPr>
              <w:jc w:val="center"/>
            </w:pPr>
            <w:r>
              <w:rPr>
                <w:rFonts w:ascii="宋体" w:hAnsi="宋体" w:eastAsia="宋体"/>
                <w:sz w:val="16"/>
              </w:rPr>
              <w:t>13.43</w:t>
            </w:r>
          </w:p>
        </w:tc>
      </w:tr>
      <w:tr w14:paraId="782BD0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8F2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DAA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0BEF">
            <w:pPr>
              <w:jc w:val="center"/>
            </w:pPr>
            <w:r>
              <w:rPr>
                <w:rFonts w:ascii="宋体" w:hAnsi="宋体" w:eastAsia="宋体"/>
                <w:sz w:val="16"/>
              </w:rPr>
              <w:t>全年督导县市检查调研工作覆盖率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592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17B38">
            <w:pPr>
              <w:jc w:val="center"/>
            </w:pPr>
            <w:r>
              <w:rPr>
                <w:rFonts w:ascii="宋体" w:hAnsi="宋体" w:eastAsia="宋体"/>
                <w:sz w:val="16"/>
              </w:rPr>
              <w:t>《喀什地区住房公积金管理中心2024年工作计划》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709C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2F7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77C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FB63E">
            <w:pPr>
              <w:jc w:val="center"/>
            </w:pPr>
            <w:r>
              <w:rPr>
                <w:rFonts w:ascii="宋体" w:hAnsi="宋体" w:eastAsia="宋体"/>
                <w:sz w:val="16"/>
              </w:rPr>
              <w:t>15</w:t>
            </w:r>
          </w:p>
        </w:tc>
      </w:tr>
      <w:tr w14:paraId="5528D1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2C34E">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B43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85B6A">
            <w:pPr>
              <w:jc w:val="center"/>
            </w:pPr>
            <w:r>
              <w:rPr>
                <w:rFonts w:ascii="宋体" w:hAnsi="宋体" w:eastAsia="宋体"/>
                <w:sz w:val="16"/>
              </w:rPr>
              <w:t>办事人员满意度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C68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10F0E">
            <w:pPr>
              <w:jc w:val="center"/>
            </w:pPr>
            <w:r>
              <w:rPr>
                <w:rFonts w:ascii="宋体" w:hAnsi="宋体" w:eastAsia="宋体"/>
                <w:sz w:val="16"/>
              </w:rPr>
              <w:t>关于开展2023年事前绩效评估和绩效目标编制工作的通知（喀地财绩〔2023〕3号）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477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1B46B">
            <w:pPr>
              <w:jc w:val="center"/>
            </w:pPr>
            <w:r>
              <w:rPr>
                <w:rFonts w:ascii="宋体" w:hAnsi="宋体" w:eastAsia="宋体"/>
                <w:sz w:val="16"/>
              </w:rPr>
              <w:t>99.32%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35E3">
            <w:pPr>
              <w:jc w:val="center"/>
            </w:pPr>
            <w:r>
              <w:rPr>
                <w:rFonts w:ascii="宋体" w:hAnsi="宋体" w:eastAsia="宋体"/>
                <w:sz w:val="16"/>
              </w:rPr>
              <w:t>104.55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B16C9">
            <w:pPr>
              <w:jc w:val="center"/>
            </w:pPr>
            <w:r>
              <w:rPr>
                <w:rFonts w:ascii="宋体" w:hAnsi="宋体" w:eastAsia="宋体"/>
                <w:sz w:val="16"/>
              </w:rPr>
              <w:t>15</w:t>
            </w:r>
          </w:p>
        </w:tc>
      </w:tr>
    </w:tbl>
    <w:p w14:paraId="06CB9F41">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2"/>
        <w:gridCol w:w="599"/>
        <w:gridCol w:w="631"/>
      </w:tblGrid>
      <w:tr w14:paraId="70767D4C">
        <w:tblPrEx>
          <w:tblCellMar>
            <w:top w:w="0" w:type="dxa"/>
            <w:left w:w="108" w:type="dxa"/>
            <w:bottom w:w="0" w:type="dxa"/>
            <w:right w:w="108" w:type="dxa"/>
          </w:tblCellMar>
        </w:tblPrEx>
        <w:tc>
          <w:tcPr>
            <w:tcW w:w="8848" w:type="dxa"/>
            <w:gridSpan w:val="14"/>
            <w:vAlign w:val="center"/>
          </w:tcPr>
          <w:p w14:paraId="3AB5A93C">
            <w:pPr>
              <w:jc w:val="center"/>
            </w:pPr>
            <w:r>
              <w:rPr>
                <w:rFonts w:ascii="宋体" w:hAnsi="宋体" w:eastAsia="宋体"/>
                <w:sz w:val="24"/>
              </w:rPr>
              <w:t>项目支出绩效自评表</w:t>
            </w:r>
          </w:p>
        </w:tc>
      </w:tr>
      <w:tr w14:paraId="0D877205">
        <w:tblPrEx>
          <w:tblCellMar>
            <w:top w:w="0" w:type="dxa"/>
            <w:left w:w="108" w:type="dxa"/>
            <w:bottom w:w="0" w:type="dxa"/>
            <w:right w:w="108" w:type="dxa"/>
          </w:tblCellMar>
        </w:tblPrEx>
        <w:tc>
          <w:tcPr>
            <w:tcW w:w="8848" w:type="dxa"/>
            <w:gridSpan w:val="14"/>
            <w:vAlign w:val="center"/>
          </w:tcPr>
          <w:p w14:paraId="57092D83">
            <w:pPr>
              <w:jc w:val="center"/>
            </w:pPr>
            <w:r>
              <w:rPr>
                <w:rFonts w:ascii="宋体" w:hAnsi="宋体" w:eastAsia="宋体"/>
                <w:sz w:val="24"/>
              </w:rPr>
              <w:t>(2024年度)</w:t>
            </w:r>
          </w:p>
        </w:tc>
      </w:tr>
      <w:tr w14:paraId="78BF37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08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59CFE6">
            <w:pPr>
              <w:jc w:val="center"/>
            </w:pPr>
            <w:r>
              <w:rPr>
                <w:rFonts w:ascii="宋体" w:hAnsi="宋体" w:eastAsia="宋体"/>
                <w:sz w:val="16"/>
              </w:rPr>
              <w:t>2024年度异地交流任职干部交通费</w:t>
            </w:r>
          </w:p>
        </w:tc>
      </w:tr>
      <w:tr w14:paraId="2F9763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32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1D05D7">
            <w:pPr>
              <w:jc w:val="center"/>
            </w:pPr>
            <w:r>
              <w:rPr>
                <w:rFonts w:ascii="宋体" w:hAnsi="宋体" w:eastAsia="宋体"/>
                <w:sz w:val="16"/>
              </w:rPr>
              <w:t>新疆维吾尔自治区喀什地区住房公积金管理中心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0E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1472F">
            <w:pPr>
              <w:jc w:val="center"/>
            </w:pPr>
            <w:r>
              <w:rPr>
                <w:rFonts w:ascii="宋体" w:hAnsi="宋体" w:eastAsia="宋体"/>
                <w:sz w:val="16"/>
              </w:rPr>
              <w:t>新疆维吾尔自治区喀什地区住房公积金管理中心</w:t>
            </w:r>
          </w:p>
        </w:tc>
      </w:tr>
      <w:tr w14:paraId="59030D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B51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7DC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CD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A20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56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26D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0F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87AB">
            <w:pPr>
              <w:jc w:val="center"/>
            </w:pPr>
            <w:r>
              <w:rPr>
                <w:rFonts w:ascii="宋体" w:hAnsi="宋体" w:eastAsia="宋体"/>
                <w:sz w:val="16"/>
              </w:rPr>
              <w:t>得分</w:t>
            </w:r>
          </w:p>
        </w:tc>
      </w:tr>
      <w:tr w14:paraId="2ECA6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8B2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26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6FD8F">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B907B">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D79F">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9E7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0DBE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BF86">
            <w:pPr>
              <w:jc w:val="center"/>
            </w:pPr>
            <w:r>
              <w:rPr>
                <w:rFonts w:ascii="宋体" w:hAnsi="宋体" w:eastAsia="宋体"/>
                <w:sz w:val="16"/>
              </w:rPr>
              <w:t>10.00分</w:t>
            </w:r>
          </w:p>
        </w:tc>
      </w:tr>
      <w:tr w14:paraId="457A67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FC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8C3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3DE21">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04111">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5CE0">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F3D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C5F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EDD4">
            <w:pPr>
              <w:jc w:val="center"/>
            </w:pPr>
            <w:r>
              <w:rPr>
                <w:rFonts w:ascii="宋体" w:hAnsi="宋体" w:eastAsia="宋体"/>
                <w:sz w:val="16"/>
              </w:rPr>
              <w:t>—</w:t>
            </w:r>
          </w:p>
        </w:tc>
      </w:tr>
      <w:tr w14:paraId="5AED8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217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21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9F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E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D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9E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94A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688C">
            <w:pPr>
              <w:jc w:val="center"/>
            </w:pPr>
            <w:r>
              <w:rPr>
                <w:rFonts w:ascii="宋体" w:hAnsi="宋体" w:eastAsia="宋体"/>
                <w:sz w:val="16"/>
              </w:rPr>
              <w:t>—</w:t>
            </w:r>
          </w:p>
        </w:tc>
      </w:tr>
      <w:tr w14:paraId="4E0AED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ECC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21A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95F5E8">
            <w:pPr>
              <w:jc w:val="center"/>
            </w:pPr>
            <w:r>
              <w:rPr>
                <w:rFonts w:ascii="宋体" w:hAnsi="宋体" w:eastAsia="宋体"/>
                <w:sz w:val="16"/>
              </w:rPr>
              <w:t>实际完成情况</w:t>
            </w:r>
          </w:p>
        </w:tc>
      </w:tr>
      <w:tr w14:paraId="7B724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18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A05D62">
            <w:pPr>
              <w:jc w:val="both"/>
            </w:pPr>
            <w:r>
              <w:rPr>
                <w:rFonts w:ascii="宋体" w:hAnsi="宋体" w:eastAsia="宋体"/>
                <w:sz w:val="16"/>
              </w:rPr>
              <w:t>根据《自治区党委组织部 自治区人力资源和社会保障厅 自治区财政厅 自治区机关事务管理局关于做好自治区异地交流干部和挂职干部交通保障有关事宜的通知》新党组通字〔2021〕23号文件规定，计划为1名交流任职干部2024年7月份从喀什市至东营市往返1次交通费2651.5元。落实自治区关心关爱异地交流干部政策，提升异地交流干部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289E2D">
            <w:pPr>
              <w:jc w:val="both"/>
            </w:pPr>
            <w:r>
              <w:rPr>
                <w:rFonts w:ascii="宋体" w:hAnsi="宋体" w:eastAsia="宋体"/>
                <w:sz w:val="16"/>
              </w:rPr>
              <w:t>该资金共计0.27万元，</w:t>
            </w:r>
            <w:r>
              <w:rPr>
                <w:rFonts w:hint="eastAsia" w:ascii="宋体" w:hAnsi="宋体"/>
                <w:sz w:val="16"/>
                <w:lang w:eastAsia="zh-CN"/>
              </w:rPr>
              <w:t>截至</w:t>
            </w:r>
            <w:r>
              <w:rPr>
                <w:rFonts w:ascii="宋体" w:hAnsi="宋体" w:eastAsia="宋体"/>
                <w:sz w:val="16"/>
              </w:rPr>
              <w:t>2024年12月实际支付0.27万元，资金全部支付完毕。资金主要用于1名交流任职干部2024年7月份从喀什市至东营市往返1次交通费2651.5元。有利于干部人才的合理流动与配置，提升干部工作积极性与工作效率，加强区域间的联系与合作。</w:t>
            </w:r>
          </w:p>
        </w:tc>
      </w:tr>
      <w:tr w14:paraId="3035BC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A988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F5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40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4A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EF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73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536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EA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4A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0D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4F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DA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8CA6A">
            <w:pPr>
              <w:jc w:val="center"/>
            </w:pPr>
            <w:r>
              <w:rPr>
                <w:rFonts w:ascii="宋体" w:hAnsi="宋体" w:eastAsia="宋体"/>
                <w:sz w:val="16"/>
              </w:rPr>
              <w:t>偏差原因分析及改进措施</w:t>
            </w:r>
          </w:p>
        </w:tc>
      </w:tr>
      <w:tr w14:paraId="1AEAD9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F5E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3FA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F20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9D4E">
            <w:pPr>
              <w:jc w:val="center"/>
            </w:pPr>
            <w:r>
              <w:rPr>
                <w:rFonts w:ascii="宋体" w:hAnsi="宋体" w:eastAsia="宋体"/>
                <w:sz w:val="16"/>
              </w:rPr>
              <w:t>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7E8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4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198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CB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3F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44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601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E6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5F5B">
            <w:pPr>
              <w:jc w:val="center"/>
            </w:pPr>
          </w:p>
        </w:tc>
      </w:tr>
      <w:tr w14:paraId="7B865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88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A9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54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79BF">
            <w:pPr>
              <w:jc w:val="center"/>
            </w:pPr>
            <w:r>
              <w:rPr>
                <w:rFonts w:ascii="宋体" w:hAnsi="宋体" w:eastAsia="宋体"/>
                <w:sz w:val="16"/>
              </w:rPr>
              <w:t>申请异地交流干部探亲次数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F4C1">
            <w:pPr>
              <w:jc w:val="center"/>
            </w:pPr>
            <w:r>
              <w:rPr>
                <w:rFonts w:ascii="宋体" w:hAnsi="宋体" w:eastAsia="宋体"/>
                <w:sz w:val="16"/>
              </w:rPr>
              <w:t>&gt;=1人次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0C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A6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C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37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C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A1C7">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08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CB391">
            <w:pPr>
              <w:jc w:val="center"/>
            </w:pPr>
          </w:p>
        </w:tc>
      </w:tr>
      <w:tr w14:paraId="23269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C1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0F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4A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1ABB">
            <w:pPr>
              <w:jc w:val="center"/>
            </w:pPr>
            <w:r>
              <w:rPr>
                <w:rFonts w:ascii="宋体" w:hAnsi="宋体" w:eastAsia="宋体"/>
                <w:sz w:val="16"/>
              </w:rPr>
              <w:t>异地交流干部保障交通费覆盖率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85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8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1E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7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17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C3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B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C3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4B8BD">
            <w:pPr>
              <w:jc w:val="center"/>
            </w:pPr>
          </w:p>
        </w:tc>
      </w:tr>
      <w:tr w14:paraId="0BAC1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CB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5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77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91140">
            <w:pPr>
              <w:jc w:val="center"/>
            </w:pPr>
            <w:r>
              <w:rPr>
                <w:rFonts w:ascii="宋体" w:hAnsi="宋体" w:eastAsia="宋体"/>
                <w:sz w:val="16"/>
              </w:rPr>
              <w:t>异地交流干部探亲保障时限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0BBE">
            <w:pPr>
              <w:jc w:val="center"/>
            </w:pPr>
            <w:r>
              <w:rPr>
                <w:rFonts w:ascii="宋体" w:hAnsi="宋体" w:eastAsia="宋体"/>
                <w:sz w:val="16"/>
              </w:rPr>
              <w:t>&lt;=5个月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7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C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50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3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40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0E22">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31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C34E">
            <w:pPr>
              <w:jc w:val="center"/>
            </w:pPr>
          </w:p>
        </w:tc>
      </w:tr>
      <w:tr w14:paraId="4E5D2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F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F26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8C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0E05">
            <w:pPr>
              <w:jc w:val="center"/>
            </w:pPr>
            <w:r>
              <w:rPr>
                <w:rFonts w:ascii="宋体" w:hAnsi="宋体" w:eastAsia="宋体"/>
                <w:sz w:val="16"/>
              </w:rPr>
              <w:t>疆外异地交流干部每次交通费金额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D4E9">
            <w:pPr>
              <w:jc w:val="center"/>
            </w:pPr>
            <w:r>
              <w:rPr>
                <w:rFonts w:ascii="宋体" w:hAnsi="宋体" w:eastAsia="宋体"/>
                <w:sz w:val="16"/>
              </w:rPr>
              <w:t>&lt;=2651.5元/次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6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C6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41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3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8B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ABD5">
            <w:pPr>
              <w:jc w:val="center"/>
            </w:pPr>
            <w:r>
              <w:rPr>
                <w:rFonts w:ascii="宋体" w:hAnsi="宋体" w:eastAsia="宋体"/>
                <w:sz w:val="16"/>
              </w:rPr>
              <w:t>=2651.5元/次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E1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F14D0">
            <w:pPr>
              <w:jc w:val="center"/>
            </w:pPr>
          </w:p>
        </w:tc>
      </w:tr>
      <w:tr w14:paraId="5AE88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30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1A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E1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0DEA">
            <w:pPr>
              <w:jc w:val="center"/>
            </w:pPr>
            <w:r>
              <w:rPr>
                <w:rFonts w:ascii="宋体" w:hAnsi="宋体" w:eastAsia="宋体"/>
                <w:sz w:val="16"/>
              </w:rPr>
              <w:t>提升异地交流干部幸福感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592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5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75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5B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DDD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8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68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FB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5EC7A">
            <w:pPr>
              <w:jc w:val="center"/>
            </w:pPr>
          </w:p>
        </w:tc>
      </w:tr>
      <w:tr w14:paraId="0A2F0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7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8C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64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F757">
            <w:pPr>
              <w:jc w:val="center"/>
            </w:pPr>
            <w:r>
              <w:rPr>
                <w:rFonts w:ascii="宋体" w:hAnsi="宋体" w:eastAsia="宋体"/>
                <w:sz w:val="16"/>
              </w:rPr>
              <w:t>异地交流干部满意度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0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F0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FB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2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2B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FB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81AC">
            <w:pPr>
              <w:jc w:val="center"/>
            </w:pPr>
            <w:r>
              <w:rPr>
                <w:rFonts w:ascii="宋体" w:hAnsi="宋体" w:eastAsia="宋体"/>
                <w:sz w:val="16"/>
              </w:rPr>
              <w:t>=98.65%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8D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FBD1">
            <w:pPr>
              <w:jc w:val="center"/>
            </w:pPr>
          </w:p>
        </w:tc>
      </w:tr>
      <w:tr w14:paraId="000C096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F90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32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0D20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D60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104965"/>
        </w:tc>
      </w:tr>
    </w:tbl>
    <w:p w14:paraId="2F216BE7">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30"/>
        <w:gridCol w:w="856"/>
        <w:gridCol w:w="607"/>
        <w:gridCol w:w="696"/>
        <w:gridCol w:w="615"/>
        <w:gridCol w:w="607"/>
        <w:gridCol w:w="607"/>
        <w:gridCol w:w="776"/>
        <w:gridCol w:w="628"/>
        <w:gridCol w:w="572"/>
        <w:gridCol w:w="630"/>
      </w:tblGrid>
      <w:tr w14:paraId="411B2F02">
        <w:tblPrEx>
          <w:tblCellMar>
            <w:top w:w="0" w:type="dxa"/>
            <w:left w:w="108" w:type="dxa"/>
            <w:bottom w:w="0" w:type="dxa"/>
            <w:right w:w="108" w:type="dxa"/>
          </w:tblCellMar>
        </w:tblPrEx>
        <w:tc>
          <w:tcPr>
            <w:tcW w:w="8848" w:type="dxa"/>
            <w:gridSpan w:val="14"/>
            <w:vAlign w:val="center"/>
          </w:tcPr>
          <w:p w14:paraId="61425CEF">
            <w:pPr>
              <w:jc w:val="center"/>
            </w:pPr>
            <w:r>
              <w:rPr>
                <w:rFonts w:ascii="宋体" w:hAnsi="宋体" w:eastAsia="宋体"/>
                <w:sz w:val="24"/>
              </w:rPr>
              <w:t>项目支出绩效自评表</w:t>
            </w:r>
          </w:p>
        </w:tc>
      </w:tr>
      <w:tr w14:paraId="58C3A37B">
        <w:tblPrEx>
          <w:tblCellMar>
            <w:top w:w="0" w:type="dxa"/>
            <w:left w:w="108" w:type="dxa"/>
            <w:bottom w:w="0" w:type="dxa"/>
            <w:right w:w="108" w:type="dxa"/>
          </w:tblCellMar>
        </w:tblPrEx>
        <w:tc>
          <w:tcPr>
            <w:tcW w:w="8848" w:type="dxa"/>
            <w:gridSpan w:val="14"/>
            <w:vAlign w:val="center"/>
          </w:tcPr>
          <w:p w14:paraId="37E511E8">
            <w:pPr>
              <w:jc w:val="center"/>
            </w:pPr>
            <w:r>
              <w:rPr>
                <w:rFonts w:ascii="宋体" w:hAnsi="宋体" w:eastAsia="宋体"/>
                <w:sz w:val="24"/>
              </w:rPr>
              <w:t>(2024年度)</w:t>
            </w:r>
          </w:p>
        </w:tc>
      </w:tr>
      <w:tr w14:paraId="31D4A7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37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7F6214">
            <w:pPr>
              <w:jc w:val="center"/>
            </w:pPr>
            <w:r>
              <w:rPr>
                <w:rFonts w:ascii="宋体" w:hAnsi="宋体" w:eastAsia="宋体"/>
                <w:sz w:val="16"/>
              </w:rPr>
              <w:t>住房公积金管理业务能力提升专项项目</w:t>
            </w:r>
          </w:p>
        </w:tc>
      </w:tr>
      <w:tr w14:paraId="5B235B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2B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4E3FD1">
            <w:pPr>
              <w:jc w:val="center"/>
            </w:pPr>
            <w:r>
              <w:rPr>
                <w:rFonts w:ascii="宋体" w:hAnsi="宋体" w:eastAsia="宋体"/>
                <w:sz w:val="16"/>
              </w:rPr>
              <w:t>新疆维吾尔自治区喀什地区住房公积金管理中心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FD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237D8">
            <w:pPr>
              <w:jc w:val="center"/>
            </w:pPr>
            <w:r>
              <w:rPr>
                <w:rFonts w:ascii="宋体" w:hAnsi="宋体" w:eastAsia="宋体"/>
                <w:sz w:val="16"/>
              </w:rPr>
              <w:t>新疆维吾尔自治区喀什地区住房公积金管理中心</w:t>
            </w:r>
          </w:p>
        </w:tc>
      </w:tr>
      <w:tr w14:paraId="1FFCA8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BD3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F16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CC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74F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B3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DDC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FC6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312E">
            <w:pPr>
              <w:jc w:val="center"/>
            </w:pPr>
            <w:r>
              <w:rPr>
                <w:rFonts w:ascii="宋体" w:hAnsi="宋体" w:eastAsia="宋体"/>
                <w:sz w:val="16"/>
              </w:rPr>
              <w:t>得分</w:t>
            </w:r>
          </w:p>
        </w:tc>
      </w:tr>
      <w:tr w14:paraId="22084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26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79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F3BAB">
            <w:pPr>
              <w:jc w:val="center"/>
            </w:pPr>
            <w:r>
              <w:rPr>
                <w:rFonts w:ascii="宋体" w:hAnsi="宋体" w:eastAsia="宋体"/>
                <w:sz w:val="16"/>
              </w:rPr>
              <w:t>534.29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3E43">
            <w:pPr>
              <w:jc w:val="center"/>
            </w:pPr>
            <w:r>
              <w:rPr>
                <w:rFonts w:ascii="宋体" w:hAnsi="宋体" w:eastAsia="宋体"/>
                <w:sz w:val="16"/>
              </w:rPr>
              <w:t>534.29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7C27E">
            <w:pPr>
              <w:jc w:val="center"/>
            </w:pPr>
            <w:r>
              <w:rPr>
                <w:rFonts w:ascii="宋体" w:hAnsi="宋体" w:eastAsia="宋体"/>
                <w:sz w:val="16"/>
              </w:rPr>
              <w:t>533.64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2AD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470F">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F553">
            <w:pPr>
              <w:jc w:val="center"/>
            </w:pPr>
            <w:r>
              <w:rPr>
                <w:rFonts w:ascii="宋体" w:hAnsi="宋体" w:eastAsia="宋体"/>
                <w:sz w:val="16"/>
              </w:rPr>
              <w:t>10.00分</w:t>
            </w:r>
          </w:p>
        </w:tc>
      </w:tr>
      <w:tr w14:paraId="6E167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5A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2C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A09D7">
            <w:pPr>
              <w:jc w:val="center"/>
            </w:pPr>
            <w:r>
              <w:rPr>
                <w:rFonts w:ascii="宋体" w:hAnsi="宋体" w:eastAsia="宋体"/>
                <w:sz w:val="16"/>
              </w:rPr>
              <w:t>534.29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6242">
            <w:pPr>
              <w:jc w:val="center"/>
            </w:pPr>
            <w:r>
              <w:rPr>
                <w:rFonts w:ascii="宋体" w:hAnsi="宋体" w:eastAsia="宋体"/>
                <w:sz w:val="16"/>
              </w:rPr>
              <w:t>534.29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CCFB">
            <w:pPr>
              <w:jc w:val="center"/>
            </w:pPr>
            <w:r>
              <w:rPr>
                <w:rFonts w:ascii="宋体" w:hAnsi="宋体" w:eastAsia="宋体"/>
                <w:sz w:val="16"/>
              </w:rPr>
              <w:t>533.64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0CD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851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EE49">
            <w:pPr>
              <w:jc w:val="center"/>
            </w:pPr>
            <w:r>
              <w:rPr>
                <w:rFonts w:ascii="宋体" w:hAnsi="宋体" w:eastAsia="宋体"/>
                <w:sz w:val="16"/>
              </w:rPr>
              <w:t>—</w:t>
            </w:r>
          </w:p>
        </w:tc>
      </w:tr>
      <w:tr w14:paraId="66A41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C60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E9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784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70F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F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E5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74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D2AE">
            <w:pPr>
              <w:jc w:val="center"/>
            </w:pPr>
            <w:r>
              <w:rPr>
                <w:rFonts w:ascii="宋体" w:hAnsi="宋体" w:eastAsia="宋体"/>
                <w:sz w:val="16"/>
              </w:rPr>
              <w:t>—</w:t>
            </w:r>
          </w:p>
        </w:tc>
      </w:tr>
      <w:tr w14:paraId="60442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FF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EB6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A5B786">
            <w:pPr>
              <w:jc w:val="center"/>
            </w:pPr>
            <w:r>
              <w:rPr>
                <w:rFonts w:ascii="宋体" w:hAnsi="宋体" w:eastAsia="宋体"/>
                <w:sz w:val="16"/>
              </w:rPr>
              <w:t>实际完成情况</w:t>
            </w:r>
          </w:p>
        </w:tc>
      </w:tr>
      <w:tr w14:paraId="66EB9E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33A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5B90B">
            <w:pPr>
              <w:jc w:val="both"/>
            </w:pPr>
            <w:r>
              <w:rPr>
                <w:rFonts w:ascii="宋体" w:hAnsi="宋体" w:eastAsia="宋体"/>
                <w:sz w:val="16"/>
              </w:rPr>
              <w:t>本项目2024年预计投入534.29万元。根据自治区住建厅总体规划部署《关于印发&lt;自治区进一步贯彻落实住房公积金基础数据标准的实施方案&gt;等四个文件的通知》(新建金</w:t>
            </w:r>
            <w:r>
              <w:rPr>
                <w:rFonts w:hint="eastAsia" w:ascii="宋体" w:hAnsi="宋体"/>
                <w:sz w:val="16"/>
                <w:lang w:eastAsia="zh-CN"/>
              </w:rPr>
              <w:t>〔2017〕1号</w:t>
            </w:r>
            <w:r>
              <w:rPr>
                <w:rFonts w:ascii="宋体" w:hAnsi="宋体" w:eastAsia="宋体"/>
                <w:sz w:val="16"/>
              </w:rPr>
              <w:t>)，缴纳信息系统综合服务项目9项业务费，具体包括：公积金业务管理云平台服务、公积金综合服务平台服务、公积金华为云服务、公积金“12329”服务热线服务、公积金服务平台短信服务、自治区电信、联通业务专线服务、12个县市业务专线服务、中心软、硬件设备系统维保费，公积金系统电子签章服务费；年预计承办公积金业务工作数量8.5万笔，年赴县督导检查调研工作次数至少2-4次，聘请律师1人，办公场所租赁场所面积80平方米；利用大数据、互联网、云计算技术，建立一个符合住建部“双贯标”和综合服务平台建设要求的全疆统一、疆内“四通”、</w:t>
            </w:r>
            <w:r>
              <w:rPr>
                <w:rFonts w:hint="eastAsia" w:ascii="宋体" w:hAnsi="宋体"/>
                <w:sz w:val="16"/>
                <w:lang w:eastAsia="zh-CN"/>
              </w:rPr>
              <w:t>“跨省通办”</w:t>
            </w:r>
            <w:r>
              <w:rPr>
                <w:rFonts w:ascii="宋体" w:hAnsi="宋体" w:eastAsia="宋体"/>
                <w:sz w:val="16"/>
              </w:rPr>
              <w:t>的住房公积金综合服务、管理及监管应用云平台，做到 “让信息快跑路、让职工少跑腿”，提升住房公积金服务水平，降低资金风险，满足缴存单位和缴存职工方便办事需求的重大举措，实现资金管理效能和服务效率双提升。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E3714">
            <w:pPr>
              <w:jc w:val="both"/>
            </w:pPr>
            <w:r>
              <w:rPr>
                <w:rFonts w:ascii="宋体" w:hAnsi="宋体" w:eastAsia="宋体"/>
                <w:sz w:val="16"/>
              </w:rPr>
              <w:t>该项目总资金534.29万元，2024年全年完成支付533.64万元，项目于2024年12月全部完工。确保了公积金信息系统的高效安全，维护信息系统9个，完成全年业务处理30.21万笔，赴县督导检查调研工作次数5次，聘请律师1人，机关服务年限签订合同3年，办公场所租赁场所面积200平方米,编制内控手册1套，档案数字化加工1套；保障办公大厅正常运转，大大提高了缴存单位和职工的办事效率和便捷性，达到国家和自治区信息化的统一建设和服务标准，保障各缴存单位及职工的服务质量，不断提升工作和服务满意率。全面落实公积金服务“跨省通办”、“全疆通办”和“亮码可办”，利用大数据、互联网、云计算技术，建立一个符合住建部“双贯标”和综合服务平台建设要求的全疆统一、疆内“四通”、</w:t>
            </w:r>
            <w:r>
              <w:rPr>
                <w:rFonts w:hint="eastAsia" w:ascii="宋体" w:hAnsi="宋体"/>
                <w:sz w:val="16"/>
                <w:lang w:eastAsia="zh-CN"/>
              </w:rPr>
              <w:t>“跨省通办”</w:t>
            </w:r>
            <w:r>
              <w:rPr>
                <w:rFonts w:ascii="宋体" w:hAnsi="宋体" w:eastAsia="宋体"/>
                <w:sz w:val="16"/>
              </w:rPr>
              <w:t>的住房公积金综合服务、管理及监管应用云平台，做到 “让信息快跑路、让职工少跑腿”，提升住房公积金服务水平，降低资金风险，满足了缴存单位和缴存职工方便办事需求，实现资金管理效能和服务效率双提升。</w:t>
            </w:r>
            <w:r>
              <w:rPr>
                <w:rFonts w:hint="eastAsia" w:ascii="宋体" w:hAnsi="宋体"/>
                <w:sz w:val="16"/>
                <w:lang w:eastAsia="zh-CN"/>
              </w:rPr>
              <w:t>增强</w:t>
            </w:r>
            <w:r>
              <w:rPr>
                <w:rFonts w:ascii="宋体" w:hAnsi="宋体" w:eastAsia="宋体"/>
                <w:sz w:val="16"/>
              </w:rPr>
              <w:t>法律意识，减少法律纠纷，进一步完善中心制定的业务操作规程。</w:t>
            </w:r>
          </w:p>
        </w:tc>
      </w:tr>
      <w:tr w14:paraId="2E9FC6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004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DE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24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0A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A8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35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D3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9E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06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60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3B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51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4EA6">
            <w:pPr>
              <w:jc w:val="center"/>
            </w:pPr>
            <w:r>
              <w:rPr>
                <w:rFonts w:ascii="宋体" w:hAnsi="宋体" w:eastAsia="宋体"/>
                <w:sz w:val="16"/>
              </w:rPr>
              <w:t>偏差原因分析及改进措施</w:t>
            </w:r>
          </w:p>
        </w:tc>
      </w:tr>
      <w:tr w14:paraId="59630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D4B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720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5A1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F261">
            <w:pPr>
              <w:jc w:val="center"/>
            </w:pPr>
            <w:r>
              <w:rPr>
                <w:rFonts w:ascii="宋体" w:hAnsi="宋体" w:eastAsia="宋体"/>
                <w:sz w:val="16"/>
              </w:rPr>
              <w:t>维护系统数量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3FBF">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AF8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60B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56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5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1A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EEAE">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249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16211">
            <w:pPr>
              <w:jc w:val="center"/>
            </w:pPr>
          </w:p>
        </w:tc>
      </w:tr>
      <w:tr w14:paraId="4C608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6B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AE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3A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6495">
            <w:pPr>
              <w:jc w:val="center"/>
            </w:pPr>
            <w:r>
              <w:rPr>
                <w:rFonts w:ascii="宋体" w:hAnsi="宋体" w:eastAsia="宋体"/>
                <w:sz w:val="16"/>
              </w:rPr>
              <w:t>年承办公积金业务数量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D7AF7">
            <w:pPr>
              <w:jc w:val="center"/>
            </w:pPr>
            <w:r>
              <w:rPr>
                <w:rFonts w:ascii="宋体" w:hAnsi="宋体" w:eastAsia="宋体"/>
                <w:sz w:val="16"/>
              </w:rPr>
              <w:t>&gt;=30万笔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64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212D">
            <w:pPr>
              <w:jc w:val="center"/>
            </w:pPr>
            <w:r>
              <w:rPr>
                <w:rFonts w:ascii="宋体" w:hAnsi="宋体" w:eastAsia="宋体"/>
                <w:sz w:val="16"/>
              </w:rPr>
              <w:t>8.5万笔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A83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00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3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3D68">
            <w:pPr>
              <w:jc w:val="center"/>
            </w:pPr>
            <w:r>
              <w:rPr>
                <w:rFonts w:ascii="宋体" w:hAnsi="宋体" w:eastAsia="宋体"/>
                <w:sz w:val="16"/>
              </w:rPr>
              <w:t>=30.21万笔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B5A1">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C60E">
            <w:pPr>
              <w:jc w:val="center"/>
            </w:pPr>
          </w:p>
        </w:tc>
      </w:tr>
      <w:tr w14:paraId="1047F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2C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14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B6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8EF62">
            <w:pPr>
              <w:jc w:val="center"/>
            </w:pPr>
            <w:r>
              <w:rPr>
                <w:rFonts w:ascii="宋体" w:hAnsi="宋体" w:eastAsia="宋体"/>
                <w:sz w:val="16"/>
              </w:rPr>
              <w:t>全年督导检查调研工作次数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A7BB">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62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A7F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E2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7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716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099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B1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68D32">
            <w:pPr>
              <w:jc w:val="center"/>
            </w:pPr>
          </w:p>
        </w:tc>
      </w:tr>
      <w:tr w14:paraId="58AE6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89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25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E7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3DF5">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6138">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68D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997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37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0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5B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0BB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662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005DA">
            <w:pPr>
              <w:jc w:val="center"/>
            </w:pPr>
          </w:p>
        </w:tc>
      </w:tr>
      <w:tr w14:paraId="40DD7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0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43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73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38F6">
            <w:pPr>
              <w:jc w:val="center"/>
            </w:pPr>
            <w:r>
              <w:rPr>
                <w:rFonts w:ascii="宋体" w:hAnsi="宋体" w:eastAsia="宋体"/>
                <w:sz w:val="16"/>
              </w:rPr>
              <w:t>机关物业服务年限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BA7E">
            <w:pPr>
              <w:jc w:val="center"/>
            </w:pPr>
            <w:r>
              <w:rPr>
                <w:rFonts w:ascii="宋体" w:hAnsi="宋体" w:eastAsia="宋体"/>
                <w:sz w:val="16"/>
              </w:rPr>
              <w:t>&gt;=2年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BD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5686">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03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0A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3B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DF74">
            <w:pPr>
              <w:jc w:val="center"/>
            </w:pPr>
            <w:r>
              <w:rPr>
                <w:rFonts w:ascii="宋体" w:hAnsi="宋体" w:eastAsia="宋体"/>
                <w:sz w:val="16"/>
              </w:rPr>
              <w:t>=3年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ACE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3E04">
            <w:pPr>
              <w:jc w:val="center"/>
            </w:pPr>
            <w:r>
              <w:rPr>
                <w:rFonts w:ascii="宋体" w:hAnsi="宋体" w:eastAsia="宋体"/>
                <w:sz w:val="16"/>
              </w:rPr>
              <w:t>偏差原因：根据往年物业服务合同签订期限设置目标表，今年重新签订合同期限为3年；改进措施：今后项目以此为历史数据，提高预算编制科学。</w:t>
            </w:r>
          </w:p>
        </w:tc>
      </w:tr>
      <w:tr w14:paraId="777C6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10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6E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84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993F">
            <w:pPr>
              <w:jc w:val="center"/>
            </w:pPr>
            <w:r>
              <w:rPr>
                <w:rFonts w:ascii="宋体" w:hAnsi="宋体" w:eastAsia="宋体"/>
                <w:sz w:val="16"/>
              </w:rPr>
              <w:t>房屋租赁面积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BA93">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71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35A5">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BD7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E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6B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5EAC">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A8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AFBE">
            <w:pPr>
              <w:jc w:val="center"/>
            </w:pPr>
          </w:p>
        </w:tc>
      </w:tr>
      <w:tr w14:paraId="52941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3E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72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E3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8F11">
            <w:pPr>
              <w:jc w:val="center"/>
            </w:pPr>
            <w:r>
              <w:rPr>
                <w:rFonts w:ascii="宋体" w:hAnsi="宋体" w:eastAsia="宋体"/>
                <w:sz w:val="16"/>
              </w:rPr>
              <w:t>编制内控手册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6F62">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6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E0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8BB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A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7D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467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E1B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0278">
            <w:pPr>
              <w:jc w:val="center"/>
            </w:pPr>
          </w:p>
        </w:tc>
      </w:tr>
      <w:tr w14:paraId="5ED45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02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EE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963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2348">
            <w:pPr>
              <w:jc w:val="center"/>
            </w:pPr>
            <w:r>
              <w:rPr>
                <w:rFonts w:ascii="宋体" w:hAnsi="宋体" w:eastAsia="宋体"/>
                <w:sz w:val="16"/>
              </w:rPr>
              <w:t>档案数字化加工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B80D">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4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41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E1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A3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9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0A2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617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BF73E">
            <w:pPr>
              <w:jc w:val="center"/>
            </w:pPr>
          </w:p>
        </w:tc>
      </w:tr>
      <w:tr w14:paraId="43F0B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FC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6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2E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112F">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85A2">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2F2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89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3F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4A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4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F33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C3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CB89B">
            <w:pPr>
              <w:jc w:val="center"/>
            </w:pPr>
          </w:p>
        </w:tc>
      </w:tr>
      <w:tr w14:paraId="3B926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07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F2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903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C776">
            <w:pPr>
              <w:jc w:val="center"/>
            </w:pPr>
            <w:r>
              <w:rPr>
                <w:rFonts w:ascii="宋体" w:hAnsi="宋体" w:eastAsia="宋体"/>
                <w:sz w:val="16"/>
              </w:rPr>
              <w:t>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3B14">
            <w:pPr>
              <w:jc w:val="center"/>
            </w:pPr>
            <w:r>
              <w:rPr>
                <w:rFonts w:ascii="宋体" w:hAnsi="宋体" w:eastAsia="宋体"/>
                <w:sz w:val="16"/>
              </w:rPr>
              <w:t>&lt;=12小时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82E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11AD">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FC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8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4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B00E">
            <w:pPr>
              <w:jc w:val="center"/>
            </w:pPr>
            <w:r>
              <w:rPr>
                <w:rFonts w:ascii="宋体" w:hAnsi="宋体" w:eastAsia="宋体"/>
                <w:sz w:val="16"/>
              </w:rPr>
              <w:t>=12小时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DD3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8CA28">
            <w:pPr>
              <w:jc w:val="center"/>
            </w:pPr>
          </w:p>
        </w:tc>
      </w:tr>
      <w:tr w14:paraId="0A430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F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BE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8D6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BFF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55EE">
            <w:pPr>
              <w:jc w:val="center"/>
            </w:pPr>
            <w:r>
              <w:rPr>
                <w:rFonts w:ascii="宋体" w:hAnsi="宋体" w:eastAsia="宋体"/>
                <w:sz w:val="16"/>
              </w:rPr>
              <w:t>=2024</w:t>
            </w:r>
            <w:r>
              <w:rPr>
                <w:rFonts w:hint="eastAsia" w:ascii="宋体" w:hAnsi="宋体"/>
                <w:sz w:val="16"/>
                <w:lang w:val="en-US" w:eastAsia="zh-CN"/>
              </w:rPr>
              <w:t>年</w:t>
            </w:r>
            <w:r>
              <w:rPr>
                <w:rFonts w:ascii="宋体" w:hAnsi="宋体" w:eastAsia="宋体"/>
                <w:sz w:val="16"/>
              </w:rPr>
              <w:t>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6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FF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4F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C2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20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9D6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341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684CE">
            <w:pPr>
              <w:jc w:val="center"/>
            </w:pPr>
          </w:p>
        </w:tc>
      </w:tr>
      <w:tr w14:paraId="5489E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9E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2BE3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792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2E58">
            <w:pPr>
              <w:jc w:val="center"/>
            </w:pPr>
            <w:r>
              <w:rPr>
                <w:rFonts w:ascii="宋体" w:hAnsi="宋体" w:eastAsia="宋体"/>
                <w:sz w:val="16"/>
              </w:rPr>
              <w:t>系统综合服务费用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E0DF">
            <w:pPr>
              <w:jc w:val="center"/>
            </w:pPr>
            <w:r>
              <w:rPr>
                <w:rFonts w:ascii="宋体" w:hAnsi="宋体" w:eastAsia="宋体"/>
                <w:sz w:val="16"/>
              </w:rPr>
              <w:t>&lt;=467.70万元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68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62F1">
            <w:pPr>
              <w:jc w:val="center"/>
            </w:pPr>
            <w:r>
              <w:rPr>
                <w:rFonts w:ascii="宋体" w:hAnsi="宋体" w:eastAsia="宋体"/>
                <w:sz w:val="16"/>
              </w:rPr>
              <w:t>402.32万元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732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3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9C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FCF5">
            <w:pPr>
              <w:jc w:val="center"/>
            </w:pPr>
            <w:r>
              <w:rPr>
                <w:rFonts w:ascii="宋体" w:hAnsi="宋体" w:eastAsia="宋体"/>
                <w:sz w:val="16"/>
              </w:rPr>
              <w:t>=467.7万元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6BDB">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7E85A">
            <w:pPr>
              <w:jc w:val="center"/>
            </w:pPr>
          </w:p>
        </w:tc>
      </w:tr>
      <w:tr w14:paraId="06FE8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75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D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04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9E72">
            <w:pPr>
              <w:jc w:val="center"/>
            </w:pPr>
            <w:r>
              <w:rPr>
                <w:rFonts w:ascii="宋体" w:hAnsi="宋体" w:eastAsia="宋体"/>
                <w:sz w:val="16"/>
              </w:rPr>
              <w:t>督导检查调研交流费用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179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8B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E9F8">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0AE9">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D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6B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2CD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DB8E">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43A61">
            <w:pPr>
              <w:jc w:val="center"/>
            </w:pPr>
          </w:p>
        </w:tc>
      </w:tr>
      <w:tr w14:paraId="1A998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4F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08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60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4C20">
            <w:pPr>
              <w:jc w:val="center"/>
            </w:pPr>
            <w:r>
              <w:rPr>
                <w:rFonts w:ascii="宋体" w:hAnsi="宋体" w:eastAsia="宋体"/>
                <w:sz w:val="16"/>
              </w:rPr>
              <w:t>法律顾问费用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1EA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10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6E5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C978">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9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3F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D876">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EAFF">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283A">
            <w:pPr>
              <w:jc w:val="center"/>
            </w:pPr>
          </w:p>
        </w:tc>
      </w:tr>
      <w:tr w14:paraId="1F364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42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C8E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46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4E47">
            <w:pPr>
              <w:jc w:val="center"/>
            </w:pPr>
            <w:r>
              <w:rPr>
                <w:rFonts w:ascii="宋体" w:hAnsi="宋体" w:eastAsia="宋体"/>
                <w:sz w:val="16"/>
              </w:rPr>
              <w:t>办公场所物业服务费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67EB">
            <w:pPr>
              <w:jc w:val="center"/>
            </w:pPr>
            <w:r>
              <w:rPr>
                <w:rFonts w:ascii="宋体" w:hAnsi="宋体" w:eastAsia="宋体"/>
                <w:sz w:val="16"/>
              </w:rPr>
              <w:t>&lt;=7.94万元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F2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CD0C">
            <w:pPr>
              <w:jc w:val="center"/>
            </w:pPr>
            <w:r>
              <w:rPr>
                <w:rFonts w:ascii="宋体" w:hAnsi="宋体" w:eastAsia="宋体"/>
                <w:sz w:val="16"/>
              </w:rPr>
              <w:t>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2AC9">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F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1C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1732">
            <w:pPr>
              <w:jc w:val="center"/>
            </w:pPr>
            <w:r>
              <w:rPr>
                <w:rFonts w:ascii="宋体" w:hAnsi="宋体" w:eastAsia="宋体"/>
                <w:sz w:val="16"/>
              </w:rPr>
              <w:t>=7.94万元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5E07">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395D">
            <w:pPr>
              <w:jc w:val="center"/>
            </w:pPr>
          </w:p>
        </w:tc>
      </w:tr>
      <w:tr w14:paraId="3ADAB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BA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B6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4D1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8028">
            <w:pPr>
              <w:jc w:val="center"/>
            </w:pPr>
            <w:r>
              <w:rPr>
                <w:rFonts w:ascii="宋体" w:hAnsi="宋体" w:eastAsia="宋体"/>
                <w:sz w:val="16"/>
              </w:rPr>
              <w:t>办公场所租赁费用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52D0">
            <w:pPr>
              <w:jc w:val="center"/>
            </w:pPr>
            <w:r>
              <w:rPr>
                <w:rFonts w:ascii="宋体" w:hAnsi="宋体" w:eastAsia="宋体"/>
                <w:sz w:val="16"/>
              </w:rPr>
              <w:t>&lt;=11.20万元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58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E6A7">
            <w:pPr>
              <w:jc w:val="center"/>
            </w:pPr>
            <w:r>
              <w:rPr>
                <w:rFonts w:ascii="宋体" w:hAnsi="宋体" w:eastAsia="宋体"/>
                <w:sz w:val="16"/>
              </w:rPr>
              <w:t>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D1B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7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4D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AB7C">
            <w:pPr>
              <w:jc w:val="center"/>
            </w:pPr>
            <w:r>
              <w:rPr>
                <w:rFonts w:ascii="宋体" w:hAnsi="宋体" w:eastAsia="宋体"/>
                <w:sz w:val="16"/>
              </w:rPr>
              <w:t>=10.65万元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3B71">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947D">
            <w:pPr>
              <w:jc w:val="center"/>
            </w:pPr>
            <w:r>
              <w:rPr>
                <w:rFonts w:ascii="宋体" w:hAnsi="宋体" w:eastAsia="宋体"/>
                <w:sz w:val="16"/>
              </w:rPr>
              <w:t>偏差原因：麦盖提管理部房屋已停止租赁，租赁费结余0.5万元；改进措施：今后项目以此为历史数据，提高预算编制科学。</w:t>
            </w:r>
          </w:p>
        </w:tc>
      </w:tr>
      <w:tr w14:paraId="11321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C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29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BB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F48E">
            <w:pPr>
              <w:jc w:val="center"/>
            </w:pPr>
            <w:r>
              <w:rPr>
                <w:rFonts w:ascii="宋体" w:hAnsi="宋体" w:eastAsia="宋体"/>
                <w:sz w:val="16"/>
              </w:rPr>
              <w:t>编制内控手册费用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BC5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CD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516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1E5C">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8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6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D9F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A07BF">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14442">
            <w:pPr>
              <w:jc w:val="center"/>
            </w:pPr>
          </w:p>
        </w:tc>
      </w:tr>
      <w:tr w14:paraId="67780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0C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68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A67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F05A">
            <w:pPr>
              <w:jc w:val="center"/>
            </w:pPr>
            <w:r>
              <w:rPr>
                <w:rFonts w:ascii="宋体" w:hAnsi="宋体" w:eastAsia="宋体"/>
                <w:sz w:val="16"/>
              </w:rPr>
              <w:t>档案数字化加工费用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FCB3">
            <w:pPr>
              <w:jc w:val="center"/>
            </w:pPr>
            <w:r>
              <w:rPr>
                <w:rFonts w:ascii="宋体" w:hAnsi="宋体" w:eastAsia="宋体"/>
                <w:sz w:val="16"/>
              </w:rPr>
              <w:t>&lt;=10.45万元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A8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1D57">
            <w:pPr>
              <w:jc w:val="center"/>
            </w:pPr>
            <w:r>
              <w:rPr>
                <w:rFonts w:ascii="宋体" w:hAnsi="宋体" w:eastAsia="宋体"/>
                <w:sz w:val="16"/>
              </w:rPr>
              <w:t>10.45万元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E655">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6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AD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485F">
            <w:pPr>
              <w:jc w:val="center"/>
            </w:pPr>
            <w:r>
              <w:rPr>
                <w:rFonts w:ascii="宋体" w:hAnsi="宋体" w:eastAsia="宋体"/>
                <w:sz w:val="16"/>
              </w:rPr>
              <w:t>=10.35万元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4F0A">
            <w:pPr>
              <w:jc w:val="center"/>
            </w:pPr>
            <w:r>
              <w:rPr>
                <w:rFonts w:ascii="宋体" w:hAnsi="宋体" w:eastAsia="宋体"/>
                <w:sz w:val="16"/>
              </w:rPr>
              <w:t>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3E778">
            <w:pPr>
              <w:jc w:val="center"/>
            </w:pPr>
            <w:r>
              <w:rPr>
                <w:rFonts w:ascii="宋体" w:hAnsi="宋体" w:eastAsia="宋体"/>
                <w:sz w:val="16"/>
              </w:rPr>
              <w:t>偏差原因：根据项目实际开展情况进行付款；改进措施：今后项目以此为历史数据，提高预算编制科学。</w:t>
            </w:r>
          </w:p>
        </w:tc>
      </w:tr>
      <w:tr w14:paraId="73F08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06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6C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40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728C">
            <w:pPr>
              <w:jc w:val="center"/>
            </w:pPr>
            <w:r>
              <w:rPr>
                <w:rFonts w:ascii="宋体" w:hAnsi="宋体" w:eastAsia="宋体"/>
                <w:sz w:val="16"/>
              </w:rPr>
              <w:t>公积金业务工作费用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554F">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09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687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A15B">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4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72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9DC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BEC9">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3F9A1">
            <w:pPr>
              <w:jc w:val="center"/>
            </w:pPr>
          </w:p>
        </w:tc>
      </w:tr>
      <w:tr w14:paraId="7E33F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A3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20F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9E7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44BB">
            <w:pPr>
              <w:jc w:val="center"/>
            </w:pPr>
            <w:r>
              <w:rPr>
                <w:rFonts w:ascii="宋体" w:hAnsi="宋体" w:eastAsia="宋体"/>
                <w:sz w:val="16"/>
              </w:rPr>
              <w:t>提升住房公积金服务水平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8B4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16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5DD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6C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F7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6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143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D60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CAB91">
            <w:pPr>
              <w:jc w:val="center"/>
            </w:pPr>
          </w:p>
        </w:tc>
      </w:tr>
      <w:tr w14:paraId="14658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FD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BA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B6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7CF0">
            <w:pPr>
              <w:jc w:val="center"/>
            </w:pPr>
            <w:r>
              <w:rPr>
                <w:rFonts w:ascii="宋体" w:hAnsi="宋体" w:eastAsia="宋体"/>
                <w:sz w:val="16"/>
              </w:rPr>
              <w:t>办事群众满意度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1C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54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9709">
            <w:pPr>
              <w:jc w:val="center"/>
            </w:pPr>
            <w:r>
              <w:rPr>
                <w:rFonts w:ascii="宋体" w:hAnsi="宋体" w:eastAsia="宋体"/>
                <w:sz w:val="16"/>
              </w:rPr>
              <w:t>95.05%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3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43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D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2B96">
            <w:pPr>
              <w:jc w:val="center"/>
            </w:pPr>
            <w:r>
              <w:rPr>
                <w:rFonts w:ascii="宋体" w:hAnsi="宋体" w:eastAsia="宋体"/>
                <w:sz w:val="16"/>
              </w:rPr>
              <w:t>=95.05%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A5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9D2EB">
            <w:pPr>
              <w:jc w:val="center"/>
            </w:pPr>
            <w:r>
              <w:rPr>
                <w:rFonts w:ascii="宋体" w:hAnsi="宋体" w:eastAsia="宋体"/>
                <w:sz w:val="16"/>
              </w:rPr>
              <w:t>偏差原因：项目实施完成情况很好，办事群众满意度较高；改进措施：今后项目以此为历史数据，提高预算编制科学。</w:t>
            </w:r>
          </w:p>
        </w:tc>
      </w:tr>
      <w:tr w14:paraId="14E2DB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1BC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C2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6F4C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C977">
            <w:pPr>
              <w:jc w:val="center"/>
            </w:pPr>
            <w:r>
              <w:rPr>
                <w:rFonts w:ascii="宋体" w:hAnsi="宋体" w:eastAsia="宋体"/>
                <w:sz w:val="16"/>
              </w:rPr>
              <w:t>97.6分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AE3E72"/>
        </w:tc>
      </w:tr>
    </w:tbl>
    <w:p w14:paraId="4F498079">
      <w:r>
        <w:br w:type="page"/>
      </w:r>
    </w:p>
    <w:p w14:paraId="76B04299">
      <w:pPr>
        <w:spacing w:line="640" w:lineRule="exact"/>
        <w:ind w:firstLine="640"/>
        <w:jc w:val="both"/>
        <w:outlineLvl w:val="2"/>
      </w:pPr>
      <w:r>
        <w:rPr>
          <w:rFonts w:ascii="黑体" w:hAnsi="黑体" w:eastAsia="黑体"/>
          <w:sz w:val="32"/>
        </w:rPr>
        <w:t>十二、其他需说明的事项</w:t>
      </w:r>
    </w:p>
    <w:p w14:paraId="7891DF69">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项目1个，全年预算数7万元，全年执行数7万元。</w:t>
      </w:r>
      <w:bookmarkStart w:id="0" w:name="_GoBack"/>
      <w:bookmarkEnd w:id="0"/>
    </w:p>
    <w:p w14:paraId="546FD987">
      <w:r>
        <w:br w:type="page"/>
      </w:r>
    </w:p>
    <w:p w14:paraId="1E9AF21F">
      <w:pPr>
        <w:spacing w:line="240" w:lineRule="auto"/>
        <w:jc w:val="center"/>
        <w:outlineLvl w:val="1"/>
      </w:pPr>
      <w:r>
        <w:rPr>
          <w:rFonts w:ascii="黑体" w:hAnsi="黑体" w:eastAsia="黑体"/>
          <w:sz w:val="32"/>
        </w:rPr>
        <w:t>第三部分 专业名词解释</w:t>
      </w:r>
    </w:p>
    <w:p w14:paraId="541FAE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9AF7A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C2397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54676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9E6E9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C4E63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C0076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FA6D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F1DD6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3570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39F0C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0BB306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4831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303CF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C84856">
      <w:r>
        <w:br w:type="page"/>
      </w:r>
    </w:p>
    <w:p w14:paraId="1C39253D">
      <w:pPr>
        <w:spacing w:line="240" w:lineRule="auto"/>
        <w:jc w:val="center"/>
        <w:outlineLvl w:val="1"/>
      </w:pPr>
      <w:r>
        <w:rPr>
          <w:rFonts w:ascii="黑体" w:hAnsi="黑体" w:eastAsia="黑体"/>
          <w:sz w:val="32"/>
        </w:rPr>
        <w:t>第四部分 部门决算报表（见附表）</w:t>
      </w:r>
    </w:p>
    <w:p w14:paraId="67C1C556">
      <w:pPr>
        <w:spacing w:line="240" w:lineRule="auto"/>
        <w:ind w:firstLine="640"/>
        <w:jc w:val="both"/>
      </w:pPr>
      <w:r>
        <w:rPr>
          <w:rFonts w:ascii="仿宋_GB2312" w:hAnsi="仿宋_GB2312" w:eastAsia="仿宋_GB2312"/>
          <w:b w:val="0"/>
          <w:sz w:val="32"/>
        </w:rPr>
        <w:t>一、《收入支出决算总表》</w:t>
      </w:r>
    </w:p>
    <w:p w14:paraId="68C53A88">
      <w:pPr>
        <w:spacing w:line="240" w:lineRule="auto"/>
        <w:ind w:firstLine="640"/>
        <w:jc w:val="both"/>
      </w:pPr>
      <w:r>
        <w:rPr>
          <w:rFonts w:ascii="仿宋_GB2312" w:hAnsi="仿宋_GB2312" w:eastAsia="仿宋_GB2312"/>
          <w:b w:val="0"/>
          <w:sz w:val="32"/>
        </w:rPr>
        <w:t>二、《收入决算表》</w:t>
      </w:r>
    </w:p>
    <w:p w14:paraId="0E528657">
      <w:pPr>
        <w:spacing w:line="240" w:lineRule="auto"/>
        <w:ind w:firstLine="640"/>
        <w:jc w:val="both"/>
      </w:pPr>
      <w:r>
        <w:rPr>
          <w:rFonts w:ascii="仿宋_GB2312" w:hAnsi="仿宋_GB2312" w:eastAsia="仿宋_GB2312"/>
          <w:b w:val="0"/>
          <w:sz w:val="32"/>
        </w:rPr>
        <w:t>三、《支出决算表》</w:t>
      </w:r>
    </w:p>
    <w:p w14:paraId="59687579">
      <w:pPr>
        <w:spacing w:line="240" w:lineRule="auto"/>
        <w:ind w:firstLine="640"/>
        <w:jc w:val="both"/>
      </w:pPr>
      <w:r>
        <w:rPr>
          <w:rFonts w:ascii="仿宋_GB2312" w:hAnsi="仿宋_GB2312" w:eastAsia="仿宋_GB2312"/>
          <w:b w:val="0"/>
          <w:sz w:val="32"/>
        </w:rPr>
        <w:t>四、《财政拨款收入支出决算总表》</w:t>
      </w:r>
    </w:p>
    <w:p w14:paraId="6F844A5D">
      <w:pPr>
        <w:spacing w:line="240" w:lineRule="auto"/>
        <w:ind w:firstLine="640"/>
        <w:jc w:val="both"/>
      </w:pPr>
      <w:r>
        <w:rPr>
          <w:rFonts w:ascii="仿宋_GB2312" w:hAnsi="仿宋_GB2312" w:eastAsia="仿宋_GB2312"/>
          <w:b w:val="0"/>
          <w:sz w:val="32"/>
        </w:rPr>
        <w:t>五、《一般公共预算财政拨款支出决算表》</w:t>
      </w:r>
    </w:p>
    <w:p w14:paraId="5BF4B8BC">
      <w:pPr>
        <w:spacing w:line="240" w:lineRule="auto"/>
        <w:ind w:firstLine="640"/>
        <w:jc w:val="both"/>
      </w:pPr>
      <w:r>
        <w:rPr>
          <w:rFonts w:ascii="仿宋_GB2312" w:hAnsi="仿宋_GB2312" w:eastAsia="仿宋_GB2312"/>
          <w:b w:val="0"/>
          <w:sz w:val="32"/>
        </w:rPr>
        <w:t>六、《一般公共预算财政拨款基本支出决算表》</w:t>
      </w:r>
    </w:p>
    <w:p w14:paraId="534299D8">
      <w:pPr>
        <w:spacing w:line="240" w:lineRule="auto"/>
        <w:ind w:firstLine="640"/>
        <w:jc w:val="both"/>
      </w:pPr>
      <w:r>
        <w:rPr>
          <w:rFonts w:ascii="仿宋_GB2312" w:hAnsi="仿宋_GB2312" w:eastAsia="仿宋_GB2312"/>
          <w:b w:val="0"/>
          <w:sz w:val="32"/>
        </w:rPr>
        <w:t>七、《政府性基金预算财政拨款收入支出决算表》</w:t>
      </w:r>
    </w:p>
    <w:p w14:paraId="6E6467C0">
      <w:pPr>
        <w:spacing w:line="240" w:lineRule="auto"/>
        <w:ind w:firstLine="640"/>
        <w:jc w:val="both"/>
      </w:pPr>
      <w:r>
        <w:rPr>
          <w:rFonts w:ascii="仿宋_GB2312" w:hAnsi="仿宋_GB2312" w:eastAsia="仿宋_GB2312"/>
          <w:b w:val="0"/>
          <w:sz w:val="32"/>
        </w:rPr>
        <w:t>八、《国有资本经营预算财政拨款收入支出决算表》</w:t>
      </w:r>
    </w:p>
    <w:p w14:paraId="6CAF814E">
      <w:pPr>
        <w:spacing w:line="240" w:lineRule="auto"/>
        <w:ind w:firstLine="640"/>
        <w:jc w:val="both"/>
      </w:pPr>
      <w:r>
        <w:rPr>
          <w:rFonts w:ascii="仿宋_GB2312" w:hAnsi="仿宋_GB2312" w:eastAsia="仿宋_GB2312"/>
          <w:b w:val="0"/>
          <w:sz w:val="32"/>
        </w:rPr>
        <w:t>九、《财政拨款“三公”经费支出决算表》</w:t>
      </w:r>
    </w:p>
    <w:p w14:paraId="1A7418FB">
      <w:pPr>
        <w:spacing w:line="240" w:lineRule="auto"/>
        <w:ind w:firstLine="640"/>
        <w:jc w:val="both"/>
      </w:pPr>
    </w:p>
    <w:p w14:paraId="470E7D2D">
      <w:pPr>
        <w:spacing w:line="240" w:lineRule="auto"/>
        <w:ind w:firstLine="640"/>
        <w:jc w:val="both"/>
      </w:pPr>
    </w:p>
    <w:p w14:paraId="6D8FB413">
      <w:pPr>
        <w:spacing w:line="240" w:lineRule="auto"/>
        <w:ind w:firstLine="640"/>
        <w:jc w:val="both"/>
      </w:pPr>
    </w:p>
    <w:p w14:paraId="5537942A">
      <w:pPr>
        <w:spacing w:line="240" w:lineRule="auto"/>
        <w:ind w:firstLine="640"/>
        <w:jc w:val="both"/>
      </w:pPr>
    </w:p>
    <w:p w14:paraId="7E2F7DD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99E4F9-AB00-4D0D-B165-E783D4A1E4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6C2B0338-E136-4A4A-B287-F455B03F3BE0}"/>
  </w:font>
  <w:font w:name="方正小标宋_GBK">
    <w:panose1 w:val="02000000000000000000"/>
    <w:charset w:val="86"/>
    <w:family w:val="script"/>
    <w:pitch w:val="default"/>
    <w:sig w:usb0="A00002BF" w:usb1="38CF7CFA" w:usb2="00082016" w:usb3="00000000" w:csb0="00040001" w:csb1="00000000"/>
    <w:embedRegular r:id="rId3" w:fontKey="{9FABD6CA-0118-4D34-BD7B-A1F1A4DBD887}"/>
  </w:font>
  <w:font w:name="楷体_GB2312">
    <w:altName w:val="楷体"/>
    <w:panose1 w:val="02010609030101010101"/>
    <w:charset w:val="86"/>
    <w:family w:val="auto"/>
    <w:pitch w:val="default"/>
    <w:sig w:usb0="00000000" w:usb1="00000000" w:usb2="00000000" w:usb3="00000000" w:csb0="00040000" w:csb1="00000000"/>
    <w:embedRegular r:id="rId4" w:fontKey="{EA39501E-0AC5-4F56-9C17-28974BC1EDD6}"/>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5E5AD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A909B9"/>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E239F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7081</Words>
  <Characters>8091</Characters>
  <Lines>0</Lines>
  <Paragraphs>0</Paragraphs>
  <TotalTime>3</TotalTime>
  <ScaleCrop>false</ScaleCrop>
  <LinksUpToDate>false</LinksUpToDate>
  <CharactersWithSpaces>8101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