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新疆维吾尔自治区喀什地区粮食和物资储备局2024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184087">
      <w:r>
        <w:br w:type="page"/>
      </w:r>
    </w:p>
    <w:p w14:paraId="383DACB1">
      <w:pPr>
        <w:spacing w:line="640" w:lineRule="exact"/>
        <w:jc w:val="center"/>
        <w:outlineLvl w:val="1"/>
      </w:pPr>
      <w:r>
        <w:rPr>
          <w:rFonts w:ascii="黑体" w:hAnsi="黑体" w:eastAsia="黑体"/>
          <w:sz w:val="32"/>
        </w:rPr>
        <w:t>第一部分 部门概况</w:t>
      </w:r>
    </w:p>
    <w:p w14:paraId="42BCB250">
      <w:pPr>
        <w:spacing w:line="640" w:lineRule="exact"/>
        <w:ind w:firstLine="640"/>
        <w:jc w:val="both"/>
        <w:outlineLvl w:val="2"/>
      </w:pPr>
      <w:r>
        <w:rPr>
          <w:rFonts w:ascii="黑体" w:hAnsi="黑体" w:eastAsia="黑体"/>
          <w:sz w:val="32"/>
        </w:rPr>
        <w:t>一、主要职能</w:t>
      </w:r>
    </w:p>
    <w:p w14:paraId="07EC8A9B">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贯彻执行国家、自治区关于粮食和物资储备的方针政策和法律法规，拟定落实粮食流通、地方储备粮油和物资储备管理的办法、措施和方案。</w:t>
      </w:r>
    </w:p>
    <w:p w14:paraId="2D64651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出储备粮油和物资储备规划、储备品种目录的建议；负责编制粮油、棉花、食糖、食盐等重要商品储备、轮换和投放计划；组织实施地方储备粮油、棉花、食糖、食盐等物资储备、轮换和日常管理；承担救灾物资采购和储备管理工作，落实有关动用计划和指令。</w:t>
      </w:r>
    </w:p>
    <w:p w14:paraId="38769CF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地区地方储备粮油行政管理工作，指导和协调地方储备粮油管理，研究提出地方储备粮油总体布局和收购、销售、轮换计划建议。承担粮食检测预警和应急责任，承担粮食安全行政首长责任制考核的日常工作。承担粮食和物资储备系统军民融合工作。</w:t>
      </w:r>
    </w:p>
    <w:p w14:paraId="7A72402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组织实施国家粮食和物资储备仓储管理有关技术标准和规范，指导粮食流通和物资储备承储单位安全生产工作。</w:t>
      </w:r>
    </w:p>
    <w:p w14:paraId="319AEBF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根据粮食和物资储备总体发展规划，统一负责储备基础设施建设管理。拟定储备基础设施、粮食流通设施规划并组织实施，管理有关储备基础设施和粮食流通设施国家、自治区及地区投资项目。</w:t>
      </w:r>
    </w:p>
    <w:p w14:paraId="3AFC69A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负责对管理的政府储备、企业储备以及储备政策落实情况和粮食流通进行监督检查，负责粮食收购、储存、运输环节质量安全和原粮卫生的监督管理，组织实施粮食库存检查工作。</w:t>
      </w:r>
    </w:p>
    <w:p w14:paraId="38EEDF8B">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粮食流通行政管理、行业指导，起草粮食行业发展规划，组织实施国家粮食流通和物资储备有关标准、粮食质量标准和技术规范，会同有关部门执行并监督粮食流通和物资储备有关地方标准和技术规范。承担粮食流通的对外合作与交流。</w:t>
      </w:r>
    </w:p>
    <w:p w14:paraId="4D74B3BE">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完成地委、行署交办的其他任务。</w:t>
      </w:r>
    </w:p>
    <w:p w14:paraId="5E9A379A">
      <w:pPr>
        <w:spacing w:line="640" w:lineRule="exact"/>
        <w:ind w:firstLine="640"/>
        <w:jc w:val="both"/>
        <w:outlineLvl w:val="2"/>
      </w:pPr>
      <w:r>
        <w:rPr>
          <w:rFonts w:ascii="黑体" w:hAnsi="黑体" w:eastAsia="黑体"/>
          <w:sz w:val="32"/>
        </w:rPr>
        <w:t>二、机构设置及人员情况</w:t>
      </w:r>
    </w:p>
    <w:p w14:paraId="3DFAC570">
      <w:pPr>
        <w:spacing w:line="580" w:lineRule="exact"/>
        <w:ind w:firstLine="640"/>
        <w:jc w:val="both"/>
      </w:pPr>
      <w:r>
        <w:rPr>
          <w:rFonts w:ascii="仿宋_GB2312" w:hAnsi="仿宋_GB2312" w:eastAsia="仿宋_GB2312"/>
          <w:sz w:val="32"/>
        </w:rPr>
        <w:t>新疆维吾尔自治区喀什地区粮食和物资储备局2024年度，实有人数79人，其中：在职人员34人，减少1人；离休人员0人，增加0人；退休人员45人,增加0人。</w:t>
      </w:r>
    </w:p>
    <w:p w14:paraId="5DE20C69">
      <w:pPr>
        <w:spacing w:line="580" w:lineRule="exact"/>
        <w:ind w:firstLine="640"/>
        <w:jc w:val="both"/>
      </w:pPr>
      <w:r>
        <w:rPr>
          <w:rFonts w:ascii="仿宋_GB2312" w:hAnsi="仿宋_GB2312" w:eastAsia="仿宋_GB2312"/>
          <w:sz w:val="32"/>
        </w:rPr>
        <w:t>新疆维吾尔自治区喀什地区粮食和物资储备局无下属预算单位，下设9个科室，分别是：办公室、粮食和物资储备科、仓储与产业发展科、监督检查科、粮油批发市场管理中心、救灾物资储备中心、军粮采供管理中心、机关服务中心、新疆喀什国家粮食质量监测站。</w:t>
      </w:r>
    </w:p>
    <w:p w14:paraId="7B5FDAAD">
      <w:r>
        <w:br w:type="page"/>
      </w:r>
    </w:p>
    <w:p w14:paraId="7FD3E187">
      <w:pPr>
        <w:spacing w:line="240" w:lineRule="auto"/>
        <w:jc w:val="center"/>
        <w:outlineLvl w:val="1"/>
      </w:pPr>
      <w:r>
        <w:rPr>
          <w:rFonts w:ascii="黑体" w:hAnsi="黑体" w:eastAsia="黑体"/>
          <w:sz w:val="32"/>
        </w:rPr>
        <w:t>第二部分 部门决算情况说明</w:t>
      </w:r>
    </w:p>
    <w:p w14:paraId="717D6003">
      <w:pPr>
        <w:spacing w:line="640" w:lineRule="exact"/>
        <w:ind w:firstLine="640"/>
        <w:jc w:val="both"/>
        <w:outlineLvl w:val="2"/>
      </w:pPr>
      <w:r>
        <w:rPr>
          <w:rFonts w:ascii="黑体" w:hAnsi="黑体" w:eastAsia="黑体"/>
          <w:sz w:val="32"/>
        </w:rPr>
        <w:t>一、收入支出决算总体情况说明</w:t>
      </w:r>
    </w:p>
    <w:p w14:paraId="4FA0AFA5">
      <w:pPr>
        <w:spacing w:line="580" w:lineRule="exact"/>
        <w:ind w:firstLine="640"/>
        <w:jc w:val="both"/>
      </w:pPr>
      <w:r>
        <w:rPr>
          <w:rFonts w:ascii="仿宋_GB2312" w:hAnsi="仿宋_GB2312" w:eastAsia="仿宋_GB2312"/>
          <w:b/>
          <w:sz w:val="32"/>
        </w:rPr>
        <w:t>2024年度收入总计2,078.74万元，</w:t>
      </w:r>
      <w:r>
        <w:rPr>
          <w:rFonts w:ascii="仿宋_GB2312" w:hAnsi="仿宋_GB2312" w:eastAsia="仿宋_GB2312"/>
          <w:b w:val="0"/>
          <w:sz w:val="32"/>
        </w:rPr>
        <w:t>其中：本年收入合计2,078.74万元，使用非财政拨款结余（含专用结余）0.00万元，年初结转和结余0.00万元。</w:t>
      </w:r>
    </w:p>
    <w:p w14:paraId="319B99B4">
      <w:pPr>
        <w:spacing w:line="580" w:lineRule="exact"/>
        <w:ind w:firstLine="640"/>
        <w:jc w:val="both"/>
      </w:pPr>
      <w:r>
        <w:rPr>
          <w:rFonts w:ascii="仿宋_GB2312" w:hAnsi="仿宋_GB2312" w:eastAsia="仿宋_GB2312"/>
          <w:b/>
          <w:sz w:val="32"/>
        </w:rPr>
        <w:t>2024年度支出总计2,078.74万元，</w:t>
      </w:r>
      <w:r>
        <w:rPr>
          <w:rFonts w:ascii="仿宋_GB2312" w:hAnsi="仿宋_GB2312" w:eastAsia="仿宋_GB2312"/>
          <w:b w:val="0"/>
          <w:sz w:val="32"/>
        </w:rPr>
        <w:t>其中：本年支出合计2,078.74万元，结余分配0.00万元，年末结转和结余0.00万元。</w:t>
      </w:r>
    </w:p>
    <w:p w14:paraId="0933F274">
      <w:pPr>
        <w:spacing w:line="580" w:lineRule="exact"/>
        <w:ind w:firstLine="640"/>
        <w:jc w:val="both"/>
      </w:pPr>
      <w:r>
        <w:rPr>
          <w:rFonts w:ascii="仿宋_GB2312" w:hAnsi="仿宋_GB2312" w:eastAsia="仿宋_GB2312"/>
          <w:b w:val="0"/>
          <w:sz w:val="32"/>
        </w:rPr>
        <w:t>收入支出总体与上年相比，减少1,988.79万元，下降48.89%，主要原因是：本年度减少粮库智能化建设项目、应急物资采购项目、地区级原粮储备轮换费用，项目支出减少。</w:t>
      </w:r>
    </w:p>
    <w:p w14:paraId="3E5D402F">
      <w:pPr>
        <w:spacing w:line="640" w:lineRule="exact"/>
        <w:ind w:firstLine="640"/>
        <w:jc w:val="both"/>
        <w:outlineLvl w:val="2"/>
      </w:pPr>
      <w:r>
        <w:rPr>
          <w:rFonts w:ascii="黑体" w:hAnsi="黑体" w:eastAsia="黑体"/>
          <w:sz w:val="32"/>
        </w:rPr>
        <w:t>二、收入决算情况说明</w:t>
      </w:r>
    </w:p>
    <w:p w14:paraId="334D907E">
      <w:pPr>
        <w:spacing w:line="580" w:lineRule="exact"/>
        <w:ind w:firstLine="640"/>
        <w:jc w:val="both"/>
      </w:pPr>
      <w:r>
        <w:rPr>
          <w:rFonts w:ascii="仿宋_GB2312" w:hAnsi="仿宋_GB2312" w:eastAsia="仿宋_GB2312"/>
          <w:b/>
          <w:sz w:val="32"/>
        </w:rPr>
        <w:t>本年收入2,078.74万元，</w:t>
      </w:r>
      <w:r>
        <w:rPr>
          <w:rFonts w:ascii="仿宋_GB2312" w:hAnsi="仿宋_GB2312" w:eastAsia="仿宋_GB2312"/>
          <w:b w:val="0"/>
          <w:sz w:val="32"/>
        </w:rPr>
        <w:t>其中：财政拨款收入2,078.74万元，占100.00%；上级补助收入0.00万元，占0.00%；事业收入0.00万元，占0.00%；经营收入0.00万元，占0.00%；附属单位上缴收入0.00万元，占0.00%；其他收入0.00万元，占0.00%。</w:t>
      </w:r>
    </w:p>
    <w:p w14:paraId="40330167">
      <w:pPr>
        <w:spacing w:line="640" w:lineRule="exact"/>
        <w:ind w:firstLine="640"/>
        <w:jc w:val="both"/>
        <w:outlineLvl w:val="2"/>
      </w:pPr>
      <w:r>
        <w:rPr>
          <w:rFonts w:ascii="黑体" w:hAnsi="黑体" w:eastAsia="黑体"/>
          <w:sz w:val="32"/>
        </w:rPr>
        <w:t>三、支出决算情况说明</w:t>
      </w:r>
    </w:p>
    <w:p w14:paraId="46887276">
      <w:pPr>
        <w:spacing w:line="580" w:lineRule="exact"/>
        <w:ind w:firstLine="640"/>
        <w:jc w:val="both"/>
      </w:pPr>
      <w:r>
        <w:rPr>
          <w:rFonts w:ascii="仿宋_GB2312" w:hAnsi="仿宋_GB2312" w:eastAsia="仿宋_GB2312"/>
          <w:b/>
          <w:sz w:val="32"/>
        </w:rPr>
        <w:t>本年支出2,078.74万元，</w:t>
      </w:r>
      <w:r>
        <w:rPr>
          <w:rFonts w:ascii="仿宋_GB2312" w:hAnsi="仿宋_GB2312" w:eastAsia="仿宋_GB2312"/>
          <w:b w:val="0"/>
          <w:sz w:val="32"/>
        </w:rPr>
        <w:t>其中：基本支出838.66万元，占40.34%；项目支出1,240.08万元，占59.66%；上缴上级支出0.00万元，占0.00%；经营支出0.00万元，占0.00%；对附属单位补助支出0.00万元，占0.00%。</w:t>
      </w:r>
    </w:p>
    <w:p w14:paraId="006E10E9">
      <w:pPr>
        <w:spacing w:line="640" w:lineRule="exact"/>
        <w:ind w:firstLine="640"/>
        <w:jc w:val="both"/>
        <w:outlineLvl w:val="2"/>
      </w:pPr>
      <w:r>
        <w:rPr>
          <w:rFonts w:ascii="黑体" w:hAnsi="黑体" w:eastAsia="黑体"/>
          <w:sz w:val="32"/>
        </w:rPr>
        <w:t>四、财政拨款收入支出决算总体情况说明</w:t>
      </w:r>
    </w:p>
    <w:p w14:paraId="38E448F9">
      <w:pPr>
        <w:spacing w:line="580" w:lineRule="exact"/>
        <w:ind w:firstLine="640"/>
        <w:jc w:val="both"/>
      </w:pPr>
      <w:r>
        <w:rPr>
          <w:rFonts w:ascii="仿宋_GB2312" w:hAnsi="仿宋_GB2312" w:eastAsia="仿宋_GB2312"/>
          <w:b/>
          <w:sz w:val="32"/>
        </w:rPr>
        <w:t>2024年度财政拨款收入总计2,078.74万元，</w:t>
      </w:r>
      <w:r>
        <w:rPr>
          <w:rFonts w:ascii="仿宋_GB2312" w:hAnsi="仿宋_GB2312" w:eastAsia="仿宋_GB2312"/>
          <w:b w:val="0"/>
          <w:sz w:val="32"/>
        </w:rPr>
        <w:t>其中：年初财政拨款结转和结余0.00万元，本年财政拨款收入2,078.74万元。</w:t>
      </w:r>
      <w:r>
        <w:rPr>
          <w:rFonts w:ascii="仿宋_GB2312" w:hAnsi="仿宋_GB2312" w:eastAsia="仿宋_GB2312"/>
          <w:b/>
          <w:sz w:val="32"/>
        </w:rPr>
        <w:t>财政拨款支出总计2,078.74万元，</w:t>
      </w:r>
      <w:r>
        <w:rPr>
          <w:rFonts w:ascii="仿宋_GB2312" w:hAnsi="仿宋_GB2312" w:eastAsia="仿宋_GB2312"/>
          <w:b w:val="0"/>
          <w:sz w:val="32"/>
        </w:rPr>
        <w:t>其中：年末财政拨款结转和结余0.00万元，本年财政拨款支出2,078.74万元。</w:t>
      </w:r>
    </w:p>
    <w:p w14:paraId="76D483B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减少1,979.03万元，下降48.77%，主要原因是：本年度减少粮库智能化建设项目、应急物资采购项目、地区级原粮储备轮换费用，项目支出减少。</w:t>
      </w:r>
      <w:r>
        <w:rPr>
          <w:rFonts w:ascii="仿宋_GB2312" w:hAnsi="仿宋_GB2312" w:eastAsia="仿宋_GB2312"/>
          <w:b/>
          <w:sz w:val="32"/>
        </w:rPr>
        <w:t>与年初预算相比，</w:t>
      </w:r>
      <w:r>
        <w:rPr>
          <w:rFonts w:ascii="仿宋_GB2312" w:hAnsi="仿宋_GB2312" w:eastAsia="仿宋_GB2312"/>
          <w:b w:val="0"/>
          <w:sz w:val="32"/>
        </w:rPr>
        <w:t>年初预算数2,144.88万元，决算数2,078.74万元，预决算差异率-3.08%，主要原因是：单位预算内地区级政策性储备原粮利息补贴和保管费用项目利息下调，利息补贴减少，因个别企业轮换未完成本年度轮换费未支付，导致预决算存在差异。</w:t>
      </w:r>
    </w:p>
    <w:p w14:paraId="39731A1B">
      <w:pPr>
        <w:spacing w:line="640" w:lineRule="exact"/>
        <w:ind w:firstLine="640"/>
        <w:jc w:val="both"/>
        <w:outlineLvl w:val="2"/>
      </w:pPr>
      <w:r>
        <w:rPr>
          <w:rFonts w:ascii="黑体" w:hAnsi="黑体" w:eastAsia="黑体"/>
          <w:sz w:val="32"/>
        </w:rPr>
        <w:t>五、一般公共预算财政拨款支出决算情况说明</w:t>
      </w:r>
    </w:p>
    <w:p w14:paraId="1ED3FFD4">
      <w:pPr>
        <w:spacing w:line="640" w:lineRule="exact"/>
        <w:ind w:firstLine="640"/>
        <w:jc w:val="both"/>
        <w:outlineLvl w:val="3"/>
      </w:pPr>
      <w:r>
        <w:rPr>
          <w:rFonts w:ascii="楷体_GB2312" w:hAnsi="楷体_GB2312" w:eastAsia="楷体_GB2312"/>
          <w:b/>
          <w:sz w:val="32"/>
        </w:rPr>
        <w:t>（一）一般公共预算财政拨款支出决算总体情况</w:t>
      </w:r>
    </w:p>
    <w:p w14:paraId="4F71D555">
      <w:pPr>
        <w:spacing w:line="580" w:lineRule="exact"/>
        <w:ind w:firstLine="640"/>
        <w:jc w:val="both"/>
      </w:pPr>
      <w:r>
        <w:rPr>
          <w:rFonts w:ascii="仿宋_GB2312" w:hAnsi="仿宋_GB2312" w:eastAsia="仿宋_GB2312"/>
          <w:b/>
          <w:sz w:val="32"/>
        </w:rPr>
        <w:t>2024年度一般公共预算财政拨款支出2,078.74万元，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减少1,979.03万元，下降48.77%，主要原因是：本年度减少粮库智能化建设项目、应急物资采购项目、地区级原粮储备轮换费用，项目支出减少。</w:t>
      </w:r>
      <w:r>
        <w:rPr>
          <w:rFonts w:ascii="仿宋_GB2312" w:hAnsi="仿宋_GB2312" w:eastAsia="仿宋_GB2312"/>
          <w:b/>
          <w:sz w:val="32"/>
        </w:rPr>
        <w:t>与年初预算相比,</w:t>
      </w:r>
      <w:r>
        <w:rPr>
          <w:rFonts w:ascii="仿宋_GB2312" w:hAnsi="仿宋_GB2312" w:eastAsia="仿宋_GB2312"/>
          <w:b w:val="0"/>
          <w:sz w:val="32"/>
        </w:rPr>
        <w:t>年初预算数2,144.88万元，决算数2,078.74万元，预决算差异率-3.08%，主要原因是：单位预算内地区级政策性储备原粮利息补贴和保管费用项目利息下调，利息补贴减少，因个别企业轮换未完成本年度轮换费未支付，导致预决算存在差异。</w:t>
      </w:r>
    </w:p>
    <w:p w14:paraId="59911BB3">
      <w:pPr>
        <w:spacing w:line="640" w:lineRule="exact"/>
        <w:ind w:firstLine="640"/>
        <w:jc w:val="both"/>
        <w:outlineLvl w:val="3"/>
      </w:pPr>
      <w:r>
        <w:rPr>
          <w:rFonts w:ascii="楷体_GB2312" w:hAnsi="楷体_GB2312" w:eastAsia="楷体_GB2312"/>
          <w:b/>
          <w:sz w:val="32"/>
        </w:rPr>
        <w:t>（二）一般公共预算财政拨款支出决算结构情况</w:t>
      </w:r>
    </w:p>
    <w:p w14:paraId="4C5CCFE2">
      <w:pPr>
        <w:spacing w:line="580" w:lineRule="exact"/>
        <w:ind w:firstLine="640"/>
        <w:jc w:val="both"/>
      </w:pPr>
      <w:r>
        <w:rPr>
          <w:rFonts w:ascii="仿宋_GB2312" w:hAnsi="仿宋_GB2312" w:eastAsia="仿宋_GB2312"/>
          <w:b w:val="0"/>
          <w:sz w:val="32"/>
        </w:rPr>
        <w:t>1.一般公共服务支出(类)2.87万元,占0.14%。</w:t>
      </w:r>
    </w:p>
    <w:p w14:paraId="67FE10AB">
      <w:pPr>
        <w:spacing w:line="580" w:lineRule="exact"/>
        <w:ind w:firstLine="640"/>
        <w:jc w:val="both"/>
      </w:pPr>
      <w:r>
        <w:rPr>
          <w:rFonts w:ascii="仿宋_GB2312" w:hAnsi="仿宋_GB2312" w:eastAsia="仿宋_GB2312"/>
          <w:b w:val="0"/>
          <w:sz w:val="32"/>
        </w:rPr>
        <w:t>2.社会保障和就业支出(类)198.50万元,占9.55%。</w:t>
      </w:r>
    </w:p>
    <w:p w14:paraId="397B24EE">
      <w:pPr>
        <w:spacing w:line="580" w:lineRule="exact"/>
        <w:ind w:firstLine="640"/>
        <w:jc w:val="both"/>
      </w:pPr>
      <w:r>
        <w:rPr>
          <w:rFonts w:ascii="仿宋_GB2312" w:hAnsi="仿宋_GB2312" w:eastAsia="仿宋_GB2312"/>
          <w:b w:val="0"/>
          <w:sz w:val="32"/>
        </w:rPr>
        <w:t>3.卫生健康支出(类)30.76万元,占1.48%。</w:t>
      </w:r>
    </w:p>
    <w:p w14:paraId="734F095E">
      <w:pPr>
        <w:spacing w:line="580" w:lineRule="exact"/>
        <w:ind w:firstLine="640"/>
        <w:jc w:val="both"/>
      </w:pPr>
      <w:r>
        <w:rPr>
          <w:rFonts w:ascii="仿宋_GB2312" w:hAnsi="仿宋_GB2312" w:eastAsia="仿宋_GB2312"/>
          <w:b w:val="0"/>
          <w:sz w:val="32"/>
        </w:rPr>
        <w:t>4.住房保障支出(类)53.97万元,占2.60%。</w:t>
      </w:r>
    </w:p>
    <w:p w14:paraId="1E15774D">
      <w:pPr>
        <w:spacing w:line="580" w:lineRule="exact"/>
        <w:ind w:firstLine="640"/>
        <w:jc w:val="both"/>
      </w:pPr>
      <w:r>
        <w:rPr>
          <w:rFonts w:ascii="仿宋_GB2312" w:hAnsi="仿宋_GB2312" w:eastAsia="仿宋_GB2312"/>
          <w:b w:val="0"/>
          <w:sz w:val="32"/>
        </w:rPr>
        <w:t>5.粮油物资储备支出(类)1,792.64万元,占86.24%。</w:t>
      </w:r>
    </w:p>
    <w:p w14:paraId="6F4E6AF4">
      <w:pPr>
        <w:spacing w:line="640" w:lineRule="exact"/>
        <w:ind w:firstLine="640"/>
        <w:jc w:val="both"/>
        <w:outlineLvl w:val="3"/>
      </w:pPr>
      <w:r>
        <w:rPr>
          <w:rFonts w:ascii="楷体_GB2312" w:hAnsi="楷体_GB2312" w:eastAsia="楷体_GB2312"/>
          <w:b/>
          <w:sz w:val="32"/>
        </w:rPr>
        <w:t>（三）一般公共预算财政拨款支出决算具体情况</w:t>
      </w:r>
    </w:p>
    <w:p w14:paraId="567D68C7">
      <w:pPr>
        <w:spacing w:line="580" w:lineRule="exact"/>
        <w:ind w:firstLine="640"/>
        <w:jc w:val="both"/>
      </w:pPr>
      <w:r>
        <w:rPr>
          <w:rFonts w:ascii="仿宋_GB2312" w:hAnsi="仿宋_GB2312" w:eastAsia="仿宋_GB2312"/>
          <w:b w:val="0"/>
          <w:sz w:val="32"/>
        </w:rPr>
        <w:t>1.一般公共服务支出(类)人大事务(款)一般行政管理事务(项):支出决算数为0.72万元，比上年决算增加0.72万元，增长100.00%,主要原因是：本年度新增异地交流干部交通费，导致支出较上年增加。</w:t>
      </w:r>
    </w:p>
    <w:p w14:paraId="58BF1555">
      <w:pPr>
        <w:spacing w:line="580" w:lineRule="exact"/>
        <w:ind w:firstLine="640"/>
        <w:jc w:val="both"/>
      </w:pPr>
      <w:r>
        <w:rPr>
          <w:rFonts w:ascii="仿宋_GB2312" w:hAnsi="仿宋_GB2312" w:eastAsia="仿宋_GB2312"/>
          <w:b w:val="0"/>
          <w:sz w:val="32"/>
        </w:rPr>
        <w:t>2.一般公共服务支出(类)统战事务(款)宗教事务(项):支出决算数为2.16万元，比上年决算增加1.67万元，增长340.82%,主要原因是：本年人员补助自治区补助部分提标，导致支出较上年增加。</w:t>
      </w:r>
    </w:p>
    <w:p w14:paraId="097B31C1">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3.社会保障和就业支出(类)行政事业单位养老支出(款)行政单位离退休(项):支出决算数为71.90万元，比上年决算增加16.67万元，增长30.18%,主要原因是：本年度补发退休人员绩效，导致退休费较上年增加。</w:t>
      </w:r>
    </w:p>
    <w:p w14:paraId="52ADB85C">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62.61万元，比上年决算增加3.61万元，增长6.12%,主要原因是：本年度人员工资调标，基本养老保险缴费基数调增，缴费支出增加。</w:t>
      </w:r>
    </w:p>
    <w:p w14:paraId="549E33F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18.76万元，比上年决算增加14.02万元，增长295.78%,主要原因是：本年度在职转退休1人，进行职业年金做实，职业年金缴费支出增加。</w:t>
      </w:r>
    </w:p>
    <w:p w14:paraId="6EB9B402">
      <w:pPr>
        <w:spacing w:line="580" w:lineRule="exact"/>
        <w:ind w:firstLine="640"/>
        <w:jc w:val="both"/>
      </w:pPr>
      <w:r>
        <w:rPr>
          <w:rFonts w:ascii="仿宋_GB2312" w:hAnsi="仿宋_GB2312" w:eastAsia="仿宋_GB2312"/>
          <w:b w:val="0"/>
          <w:sz w:val="32"/>
        </w:rPr>
        <w:t>6.社会保障和就业支出(类)抚恤(款)死亡抚恤(项):支出决算数为45.23万元，比上年决算增加19.90万元，增长78.56%,主要原因是：本年度退休死亡人员较上年度增加1人，导致死亡抚恤金支出增加。</w:t>
      </w:r>
    </w:p>
    <w:p w14:paraId="50DA600B">
      <w:pPr>
        <w:spacing w:line="580" w:lineRule="exact"/>
        <w:ind w:firstLine="640"/>
        <w:jc w:val="both"/>
      </w:pPr>
      <w:r>
        <w:rPr>
          <w:rFonts w:ascii="仿宋_GB2312" w:hAnsi="仿宋_GB2312" w:eastAsia="仿宋_GB2312"/>
          <w:b w:val="0"/>
          <w:sz w:val="32"/>
        </w:rPr>
        <w:t>7.卫生健康支出(类)行政事业单位医疗(款)行政单位医疗(项):支出决算数为26.61万元，比上年决算增加1.27万元，增长5.01%,主要原因是：本年度人员工资调标，行政单位医疗缴费基数调增，缴费支出增加。</w:t>
      </w:r>
    </w:p>
    <w:p w14:paraId="6D05DC26">
      <w:pPr>
        <w:spacing w:line="580" w:lineRule="exact"/>
        <w:ind w:firstLine="640"/>
        <w:jc w:val="both"/>
      </w:pPr>
      <w:r>
        <w:rPr>
          <w:rFonts w:ascii="仿宋_GB2312" w:hAnsi="仿宋_GB2312" w:eastAsia="仿宋_GB2312"/>
          <w:b w:val="0"/>
          <w:sz w:val="32"/>
        </w:rPr>
        <w:t>8.卫生健康支出(类)行政事业单位医疗(款)公务员医疗补助(项):支出决算数为4.15万元，比上年决算减少0.04万元，下降0.95%,主要原因是：本年度在职公务员退休1人，导致公务员医疗补助较上年减少。</w:t>
      </w:r>
    </w:p>
    <w:p w14:paraId="36CF13BF">
      <w:pPr>
        <w:spacing w:line="580" w:lineRule="exact"/>
        <w:ind w:firstLine="640"/>
        <w:jc w:val="both"/>
      </w:pPr>
      <w:r>
        <w:rPr>
          <w:rFonts w:ascii="仿宋_GB2312" w:hAnsi="仿宋_GB2312" w:eastAsia="仿宋_GB2312"/>
          <w:b w:val="0"/>
          <w:sz w:val="32"/>
        </w:rPr>
        <w:t>9.住房保障支出(类)住房改革支出(款)住房公积金(项):支出决算数为53.97万元，比上年决算增加4.36万元，增长8.79%,主要原因是：本年度人员工资调标，公积金缴费基数调增，缴费支出增加。</w:t>
      </w:r>
    </w:p>
    <w:p w14:paraId="48913F62">
      <w:pPr>
        <w:spacing w:line="580" w:lineRule="exact"/>
        <w:ind w:firstLine="640"/>
        <w:jc w:val="both"/>
      </w:pPr>
      <w:r>
        <w:rPr>
          <w:rFonts w:ascii="仿宋_GB2312" w:hAnsi="仿宋_GB2312" w:eastAsia="仿宋_GB2312"/>
          <w:b w:val="0"/>
          <w:sz w:val="32"/>
        </w:rPr>
        <w:t>10.粮油物资储备支出(类)粮油物资事务(款)行政运行(项):支出决算数为553.27万元，比上年决算增加12.62万元，增长2.33%,主要原因是：本年度进行人员工资普调增资并晋升提拔7人，相应人员支出增加，导致经费较上年增加。</w:t>
      </w:r>
    </w:p>
    <w:p w14:paraId="3E663DC5">
      <w:pPr>
        <w:spacing w:line="580" w:lineRule="exact"/>
        <w:ind w:firstLine="640"/>
        <w:jc w:val="both"/>
      </w:pPr>
      <w:r>
        <w:rPr>
          <w:rFonts w:ascii="仿宋_GB2312" w:hAnsi="仿宋_GB2312" w:eastAsia="仿宋_GB2312"/>
          <w:b w:val="0"/>
          <w:sz w:val="32"/>
        </w:rPr>
        <w:t>11.粮油物资储备支出(类)粮油物资事务(款)一般行政管理事务(项):支出决算数为1,129.37万元，比上年决算减少133.01万元，下降10.54%,主要原因是：本年度地区级政策性储备原粮利息补贴和保管费用项目利息下调，利息补贴减少，因个别企业轮换未完成本年度轮换费未支付，致使项目支出减少。</w:t>
      </w:r>
    </w:p>
    <w:p w14:paraId="73014F0D">
      <w:pPr>
        <w:spacing w:line="580" w:lineRule="exact"/>
        <w:ind w:firstLine="640"/>
        <w:jc w:val="both"/>
      </w:pPr>
      <w:r>
        <w:rPr>
          <w:rFonts w:ascii="仿宋_GB2312" w:hAnsi="仿宋_GB2312" w:eastAsia="仿宋_GB2312"/>
          <w:b w:val="0"/>
          <w:sz w:val="32"/>
        </w:rPr>
        <w:t>12.粮油物资储备支出(类)粮油物资事务(款)设施建设(项):支出决算数为0.00万元，比上年决算减少217.27万元，下降100.00%,主要原因是：本年减少喀什地区智能粮库升级改造项目。</w:t>
      </w:r>
    </w:p>
    <w:p w14:paraId="0BC6B127">
      <w:pPr>
        <w:spacing w:line="580" w:lineRule="exact"/>
        <w:ind w:firstLine="640"/>
        <w:jc w:val="both"/>
      </w:pPr>
      <w:r>
        <w:rPr>
          <w:rFonts w:ascii="仿宋_GB2312" w:hAnsi="仿宋_GB2312" w:eastAsia="仿宋_GB2312"/>
          <w:b w:val="0"/>
          <w:sz w:val="32"/>
        </w:rPr>
        <w:t>13.粮油物资储备支出(类)粮油储备(款)储备粮（油）库建设(项):支出决算数为110.00万元，比上年决算增加79.00万元，增长254.84%,主要原因是：本年自治区粮食仓储设施建设项目经费较上年增加。</w:t>
      </w:r>
    </w:p>
    <w:p w14:paraId="139D15A0">
      <w:pPr>
        <w:spacing w:line="580" w:lineRule="exact"/>
        <w:ind w:firstLine="640"/>
        <w:jc w:val="both"/>
      </w:pPr>
      <w:r>
        <w:rPr>
          <w:rFonts w:ascii="仿宋_GB2312" w:hAnsi="仿宋_GB2312" w:eastAsia="仿宋_GB2312"/>
          <w:b w:val="0"/>
          <w:sz w:val="32"/>
        </w:rPr>
        <w:t>14.粮油物资储备支出(类)重要商品储备(款)应急物资储备(项):支出决算数为0.00万元，比上年决算减少1,781.71万元，下降100.00%,主要原因是：本年度减少应急物资采购项目、采购帐篷、折叠床项目，导致经费较上年减少。</w:t>
      </w:r>
    </w:p>
    <w:p w14:paraId="02D91A02">
      <w:pPr>
        <w:spacing w:line="580" w:lineRule="exact"/>
        <w:ind w:firstLine="640"/>
        <w:jc w:val="both"/>
      </w:pPr>
      <w:r>
        <w:rPr>
          <w:rFonts w:ascii="仿宋_GB2312" w:hAnsi="仿宋_GB2312" w:eastAsia="仿宋_GB2312"/>
          <w:b w:val="0"/>
          <w:sz w:val="32"/>
        </w:rPr>
        <w:t>15.其他支出(类)其他支出(款)其他支出(项):支出决算数为0.00万元，比上年决算减少0.82万元，</w:t>
      </w:r>
      <w:bookmarkStart w:id="0" w:name="_GoBack"/>
      <w:bookmarkEnd w:id="0"/>
      <w:r>
        <w:rPr>
          <w:rFonts w:ascii="仿宋_GB2312" w:hAnsi="仿宋_GB2312" w:eastAsia="仿宋_GB2312"/>
          <w:b w:val="0"/>
          <w:sz w:val="32"/>
        </w:rPr>
        <w:t>下降100.00%,主要原因是：本年无</w:t>
      </w:r>
      <w:r>
        <w:rPr>
          <w:rFonts w:hint="eastAsia" w:ascii="仿宋_GB2312" w:hAnsi="仿宋_GB2312" w:eastAsia="仿宋_GB2312"/>
          <w:b w:val="0"/>
          <w:sz w:val="32"/>
          <w:lang w:val="en-US" w:eastAsia="zh-CN"/>
        </w:rPr>
        <w:t>信息化</w:t>
      </w:r>
      <w:r>
        <w:rPr>
          <w:rFonts w:ascii="仿宋_GB2312" w:hAnsi="仿宋_GB2312" w:eastAsia="仿宋_GB2312"/>
          <w:b w:val="0"/>
          <w:sz w:val="32"/>
        </w:rPr>
        <w:t>项目质保金，导致经费较上年减少。</w:t>
      </w:r>
    </w:p>
    <w:p w14:paraId="4AFC4EF6">
      <w:pPr>
        <w:spacing w:line="640" w:lineRule="exact"/>
        <w:ind w:firstLine="640"/>
        <w:jc w:val="both"/>
        <w:outlineLvl w:val="2"/>
      </w:pPr>
      <w:r>
        <w:rPr>
          <w:rFonts w:ascii="黑体" w:hAnsi="黑体" w:eastAsia="黑体"/>
          <w:sz w:val="32"/>
        </w:rPr>
        <w:t>六、一般公共预算财政拨款基本支出决算情况说明</w:t>
      </w:r>
    </w:p>
    <w:p w14:paraId="015A048C">
      <w:pPr>
        <w:spacing w:line="580" w:lineRule="exact"/>
        <w:ind w:firstLine="640"/>
        <w:jc w:val="both"/>
      </w:pPr>
      <w:r>
        <w:rPr>
          <w:rFonts w:ascii="仿宋_GB2312" w:hAnsi="仿宋_GB2312" w:eastAsia="仿宋_GB2312"/>
          <w:b w:val="0"/>
          <w:sz w:val="32"/>
        </w:rPr>
        <w:t>2024年度一般公共预算财政拨款基本支出838.66万元，其中：</w:t>
      </w:r>
      <w:r>
        <w:rPr>
          <w:rFonts w:ascii="仿宋_GB2312" w:hAnsi="仿宋_GB2312" w:eastAsia="仿宋_GB2312"/>
          <w:b/>
          <w:sz w:val="32"/>
        </w:rPr>
        <w:t>人员经费791.86万元，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0C65BF49">
      <w:pPr>
        <w:spacing w:line="580" w:lineRule="exact"/>
        <w:ind w:firstLine="640"/>
        <w:jc w:val="both"/>
      </w:pPr>
      <w:r>
        <w:rPr>
          <w:rFonts w:ascii="仿宋_GB2312" w:hAnsi="仿宋_GB2312" w:eastAsia="仿宋_GB2312"/>
          <w:b/>
          <w:sz w:val="32"/>
        </w:rPr>
        <w:t>公用经费46.79万元，</w:t>
      </w:r>
      <w:r>
        <w:rPr>
          <w:rFonts w:ascii="仿宋_GB2312" w:hAnsi="仿宋_GB2312" w:eastAsia="仿宋_GB2312"/>
          <w:b w:val="0"/>
          <w:sz w:val="32"/>
        </w:rPr>
        <w:t>包括：办公费、邮电费、取暖费、差旅费、专用材料费、专用燃料费、工会经费、公务用车运行维护费、其他交通费用、其他商品和服务支出。</w:t>
      </w:r>
    </w:p>
    <w:p w14:paraId="767075DB">
      <w:pPr>
        <w:spacing w:line="640" w:lineRule="exact"/>
        <w:ind w:firstLine="640"/>
        <w:jc w:val="both"/>
        <w:outlineLvl w:val="2"/>
      </w:pPr>
      <w:r>
        <w:rPr>
          <w:rFonts w:ascii="黑体" w:hAnsi="黑体" w:eastAsia="黑体"/>
          <w:sz w:val="32"/>
        </w:rPr>
        <w:t>七、政府性基金预算财政拨款收入支出决算情况说明</w:t>
      </w:r>
    </w:p>
    <w:p w14:paraId="447A71A5">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D0F66EF">
      <w:pPr>
        <w:spacing w:line="640" w:lineRule="exact"/>
        <w:ind w:firstLine="640"/>
        <w:jc w:val="both"/>
        <w:outlineLvl w:val="2"/>
      </w:pPr>
      <w:r>
        <w:rPr>
          <w:rFonts w:ascii="黑体" w:hAnsi="黑体" w:eastAsia="黑体"/>
          <w:sz w:val="32"/>
        </w:rPr>
        <w:t>八、国有资本经营预算财政拨款收入支出决算情况说明</w:t>
      </w:r>
    </w:p>
    <w:p w14:paraId="03BF9E3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9C89CB5">
      <w:pPr>
        <w:spacing w:line="640" w:lineRule="exact"/>
        <w:ind w:firstLine="640"/>
        <w:jc w:val="both"/>
        <w:outlineLvl w:val="2"/>
      </w:pPr>
      <w:r>
        <w:rPr>
          <w:rFonts w:ascii="黑体" w:hAnsi="黑体" w:eastAsia="黑体"/>
          <w:sz w:val="32"/>
        </w:rPr>
        <w:t>九、财政拨款“三公”经费支出决算情况说明</w:t>
      </w:r>
    </w:p>
    <w:p w14:paraId="5F2D9A6D">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增加0.00万元，增长0.00%，主要原因是：本部门财政拨款“三公”经费较上年无变化。其中：因公出国（境）费支出0.00万元，占0.00%，比上年增加0.00万元，增长0.00%，主要原因是：2023年与2024年均未安排因公出国（境）费支出。公务用车购置及运行维护费支出3.60万元，占100.00%，比上年增加0.00万元，增长0.00%，主要原因是：本部门公务用车购置及运行维护费较上年无变化。公务接待费支出0.00万元，占0.00%，比上年增加0.00万元，增长0.00%，主要原因是：2023年与2024年均未安排公务接待费支出。</w:t>
      </w:r>
    </w:p>
    <w:p w14:paraId="1E85900F">
      <w:pPr>
        <w:spacing w:line="580" w:lineRule="exact"/>
        <w:ind w:firstLine="640"/>
        <w:jc w:val="both"/>
      </w:pPr>
      <w:r>
        <w:rPr>
          <w:rFonts w:ascii="仿宋_GB2312" w:hAnsi="仿宋_GB2312" w:eastAsia="仿宋_GB2312"/>
          <w:b/>
          <w:sz w:val="32"/>
        </w:rPr>
        <w:t>具体情况如下：</w:t>
      </w:r>
    </w:p>
    <w:p w14:paraId="7FD1283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206BF07F">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燃油费、保险费、年审费、维修维护费、过路费等。公务用车购置数0辆，公务用车保有量2辆。国有资产占用情况中固定资产车辆2辆，与公务用车保有量差异原因是：本部门固定资产车辆与公务用车保有量一致无差异。</w:t>
      </w:r>
    </w:p>
    <w:p w14:paraId="79741E35">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E902F0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3.60万元，决算数3.60万元，预决算差异率0.00%，主要原因是：严格按照预算执行，预决算无差异。公务接待费全年预算数0.00万元，决算数0.00万元，预决算差异率0.00%，主要原因是：本部门无公务接待费。</w:t>
      </w:r>
    </w:p>
    <w:p w14:paraId="01A01EBC">
      <w:pPr>
        <w:spacing w:line="640" w:lineRule="exact"/>
        <w:ind w:firstLine="640"/>
        <w:jc w:val="both"/>
        <w:outlineLvl w:val="2"/>
      </w:pPr>
      <w:r>
        <w:rPr>
          <w:rFonts w:ascii="黑体" w:hAnsi="黑体" w:eastAsia="黑体"/>
          <w:sz w:val="32"/>
        </w:rPr>
        <w:t>十、其他重要事项的情况说明</w:t>
      </w:r>
    </w:p>
    <w:p w14:paraId="2AC710B9">
      <w:pPr>
        <w:spacing w:line="640" w:lineRule="exact"/>
        <w:ind w:firstLine="640"/>
        <w:jc w:val="both"/>
        <w:outlineLvl w:val="3"/>
      </w:pPr>
      <w:r>
        <w:rPr>
          <w:rFonts w:ascii="楷体_GB2312" w:hAnsi="楷体_GB2312" w:eastAsia="楷体_GB2312"/>
          <w:b/>
          <w:sz w:val="32"/>
        </w:rPr>
        <w:t>（一）机关运行经费及公用经费支出情况</w:t>
      </w:r>
    </w:p>
    <w:p w14:paraId="3D1FEDA1">
      <w:pPr>
        <w:spacing w:line="580" w:lineRule="exact"/>
        <w:ind w:firstLine="640"/>
        <w:jc w:val="both"/>
      </w:pPr>
      <w:r>
        <w:rPr>
          <w:rFonts w:ascii="仿宋_GB2312" w:hAnsi="仿宋_GB2312" w:eastAsia="仿宋_GB2312"/>
          <w:b w:val="0"/>
          <w:sz w:val="32"/>
        </w:rPr>
        <w:t>2024年度新疆维吾尔自治区喀什地区粮食和物资储备局（行政单位和参照公务员法管理事业单位）机关运行经费支出46.79万元，比上年增加13.73万元，增长41.53%，主要原因是：本年</w:t>
      </w:r>
      <w:r>
        <w:rPr>
          <w:rFonts w:hint="eastAsia" w:ascii="仿宋_GB2312" w:hAnsi="仿宋_GB2312" w:eastAsia="仿宋_GB2312"/>
          <w:b w:val="0"/>
          <w:sz w:val="32"/>
          <w:lang w:val="en-US" w:eastAsia="zh-CN"/>
        </w:rPr>
        <w:t>专用燃料费</w:t>
      </w:r>
      <w:r>
        <w:rPr>
          <w:rFonts w:ascii="仿宋_GB2312" w:hAnsi="仿宋_GB2312" w:eastAsia="仿宋_GB2312"/>
          <w:b w:val="0"/>
          <w:sz w:val="32"/>
        </w:rPr>
        <w:t>增加，导致机关运行经费增加。</w:t>
      </w:r>
    </w:p>
    <w:p w14:paraId="7AD39E57">
      <w:pPr>
        <w:spacing w:line="640" w:lineRule="exact"/>
        <w:ind w:firstLine="640"/>
        <w:jc w:val="both"/>
        <w:outlineLvl w:val="3"/>
      </w:pPr>
      <w:r>
        <w:rPr>
          <w:rFonts w:ascii="楷体_GB2312" w:hAnsi="楷体_GB2312" w:eastAsia="楷体_GB2312"/>
          <w:b/>
          <w:sz w:val="32"/>
        </w:rPr>
        <w:t>（二）政府采购情况</w:t>
      </w:r>
    </w:p>
    <w:p w14:paraId="0CE6EC1D">
      <w:pPr>
        <w:spacing w:line="580" w:lineRule="exact"/>
        <w:ind w:firstLine="640"/>
        <w:jc w:val="both"/>
      </w:pPr>
      <w:r>
        <w:rPr>
          <w:rFonts w:ascii="仿宋_GB2312" w:hAnsi="仿宋_GB2312" w:eastAsia="仿宋_GB2312"/>
          <w:b w:val="0"/>
          <w:sz w:val="32"/>
        </w:rPr>
        <w:t>2024年度政府采购支出总额103.74万元，其中：政府采购货物支出16.26万元、政府采购工程支出0.00万元、政府采购服务支出87.47万元。</w:t>
      </w:r>
    </w:p>
    <w:p w14:paraId="77ACB64C">
      <w:pPr>
        <w:spacing w:line="580" w:lineRule="exact"/>
        <w:ind w:firstLine="640"/>
        <w:jc w:val="both"/>
      </w:pPr>
      <w:r>
        <w:rPr>
          <w:rFonts w:ascii="仿宋_GB2312" w:hAnsi="仿宋_GB2312" w:eastAsia="仿宋_GB2312"/>
          <w:b w:val="0"/>
          <w:sz w:val="32"/>
        </w:rPr>
        <w:t>授予中小企业合同金额103.49万元，占政府采购支出总额的99.76%，其中：授予小微企业合同金额101.87万元，占政府采购支出总额的98.20%。</w:t>
      </w:r>
    </w:p>
    <w:p w14:paraId="1EB56302">
      <w:pPr>
        <w:spacing w:line="640" w:lineRule="exact"/>
        <w:ind w:firstLine="640"/>
        <w:jc w:val="both"/>
        <w:outlineLvl w:val="3"/>
      </w:pPr>
      <w:r>
        <w:rPr>
          <w:rFonts w:ascii="楷体_GB2312" w:hAnsi="楷体_GB2312" w:eastAsia="楷体_GB2312"/>
          <w:b/>
          <w:sz w:val="32"/>
        </w:rPr>
        <w:t>（三）国有资产占用情况说明</w:t>
      </w:r>
    </w:p>
    <w:p w14:paraId="0B021502">
      <w:pPr>
        <w:spacing w:line="580" w:lineRule="exact"/>
        <w:ind w:firstLine="640"/>
        <w:jc w:val="both"/>
      </w:pPr>
      <w:r>
        <w:rPr>
          <w:rFonts w:ascii="仿宋_GB2312" w:hAnsi="仿宋_GB2312" w:eastAsia="仿宋_GB2312"/>
          <w:b w:val="0"/>
          <w:sz w:val="32"/>
        </w:rPr>
        <w:t>截至2024年12月31日，房屋4,081.00平方米，价值1,230.91万元。车辆2辆，价值38.33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2CC17E35">
      <w:pPr>
        <w:spacing w:line="640" w:lineRule="exact"/>
        <w:ind w:firstLine="640"/>
        <w:jc w:val="both"/>
        <w:outlineLvl w:val="2"/>
      </w:pPr>
      <w:r>
        <w:rPr>
          <w:rFonts w:ascii="黑体" w:hAnsi="黑体" w:eastAsia="黑体"/>
          <w:sz w:val="32"/>
        </w:rPr>
        <w:t>十一、预算绩效的情况说明</w:t>
      </w:r>
    </w:p>
    <w:p w14:paraId="60408772">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根据预算绩效管理要求，本部门2024年度预算绩效管理形成整体支出绩效自评表1个，全年预算总额2,378.39万元，实际执行总额2,085.52万元；预算绩效评价项目1</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536.71</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246.87</w:t>
      </w:r>
      <w:r>
        <w:rPr>
          <w:rFonts w:ascii="仿宋_GB2312" w:hAnsi="仿宋_GB2312" w:eastAsia="仿宋_GB2312"/>
          <w:b w:val="0"/>
          <w:sz w:val="32"/>
        </w:rPr>
        <w:t>万元。预算绩效管理取得的成效：一是在节点完成后公布实施较少的项目，组织项目负责人分享项目实施成效，增强全体人员对绩效理念的理解与重视，深化了绩效认知，提升了管理精度；二是规范了局预算收支核算，制定和完善了基本支出、项目支出等各项支出标准，通过预算执行差异，合理调整、纠正预算执行偏差，切实提高了部门预算收支管理水平；三是通过绩效工作的开展，使</w:t>
      </w:r>
      <w:r>
        <w:rPr>
          <w:rFonts w:hint="eastAsia" w:ascii="仿宋_GB2312" w:hAnsi="仿宋_GB2312" w:eastAsia="仿宋_GB2312"/>
          <w:b w:val="0"/>
          <w:sz w:val="32"/>
          <w:lang w:eastAsia="zh-CN"/>
        </w:rPr>
        <w:t>本部门</w:t>
      </w:r>
      <w:r>
        <w:rPr>
          <w:rFonts w:ascii="仿宋_GB2312" w:hAnsi="仿宋_GB2312" w:eastAsia="仿宋_GB2312"/>
          <w:b w:val="0"/>
          <w:sz w:val="32"/>
        </w:rPr>
        <w:t>资金进度时时监测，全生命周期追溯，确保了项目实施的质量、成效和达到预期的经济和社会效益，提高了资金的使用效率。发现的问题及原因：一是项目前期调研不充分、未制定合理的实施方案，没有提前洞察银行利率下调，绩效目标设置前未经过专业测算，导致后期成本指标设置不精准；二是项目的全过程监督不足，轮换未按计划时间完成，验收延迟，导致资金未及时支付；三是在年初对全年工作缺乏计划性，项目过程监管不足，对于可预见性偏差未及时进行目标调整，导致执行存在偏差。下一步改进措施：一是加大绩效工作人员培训力度，</w:t>
      </w:r>
      <w:r>
        <w:rPr>
          <w:rFonts w:hint="eastAsia" w:ascii="仿宋_GB2312" w:hAnsi="仿宋_GB2312" w:eastAsia="仿宋_GB2312"/>
          <w:b w:val="0"/>
          <w:sz w:val="32"/>
          <w:lang w:eastAsia="zh-CN"/>
        </w:rPr>
        <w:t>科学合理地</w:t>
      </w:r>
      <w:r>
        <w:rPr>
          <w:rFonts w:ascii="仿宋_GB2312" w:hAnsi="仿宋_GB2312" w:eastAsia="仿宋_GB2312"/>
          <w:b w:val="0"/>
          <w:sz w:val="32"/>
        </w:rPr>
        <w:t>设置年初绩效目标，做好前期调研，编制严谨合乎实际的绩效目标表和合理可行的实施方案；二是通过绩效管理，发现实施中存在漏洞，以后加强管理，及时掌握与之相关的各类信息，减少成本，使资金效益最大化；三是加强预算精细化管理，预算批复下达后组织全局学习掌握，细化资金支付方向，实现项目事前、事中、事后全链条管理。具体附部门整体支出绩效自评表，项目支出绩效自评表和部门评价报告。</w:t>
      </w:r>
    </w:p>
    <w:p w14:paraId="5D88DC0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48FDD9">
        <w:tblPrEx>
          <w:tblCellMar>
            <w:top w:w="0" w:type="dxa"/>
            <w:left w:w="108" w:type="dxa"/>
            <w:bottom w:w="0" w:type="dxa"/>
            <w:right w:w="108" w:type="dxa"/>
          </w:tblCellMar>
        </w:tblPrEx>
        <w:tc>
          <w:tcPr>
            <w:tcW w:w="8847" w:type="dxa"/>
            <w:gridSpan w:val="9"/>
            <w:vAlign w:val="center"/>
          </w:tcPr>
          <w:p w14:paraId="7F3F9A88">
            <w:pPr>
              <w:jc w:val="center"/>
            </w:pPr>
            <w:r>
              <w:rPr>
                <w:rFonts w:ascii="宋体" w:hAnsi="宋体" w:eastAsia="宋体"/>
                <w:sz w:val="24"/>
              </w:rPr>
              <w:t>部门整体支出绩效自评表</w:t>
            </w:r>
          </w:p>
        </w:tc>
      </w:tr>
      <w:tr w14:paraId="4DAE3D75">
        <w:tblPrEx>
          <w:tblCellMar>
            <w:top w:w="0" w:type="dxa"/>
            <w:left w:w="108" w:type="dxa"/>
            <w:bottom w:w="0" w:type="dxa"/>
            <w:right w:w="108" w:type="dxa"/>
          </w:tblCellMar>
        </w:tblPrEx>
        <w:tc>
          <w:tcPr>
            <w:tcW w:w="8847" w:type="dxa"/>
            <w:gridSpan w:val="9"/>
            <w:vAlign w:val="center"/>
          </w:tcPr>
          <w:p w14:paraId="20172B9B">
            <w:pPr>
              <w:jc w:val="center"/>
            </w:pPr>
            <w:r>
              <w:rPr>
                <w:rFonts w:ascii="宋体" w:hAnsi="宋体" w:eastAsia="宋体"/>
                <w:sz w:val="24"/>
              </w:rPr>
              <w:t>（2024年度）</w:t>
            </w:r>
          </w:p>
        </w:tc>
      </w:tr>
      <w:tr w14:paraId="230A8E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858A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43AB20C">
            <w:pPr>
              <w:jc w:val="center"/>
            </w:pPr>
            <w:r>
              <w:rPr>
                <w:rFonts w:ascii="宋体" w:hAnsi="宋体" w:eastAsia="宋体"/>
                <w:sz w:val="16"/>
              </w:rPr>
              <w:t>新疆维吾尔自治区喀什地区粮食和物资储备局</w:t>
            </w:r>
          </w:p>
        </w:tc>
      </w:tr>
      <w:tr w14:paraId="7B5FF3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C959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8025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7CB6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9C7C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4FBD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391B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8BE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2323">
            <w:pPr>
              <w:jc w:val="center"/>
            </w:pPr>
            <w:r>
              <w:rPr>
                <w:rFonts w:ascii="宋体" w:hAnsi="宋体" w:eastAsia="宋体"/>
                <w:sz w:val="16"/>
              </w:rPr>
              <w:t>得分</w:t>
            </w:r>
          </w:p>
        </w:tc>
      </w:tr>
      <w:tr w14:paraId="341B14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622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7CBC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F543C">
            <w:pPr>
              <w:jc w:val="center"/>
            </w:pPr>
            <w:r>
              <w:rPr>
                <w:rFonts w:ascii="宋体" w:hAnsi="宋体" w:eastAsia="宋体"/>
                <w:sz w:val="16"/>
              </w:rPr>
              <w:t>2,154.58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6F0E4">
            <w:pPr>
              <w:jc w:val="center"/>
            </w:pPr>
            <w:r>
              <w:rPr>
                <w:rFonts w:ascii="宋体" w:hAnsi="宋体" w:eastAsia="宋体"/>
                <w:sz w:val="16"/>
              </w:rPr>
              <w:t>2,378.39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B065D">
            <w:pPr>
              <w:jc w:val="center"/>
            </w:pPr>
            <w:r>
              <w:rPr>
                <w:rFonts w:ascii="宋体" w:hAnsi="宋体" w:eastAsia="宋体"/>
                <w:sz w:val="16"/>
              </w:rPr>
              <w:t>2,085.52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830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8CFFF">
            <w:pPr>
              <w:jc w:val="center"/>
            </w:pPr>
            <w:r>
              <w:rPr>
                <w:rFonts w:ascii="宋体" w:hAnsi="宋体" w:eastAsia="宋体"/>
                <w:sz w:val="16"/>
              </w:rPr>
              <w:t>87.69%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745EE">
            <w:pPr>
              <w:jc w:val="center"/>
            </w:pPr>
            <w:r>
              <w:rPr>
                <w:rFonts w:ascii="宋体" w:hAnsi="宋体" w:eastAsia="宋体"/>
                <w:sz w:val="16"/>
              </w:rPr>
              <w:t>8.77</w:t>
            </w:r>
          </w:p>
        </w:tc>
      </w:tr>
      <w:tr w14:paraId="081976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1B9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5DEF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26434">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E4138">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40B31">
            <w:pPr>
              <w:jc w:val="center"/>
            </w:pPr>
            <w:r>
              <w:rPr>
                <w:rFonts w:ascii="宋体" w:hAnsi="宋体" w:eastAsia="宋体"/>
                <w:sz w:val="16"/>
              </w:rPr>
              <w:t>3.43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E70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9748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569D">
            <w:pPr>
              <w:jc w:val="center"/>
            </w:pPr>
            <w:r>
              <w:rPr>
                <w:rFonts w:ascii="宋体" w:hAnsi="宋体" w:eastAsia="宋体"/>
                <w:sz w:val="16"/>
              </w:rPr>
              <w:t>—</w:t>
            </w:r>
          </w:p>
        </w:tc>
      </w:tr>
      <w:tr w14:paraId="416556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BCA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00E8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2D0B3">
            <w:pPr>
              <w:jc w:val="center"/>
            </w:pPr>
            <w:r>
              <w:rPr>
                <w:rFonts w:ascii="宋体" w:hAnsi="宋体" w:eastAsia="宋体"/>
                <w:sz w:val="16"/>
              </w:rPr>
              <w:t>2,141.45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09368">
            <w:pPr>
              <w:jc w:val="center"/>
            </w:pPr>
            <w:r>
              <w:rPr>
                <w:rFonts w:ascii="宋体" w:hAnsi="宋体" w:eastAsia="宋体"/>
                <w:sz w:val="16"/>
              </w:rPr>
              <w:t>2,365.26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717C">
            <w:pPr>
              <w:jc w:val="center"/>
            </w:pPr>
            <w:r>
              <w:rPr>
                <w:rFonts w:ascii="宋体" w:hAnsi="宋体" w:eastAsia="宋体"/>
                <w:sz w:val="16"/>
              </w:rPr>
              <w:t>2,075.31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B311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635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0F350">
            <w:pPr>
              <w:jc w:val="center"/>
            </w:pPr>
            <w:r>
              <w:rPr>
                <w:rFonts w:ascii="宋体" w:hAnsi="宋体" w:eastAsia="宋体"/>
                <w:sz w:val="16"/>
              </w:rPr>
              <w:t>—</w:t>
            </w:r>
          </w:p>
        </w:tc>
      </w:tr>
      <w:tr w14:paraId="3ED83F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BEF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5462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5360D">
            <w:pPr>
              <w:jc w:val="center"/>
            </w:pPr>
            <w:r>
              <w:rPr>
                <w:rFonts w:ascii="宋体" w:hAnsi="宋体" w:eastAsia="宋体"/>
                <w:sz w:val="16"/>
              </w:rPr>
              <w:t>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8D59E">
            <w:pPr>
              <w:jc w:val="center"/>
            </w:pPr>
            <w:r>
              <w:rPr>
                <w:rFonts w:ascii="宋体" w:hAnsi="宋体" w:eastAsia="宋体"/>
                <w:sz w:val="16"/>
              </w:rPr>
              <w:t>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8C1E">
            <w:pPr>
              <w:jc w:val="center"/>
            </w:pPr>
            <w:r>
              <w:rPr>
                <w:rFonts w:ascii="宋体" w:hAnsi="宋体" w:eastAsia="宋体"/>
                <w:sz w:val="16"/>
              </w:rPr>
              <w:t>6.78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3B5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A14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A486">
            <w:pPr>
              <w:jc w:val="center"/>
            </w:pPr>
            <w:r>
              <w:rPr>
                <w:rFonts w:ascii="宋体" w:hAnsi="宋体" w:eastAsia="宋体"/>
                <w:sz w:val="16"/>
              </w:rPr>
              <w:t>—</w:t>
            </w:r>
          </w:p>
        </w:tc>
      </w:tr>
      <w:tr w14:paraId="734C33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8619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8CF5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F403C7">
            <w:pPr>
              <w:jc w:val="center"/>
            </w:pPr>
            <w:r>
              <w:rPr>
                <w:rFonts w:ascii="宋体" w:hAnsi="宋体" w:eastAsia="宋体"/>
                <w:sz w:val="16"/>
              </w:rPr>
              <w:t>实际完成情况</w:t>
            </w:r>
          </w:p>
        </w:tc>
      </w:tr>
      <w:tr w14:paraId="3C8951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B297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06C179">
            <w:pPr>
              <w:jc w:val="both"/>
            </w:pPr>
            <w:r>
              <w:rPr>
                <w:rFonts w:ascii="宋体" w:hAnsi="宋体" w:eastAsia="宋体"/>
                <w:sz w:val="16"/>
              </w:rPr>
              <w:t>加强粮食储备规范管理，完成地区级储备粮5万吨、县级储备粮3.7万吨；统筹市场调控形势，制定落实轮换计划，发挥好储备轮换吞吐调节作用，提升粮食收储调控能力；完成轮换各级政策性储备粮任务13.185万吨，其中中央储备粮1.89万吨、自治区级储备粮7.245万吨、地区级储备粮2.5万吨、县级储备粮1.55万吨。高位推动粮安考核工作，召开3次粮食安全责任制考核专题会议，锚定点指标考核任务，全面梳理存在的问题和不足；加大“双随机、一公开”抽查力度，加强“四不两直”检查，持续开展粮食收购督导检查工作，每季度开展一次检查；积极做好2024年财政资金、债券资金项目申报，争取自治区财政补助资金，做好2024年财政预算资金仓储设施建设项目。认真落实粮食安全战略和应急物资储备安全战略，统筹推进落实全方位夯实粮食安全根基关键举措和“区内结余、供给国家”粮食工作方针，以强化储备体系和监管能力为重点，不断加强粮食和物资储备安全管理，为保障国家粮食和物资储备安全做出喀什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99137">
            <w:pPr>
              <w:jc w:val="both"/>
            </w:pPr>
            <w:r>
              <w:rPr>
                <w:rFonts w:ascii="宋体" w:hAnsi="宋体" w:eastAsia="宋体"/>
                <w:sz w:val="16"/>
              </w:rPr>
              <w:t>完成地区级小麦原粮储备5万吨，地区级储备粮轮换2.5万吨。2024年每季度对粮食日常管理和依法监管开展监督检查，共计开展监督检查3次，召开粮安考核联席会议3次.聘用法律顾问一名，高标准完成地区粮库智能化信息系统覆盖项目，地区级粮食储备智能化信息系统覆盖率100%。喀什地区粮食和物资储备局坚持贯彻</w:t>
            </w:r>
            <w:r>
              <w:rPr>
                <w:rFonts w:hint="eastAsia" w:ascii="宋体" w:hAnsi="宋体"/>
                <w:sz w:val="16"/>
                <w:lang w:eastAsia="zh-CN"/>
              </w:rPr>
              <w:t>习近平总书记关于国家粮食安全的重要论述</w:t>
            </w:r>
            <w:r>
              <w:rPr>
                <w:rFonts w:ascii="宋体" w:hAnsi="宋体" w:eastAsia="宋体"/>
                <w:sz w:val="16"/>
              </w:rPr>
              <w:t>，坚决扛稳粮食安全政治责任，聚焦“区内结余、供给国家”粮食工作方针，以强化储备体系和监管能力建设为重点，全方位夯实粮食物资安全根基，提升粮食储备安全保障能力，守住“喀什粮仓”，管好“喀什储备”，筑牢喀什地区社会和经济发展粮食和物资储备基石。</w:t>
            </w:r>
          </w:p>
        </w:tc>
      </w:tr>
      <w:tr w14:paraId="36A6F6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6CE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5E4C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F82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BD1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4A34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DDA2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9DB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6686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DC888">
            <w:pPr>
              <w:jc w:val="center"/>
            </w:pPr>
            <w:r>
              <w:rPr>
                <w:rFonts w:ascii="宋体" w:hAnsi="宋体" w:eastAsia="宋体"/>
                <w:sz w:val="16"/>
              </w:rPr>
              <w:t>得分</w:t>
            </w:r>
          </w:p>
        </w:tc>
      </w:tr>
      <w:tr w14:paraId="7B20F9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8EB5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BC54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9A43">
            <w:pPr>
              <w:jc w:val="center"/>
            </w:pPr>
            <w:r>
              <w:rPr>
                <w:rFonts w:ascii="宋体" w:hAnsi="宋体" w:eastAsia="宋体"/>
                <w:sz w:val="16"/>
              </w:rPr>
              <w:t>地区级小麦原粮储备数量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11014">
            <w:pPr>
              <w:jc w:val="center"/>
            </w:pPr>
            <w:r>
              <w:rPr>
                <w:rFonts w:ascii="宋体" w:hAnsi="宋体" w:eastAsia="宋体"/>
                <w:sz w:val="16"/>
              </w:rPr>
              <w:t>=5万吨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9D921">
            <w:pPr>
              <w:jc w:val="center"/>
            </w:pPr>
            <w:r>
              <w:rPr>
                <w:rFonts w:ascii="宋体" w:hAnsi="宋体" w:eastAsia="宋体"/>
                <w:sz w:val="16"/>
              </w:rPr>
              <w:t>关于印发《喀什地区加强粮食储备安全管理实施方案》的通知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E45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853EC">
            <w:pPr>
              <w:jc w:val="center"/>
            </w:pPr>
            <w:r>
              <w:rPr>
                <w:rFonts w:ascii="宋体" w:hAnsi="宋体" w:eastAsia="宋体"/>
                <w:sz w:val="16"/>
              </w:rPr>
              <w:t>5万吨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76D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BAD2D">
            <w:pPr>
              <w:jc w:val="center"/>
            </w:pPr>
            <w:r>
              <w:rPr>
                <w:rFonts w:ascii="宋体" w:hAnsi="宋体" w:eastAsia="宋体"/>
                <w:sz w:val="16"/>
              </w:rPr>
              <w:t>15</w:t>
            </w:r>
          </w:p>
        </w:tc>
      </w:tr>
      <w:tr w14:paraId="09165C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FBD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E25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0AA07">
            <w:pPr>
              <w:jc w:val="center"/>
            </w:pPr>
            <w:r>
              <w:rPr>
                <w:rFonts w:ascii="宋体" w:hAnsi="宋体" w:eastAsia="宋体"/>
                <w:sz w:val="16"/>
              </w:rPr>
              <w:t>地区级储备粮轮换数量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87FB3">
            <w:pPr>
              <w:jc w:val="center"/>
            </w:pPr>
            <w:r>
              <w:rPr>
                <w:rFonts w:ascii="宋体" w:hAnsi="宋体" w:eastAsia="宋体"/>
                <w:sz w:val="16"/>
              </w:rPr>
              <w:t>=2.50万吨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FD1E9">
            <w:pPr>
              <w:jc w:val="center"/>
            </w:pPr>
            <w:r>
              <w:rPr>
                <w:rFonts w:ascii="宋体" w:hAnsi="宋体" w:eastAsia="宋体"/>
                <w:sz w:val="16"/>
              </w:rPr>
              <w:t>关于下达2023年地区级储备粮轮换计划的通知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C2F9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AC976">
            <w:pPr>
              <w:jc w:val="center"/>
            </w:pPr>
            <w:r>
              <w:rPr>
                <w:rFonts w:ascii="宋体" w:hAnsi="宋体" w:eastAsia="宋体"/>
                <w:sz w:val="16"/>
              </w:rPr>
              <w:t>2.5万吨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818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D1D29">
            <w:pPr>
              <w:jc w:val="center"/>
            </w:pPr>
            <w:r>
              <w:rPr>
                <w:rFonts w:ascii="宋体" w:hAnsi="宋体" w:eastAsia="宋体"/>
                <w:sz w:val="16"/>
              </w:rPr>
              <w:t>15</w:t>
            </w:r>
          </w:p>
        </w:tc>
      </w:tr>
      <w:tr w14:paraId="150AEE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FC7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DF4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9117C">
            <w:pPr>
              <w:jc w:val="center"/>
            </w:pPr>
            <w:r>
              <w:rPr>
                <w:rFonts w:ascii="宋体" w:hAnsi="宋体" w:eastAsia="宋体"/>
                <w:sz w:val="16"/>
              </w:rPr>
              <w:t>对粮食日常管理和依法监管开展监督检查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172FE">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2B894">
            <w:pPr>
              <w:jc w:val="center"/>
            </w:pPr>
            <w:r>
              <w:rPr>
                <w:rFonts w:ascii="宋体" w:hAnsi="宋体" w:eastAsia="宋体"/>
                <w:sz w:val="16"/>
              </w:rPr>
              <w:t>喀什地区粮食和物资储备局2024年粮食执法监督检查计划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90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6972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6C2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6B087">
            <w:pPr>
              <w:jc w:val="center"/>
            </w:pPr>
            <w:r>
              <w:rPr>
                <w:rFonts w:ascii="宋体" w:hAnsi="宋体" w:eastAsia="宋体"/>
                <w:sz w:val="16"/>
              </w:rPr>
              <w:t>20</w:t>
            </w:r>
          </w:p>
        </w:tc>
      </w:tr>
      <w:tr w14:paraId="3A1937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F5A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EE3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9A7FA">
            <w:pPr>
              <w:jc w:val="center"/>
            </w:pPr>
            <w:r>
              <w:rPr>
                <w:rFonts w:ascii="宋体" w:hAnsi="宋体" w:eastAsia="宋体"/>
                <w:sz w:val="16"/>
              </w:rPr>
              <w:t>召开粮安考核联席会议次数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CD229">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D2DD2">
            <w:pPr>
              <w:jc w:val="center"/>
            </w:pPr>
            <w:r>
              <w:rPr>
                <w:rFonts w:ascii="宋体" w:hAnsi="宋体" w:eastAsia="宋体"/>
                <w:sz w:val="16"/>
              </w:rPr>
              <w:t>2024年喀什地区粮食和物资储备局工作计划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3A1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472FF">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6B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05C34">
            <w:pPr>
              <w:jc w:val="center"/>
            </w:pPr>
            <w:r>
              <w:rPr>
                <w:rFonts w:ascii="宋体" w:hAnsi="宋体" w:eastAsia="宋体"/>
                <w:sz w:val="16"/>
              </w:rPr>
              <w:t>20</w:t>
            </w:r>
          </w:p>
        </w:tc>
      </w:tr>
      <w:tr w14:paraId="7D8E56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981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E340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3C8B2">
            <w:pPr>
              <w:jc w:val="center"/>
            </w:pPr>
            <w:r>
              <w:rPr>
                <w:rFonts w:ascii="宋体" w:hAnsi="宋体" w:eastAsia="宋体"/>
                <w:sz w:val="16"/>
              </w:rPr>
              <w:t>储备原粮数量真实率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958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3812">
            <w:pPr>
              <w:jc w:val="center"/>
            </w:pPr>
            <w:r>
              <w:rPr>
                <w:rFonts w:ascii="宋体" w:hAnsi="宋体" w:eastAsia="宋体"/>
                <w:sz w:val="16"/>
              </w:rPr>
              <w:t>关于印发《喀什地区加强粮食储备安全管理实施方案》的通知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34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4FE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ED8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58544">
            <w:pPr>
              <w:jc w:val="center"/>
            </w:pPr>
            <w:r>
              <w:rPr>
                <w:rFonts w:ascii="宋体" w:hAnsi="宋体" w:eastAsia="宋体"/>
                <w:sz w:val="16"/>
              </w:rPr>
              <w:t>20</w:t>
            </w:r>
          </w:p>
        </w:tc>
      </w:tr>
    </w:tbl>
    <w:p w14:paraId="6AD3866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CBC758C">
        <w:tblPrEx>
          <w:tblCellMar>
            <w:top w:w="0" w:type="dxa"/>
            <w:left w:w="108" w:type="dxa"/>
            <w:bottom w:w="0" w:type="dxa"/>
            <w:right w:w="108" w:type="dxa"/>
          </w:tblCellMar>
        </w:tblPrEx>
        <w:tc>
          <w:tcPr>
            <w:tcW w:w="8848" w:type="dxa"/>
            <w:gridSpan w:val="14"/>
            <w:vAlign w:val="center"/>
          </w:tcPr>
          <w:p w14:paraId="1BC51B98">
            <w:pPr>
              <w:jc w:val="center"/>
            </w:pPr>
            <w:r>
              <w:rPr>
                <w:rFonts w:ascii="宋体" w:hAnsi="宋体" w:eastAsia="宋体"/>
                <w:sz w:val="24"/>
              </w:rPr>
              <w:t>项目支出绩效自评表</w:t>
            </w:r>
          </w:p>
        </w:tc>
      </w:tr>
      <w:tr w14:paraId="13B0EE93">
        <w:tblPrEx>
          <w:tblCellMar>
            <w:top w:w="0" w:type="dxa"/>
            <w:left w:w="108" w:type="dxa"/>
            <w:bottom w:w="0" w:type="dxa"/>
            <w:right w:w="108" w:type="dxa"/>
          </w:tblCellMar>
        </w:tblPrEx>
        <w:tc>
          <w:tcPr>
            <w:tcW w:w="8848" w:type="dxa"/>
            <w:gridSpan w:val="14"/>
            <w:vAlign w:val="center"/>
          </w:tcPr>
          <w:p w14:paraId="51CD4F58">
            <w:pPr>
              <w:jc w:val="center"/>
            </w:pPr>
            <w:r>
              <w:rPr>
                <w:rFonts w:ascii="宋体" w:hAnsi="宋体" w:eastAsia="宋体"/>
                <w:sz w:val="24"/>
              </w:rPr>
              <w:t>(2024年度)</w:t>
            </w:r>
          </w:p>
        </w:tc>
      </w:tr>
      <w:tr w14:paraId="1199D9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3F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783C94">
            <w:pPr>
              <w:jc w:val="center"/>
            </w:pPr>
            <w:r>
              <w:rPr>
                <w:rFonts w:ascii="宋体" w:hAnsi="宋体" w:eastAsia="宋体"/>
                <w:sz w:val="16"/>
              </w:rPr>
              <w:t>2024年粮食和物资储备管理工作项目</w:t>
            </w:r>
          </w:p>
        </w:tc>
      </w:tr>
      <w:tr w14:paraId="728662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F6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B1579">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DD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45E9D1">
            <w:pPr>
              <w:jc w:val="center"/>
            </w:pPr>
            <w:r>
              <w:rPr>
                <w:rFonts w:ascii="宋体" w:hAnsi="宋体" w:eastAsia="宋体"/>
                <w:sz w:val="16"/>
              </w:rPr>
              <w:t>新疆维吾尔自治区喀什地区粮食和物资储备局</w:t>
            </w:r>
          </w:p>
        </w:tc>
      </w:tr>
      <w:tr w14:paraId="77B6F3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B5D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B07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5C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7F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7B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717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510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6ACC">
            <w:pPr>
              <w:jc w:val="center"/>
            </w:pPr>
            <w:r>
              <w:rPr>
                <w:rFonts w:ascii="宋体" w:hAnsi="宋体" w:eastAsia="宋体"/>
                <w:sz w:val="16"/>
              </w:rPr>
              <w:t>得分</w:t>
            </w:r>
          </w:p>
        </w:tc>
      </w:tr>
      <w:tr w14:paraId="6A5EF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48E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35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6757C">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AD31">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43E93">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EE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254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C2FE">
            <w:pPr>
              <w:jc w:val="center"/>
            </w:pPr>
            <w:r>
              <w:rPr>
                <w:rFonts w:ascii="宋体" w:hAnsi="宋体" w:eastAsia="宋体"/>
                <w:sz w:val="16"/>
              </w:rPr>
              <w:t>10.00分</w:t>
            </w:r>
          </w:p>
        </w:tc>
      </w:tr>
      <w:tr w14:paraId="7B454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C40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6F6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0CDAE">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C7C6A">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DBB1">
            <w:pPr>
              <w:jc w:val="center"/>
            </w:pPr>
            <w:r>
              <w:rPr>
                <w:rFonts w:ascii="宋体" w:hAnsi="宋体" w:eastAsia="宋体"/>
                <w:sz w:val="16"/>
              </w:rPr>
              <w:t>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1F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CEA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7C42">
            <w:pPr>
              <w:jc w:val="center"/>
            </w:pPr>
            <w:r>
              <w:rPr>
                <w:rFonts w:ascii="宋体" w:hAnsi="宋体" w:eastAsia="宋体"/>
                <w:sz w:val="16"/>
              </w:rPr>
              <w:t>—</w:t>
            </w:r>
          </w:p>
        </w:tc>
      </w:tr>
      <w:tr w14:paraId="544E0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72A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BB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EB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351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1E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3B0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EF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CC35">
            <w:pPr>
              <w:jc w:val="center"/>
            </w:pPr>
            <w:r>
              <w:rPr>
                <w:rFonts w:ascii="宋体" w:hAnsi="宋体" w:eastAsia="宋体"/>
                <w:sz w:val="16"/>
              </w:rPr>
              <w:t>—</w:t>
            </w:r>
          </w:p>
        </w:tc>
      </w:tr>
      <w:tr w14:paraId="427222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799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2A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B127EA">
            <w:pPr>
              <w:jc w:val="center"/>
            </w:pPr>
            <w:r>
              <w:rPr>
                <w:rFonts w:ascii="宋体" w:hAnsi="宋体" w:eastAsia="宋体"/>
                <w:sz w:val="16"/>
              </w:rPr>
              <w:t>实际完成情况</w:t>
            </w:r>
          </w:p>
        </w:tc>
      </w:tr>
      <w:tr w14:paraId="30AB5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6F4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3FE38">
            <w:pPr>
              <w:jc w:val="both"/>
            </w:pPr>
            <w:r>
              <w:rPr>
                <w:rFonts w:ascii="宋体" w:hAnsi="宋体" w:eastAsia="宋体"/>
                <w:sz w:val="16"/>
              </w:rPr>
              <w:t>应对自然灾害、突发事件等，配合应急管理部门及时组织应急和救灾物资出库，为了做好</w:t>
            </w:r>
            <w:r>
              <w:rPr>
                <w:rFonts w:hint="eastAsia" w:ascii="宋体" w:hAnsi="宋体"/>
                <w:sz w:val="16"/>
                <w:lang w:eastAsia="zh-CN"/>
              </w:rPr>
              <w:t>应急</w:t>
            </w:r>
            <w:r>
              <w:rPr>
                <w:rFonts w:ascii="宋体" w:hAnsi="宋体" w:eastAsia="宋体"/>
                <w:sz w:val="16"/>
              </w:rPr>
              <w:t>救援响应，保障应急和救灾物资储备库正常运行，救灾物资储备库水电暖等费用6.576万元，持续提升应对自然灾害、突发事件能力，加强管理，提升应急救灾保障能力。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21ABED">
            <w:pPr>
              <w:jc w:val="both"/>
            </w:pPr>
            <w:r>
              <w:rPr>
                <w:rFonts w:ascii="宋体" w:hAnsi="宋体" w:eastAsia="宋体"/>
                <w:sz w:val="16"/>
              </w:rPr>
              <w:t>本项目保障干部周转房1套，完成救灾库日常维护1项，保障了救灾物资库正常运行，持续提升了救灾物资储备库应急救灾保障能力，为应对自然灾害、突发事件等奠定了物资基础，实现了年初各项目标。</w:t>
            </w:r>
          </w:p>
        </w:tc>
      </w:tr>
      <w:tr w14:paraId="6B52FC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4C1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53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37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70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CA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F7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CE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6A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7A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E1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ED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C8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61A55">
            <w:pPr>
              <w:jc w:val="center"/>
            </w:pPr>
            <w:r>
              <w:rPr>
                <w:rFonts w:ascii="宋体" w:hAnsi="宋体" w:eastAsia="宋体"/>
                <w:sz w:val="16"/>
              </w:rPr>
              <w:t>偏差原因分析及改进措施</w:t>
            </w:r>
          </w:p>
        </w:tc>
      </w:tr>
      <w:tr w14:paraId="5D84DC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7AF2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728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D1D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D78A">
            <w:pPr>
              <w:jc w:val="center"/>
            </w:pPr>
            <w:r>
              <w:rPr>
                <w:rFonts w:ascii="宋体" w:hAnsi="宋体" w:eastAsia="宋体"/>
                <w:sz w:val="16"/>
              </w:rPr>
              <w:t>保障干部周转房数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245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D6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5CD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D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33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E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E4E4">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B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3DBB">
            <w:pPr>
              <w:jc w:val="center"/>
            </w:pPr>
          </w:p>
        </w:tc>
      </w:tr>
      <w:tr w14:paraId="12810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6C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47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27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0E71">
            <w:pPr>
              <w:jc w:val="center"/>
            </w:pPr>
            <w:r>
              <w:rPr>
                <w:rFonts w:ascii="宋体" w:hAnsi="宋体" w:eastAsia="宋体"/>
                <w:sz w:val="16"/>
              </w:rPr>
              <w:t>救灾库日常维护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7DC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A9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053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1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5D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E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056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0D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ABF9">
            <w:pPr>
              <w:jc w:val="center"/>
            </w:pPr>
          </w:p>
        </w:tc>
      </w:tr>
      <w:tr w14:paraId="0E61B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9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93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C7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2CE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4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8FF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4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1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03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F8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7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D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6345">
            <w:pPr>
              <w:jc w:val="center"/>
            </w:pPr>
          </w:p>
        </w:tc>
      </w:tr>
      <w:tr w14:paraId="542AF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F5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55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A0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6B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9D1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E10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FCF3">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67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7D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2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DC7F">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7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6296D">
            <w:pPr>
              <w:jc w:val="center"/>
            </w:pPr>
          </w:p>
        </w:tc>
      </w:tr>
      <w:tr w14:paraId="509B8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8DA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B67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C90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4EE0">
            <w:pPr>
              <w:jc w:val="center"/>
            </w:pPr>
            <w:r>
              <w:rPr>
                <w:rFonts w:ascii="宋体" w:hAnsi="宋体" w:eastAsia="宋体"/>
                <w:sz w:val="16"/>
              </w:rPr>
              <w:t>保障干部周转房成本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1393">
            <w:pPr>
              <w:jc w:val="center"/>
            </w:pPr>
            <w:r>
              <w:rPr>
                <w:rFonts w:ascii="宋体" w:hAnsi="宋体" w:eastAsia="宋体"/>
                <w:sz w:val="16"/>
              </w:rPr>
              <w:t>&lt;=5760元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79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8BC9">
            <w:pPr>
              <w:jc w:val="center"/>
            </w:pPr>
            <w:r>
              <w:rPr>
                <w:rFonts w:ascii="宋体" w:hAnsi="宋体" w:eastAsia="宋体"/>
                <w:sz w:val="16"/>
              </w:rPr>
              <w:t>=4800元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0C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C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A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4B7E">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C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1095A">
            <w:pPr>
              <w:jc w:val="center"/>
            </w:pPr>
          </w:p>
        </w:tc>
      </w:tr>
      <w:tr w14:paraId="2AFFA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77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8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EA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D5B1">
            <w:pPr>
              <w:jc w:val="center"/>
            </w:pPr>
            <w:r>
              <w:rPr>
                <w:rFonts w:ascii="宋体" w:hAnsi="宋体" w:eastAsia="宋体"/>
                <w:sz w:val="16"/>
              </w:rPr>
              <w:t>救灾库日常维护成本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10F7">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F98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24E0">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0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B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93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E11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D7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BC762">
            <w:pPr>
              <w:jc w:val="center"/>
            </w:pPr>
          </w:p>
        </w:tc>
      </w:tr>
      <w:tr w14:paraId="10E08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4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F8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E7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B39C5">
            <w:pPr>
              <w:jc w:val="center"/>
            </w:pPr>
            <w:r>
              <w:rPr>
                <w:rFonts w:ascii="宋体" w:hAnsi="宋体" w:eastAsia="宋体"/>
                <w:sz w:val="16"/>
              </w:rPr>
              <w:t>提升应对自然灾害、突发事件能力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5A2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53E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6BA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898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B4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3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63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6AE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5B94">
            <w:pPr>
              <w:jc w:val="center"/>
            </w:pPr>
          </w:p>
        </w:tc>
      </w:tr>
      <w:tr w14:paraId="137895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AE3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B8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C8E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CCB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92C3E1"/>
        </w:tc>
      </w:tr>
    </w:tbl>
    <w:p w14:paraId="69117C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4DB87E0">
        <w:tblPrEx>
          <w:tblCellMar>
            <w:top w:w="0" w:type="dxa"/>
            <w:left w:w="108" w:type="dxa"/>
            <w:bottom w:w="0" w:type="dxa"/>
            <w:right w:w="108" w:type="dxa"/>
          </w:tblCellMar>
        </w:tblPrEx>
        <w:tc>
          <w:tcPr>
            <w:tcW w:w="8848" w:type="dxa"/>
            <w:gridSpan w:val="14"/>
            <w:vAlign w:val="center"/>
          </w:tcPr>
          <w:p w14:paraId="69064377">
            <w:pPr>
              <w:jc w:val="center"/>
            </w:pPr>
            <w:r>
              <w:rPr>
                <w:rFonts w:ascii="宋体" w:hAnsi="宋体" w:eastAsia="宋体"/>
                <w:sz w:val="24"/>
              </w:rPr>
              <w:t>项目支出绩效自评表</w:t>
            </w:r>
          </w:p>
        </w:tc>
      </w:tr>
      <w:tr w14:paraId="01A565B0">
        <w:tblPrEx>
          <w:tblCellMar>
            <w:top w:w="0" w:type="dxa"/>
            <w:left w:w="108" w:type="dxa"/>
            <w:bottom w:w="0" w:type="dxa"/>
            <w:right w:w="108" w:type="dxa"/>
          </w:tblCellMar>
        </w:tblPrEx>
        <w:tc>
          <w:tcPr>
            <w:tcW w:w="8848" w:type="dxa"/>
            <w:gridSpan w:val="14"/>
            <w:vAlign w:val="center"/>
          </w:tcPr>
          <w:p w14:paraId="77AC7891">
            <w:pPr>
              <w:jc w:val="center"/>
            </w:pPr>
            <w:r>
              <w:rPr>
                <w:rFonts w:ascii="宋体" w:hAnsi="宋体" w:eastAsia="宋体"/>
                <w:sz w:val="24"/>
              </w:rPr>
              <w:t>(2024年度)</w:t>
            </w:r>
          </w:p>
        </w:tc>
      </w:tr>
      <w:tr w14:paraId="6CF1AB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D6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FA0843">
            <w:pPr>
              <w:jc w:val="center"/>
            </w:pPr>
            <w:r>
              <w:rPr>
                <w:rFonts w:ascii="宋体" w:hAnsi="宋体" w:eastAsia="宋体"/>
                <w:sz w:val="16"/>
              </w:rPr>
              <w:t>军供中心应急救灾物资搬运项目</w:t>
            </w:r>
          </w:p>
        </w:tc>
      </w:tr>
      <w:tr w14:paraId="74903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1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90E19">
            <w:pPr>
              <w:jc w:val="center"/>
            </w:pPr>
            <w:r>
              <w:rPr>
                <w:rFonts w:ascii="宋体" w:hAnsi="宋体" w:eastAsia="宋体"/>
                <w:sz w:val="16"/>
              </w:rPr>
              <w:t>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FA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018557">
            <w:pPr>
              <w:jc w:val="center"/>
            </w:pPr>
            <w:r>
              <w:rPr>
                <w:rFonts w:ascii="宋体" w:hAnsi="宋体" w:eastAsia="宋体"/>
                <w:sz w:val="16"/>
              </w:rPr>
              <w:t>新疆维吾尔自治区喀什地区粮食和物资储备局</w:t>
            </w:r>
          </w:p>
        </w:tc>
      </w:tr>
      <w:tr w14:paraId="40A97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F6E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C9B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A9D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3D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68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86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FD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0EE4">
            <w:pPr>
              <w:jc w:val="center"/>
            </w:pPr>
            <w:r>
              <w:rPr>
                <w:rFonts w:ascii="宋体" w:hAnsi="宋体" w:eastAsia="宋体"/>
                <w:sz w:val="16"/>
              </w:rPr>
              <w:t>得分</w:t>
            </w:r>
          </w:p>
        </w:tc>
      </w:tr>
      <w:tr w14:paraId="3E70C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D3E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ED9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40471">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2B8E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CE75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3E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C65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02C2">
            <w:pPr>
              <w:jc w:val="center"/>
            </w:pPr>
            <w:r>
              <w:rPr>
                <w:rFonts w:ascii="宋体" w:hAnsi="宋体" w:eastAsia="宋体"/>
                <w:sz w:val="16"/>
              </w:rPr>
              <w:t>10.00分</w:t>
            </w:r>
          </w:p>
        </w:tc>
      </w:tr>
      <w:tr w14:paraId="30AC5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19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ACB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84E00">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08E0E">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D725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2E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D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687F">
            <w:pPr>
              <w:jc w:val="center"/>
            </w:pPr>
            <w:r>
              <w:rPr>
                <w:rFonts w:ascii="宋体" w:hAnsi="宋体" w:eastAsia="宋体"/>
                <w:sz w:val="16"/>
              </w:rPr>
              <w:t>—</w:t>
            </w:r>
          </w:p>
        </w:tc>
      </w:tr>
      <w:tr w14:paraId="5EB2E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F6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97D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950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0F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B2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D1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1F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F9A9">
            <w:pPr>
              <w:jc w:val="center"/>
            </w:pPr>
            <w:r>
              <w:rPr>
                <w:rFonts w:ascii="宋体" w:hAnsi="宋体" w:eastAsia="宋体"/>
                <w:sz w:val="16"/>
              </w:rPr>
              <w:t>—</w:t>
            </w:r>
          </w:p>
        </w:tc>
      </w:tr>
      <w:tr w14:paraId="376B28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B75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55E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E9A50E">
            <w:pPr>
              <w:jc w:val="center"/>
            </w:pPr>
            <w:r>
              <w:rPr>
                <w:rFonts w:ascii="宋体" w:hAnsi="宋体" w:eastAsia="宋体"/>
                <w:sz w:val="16"/>
              </w:rPr>
              <w:t>实际完成情况</w:t>
            </w:r>
          </w:p>
        </w:tc>
      </w:tr>
      <w:tr w14:paraId="273C6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5CF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51783">
            <w:pPr>
              <w:jc w:val="both"/>
            </w:pPr>
            <w:r>
              <w:rPr>
                <w:rFonts w:ascii="宋体" w:hAnsi="宋体" w:eastAsia="宋体"/>
                <w:sz w:val="16"/>
              </w:rPr>
              <w:t>项目总投资1.2万元，建设内容：将存放于地区儿童福利院、军队饮食供应站等两处应急救灾物资搬运至地区应急救灾物资储备库，产生搬运费12000元。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DFF256">
            <w:pPr>
              <w:jc w:val="both"/>
            </w:pPr>
            <w:r>
              <w:rPr>
                <w:rFonts w:ascii="宋体" w:hAnsi="宋体" w:eastAsia="宋体"/>
                <w:sz w:val="16"/>
              </w:rPr>
              <w:t>将存放于地区儿童福利院、军队饮食供应站等两处应急救灾物资搬运至地区应急救灾物资储备库，支付搬运费1.2万元。</w:t>
            </w:r>
          </w:p>
        </w:tc>
      </w:tr>
      <w:tr w14:paraId="063735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ACF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D7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80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A4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099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D1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8D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9C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26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3C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192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D78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1D65A">
            <w:pPr>
              <w:jc w:val="center"/>
            </w:pPr>
            <w:r>
              <w:rPr>
                <w:rFonts w:ascii="宋体" w:hAnsi="宋体" w:eastAsia="宋体"/>
                <w:sz w:val="16"/>
              </w:rPr>
              <w:t>偏差原因分析及改进措施</w:t>
            </w:r>
          </w:p>
        </w:tc>
      </w:tr>
      <w:tr w14:paraId="75E71A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EB8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E4C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A77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A700">
            <w:pPr>
              <w:jc w:val="center"/>
            </w:pPr>
            <w:r>
              <w:rPr>
                <w:rFonts w:ascii="宋体" w:hAnsi="宋体" w:eastAsia="宋体"/>
                <w:sz w:val="16"/>
              </w:rPr>
              <w:t>搬运公司个数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C8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8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0D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96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2F6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5D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6BD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5F5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452F6">
            <w:pPr>
              <w:jc w:val="center"/>
            </w:pPr>
          </w:p>
        </w:tc>
      </w:tr>
      <w:tr w14:paraId="1B1AB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F5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2F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0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243A">
            <w:pPr>
              <w:jc w:val="center"/>
            </w:pPr>
            <w:r>
              <w:rPr>
                <w:rFonts w:ascii="宋体" w:hAnsi="宋体" w:eastAsia="宋体"/>
                <w:sz w:val="16"/>
              </w:rPr>
              <w:t>车辆运输次数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8C2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C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0F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63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4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F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9C2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66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A32ED">
            <w:pPr>
              <w:jc w:val="center"/>
            </w:pPr>
            <w:r>
              <w:rPr>
                <w:rFonts w:ascii="宋体" w:hAnsi="宋体" w:eastAsia="宋体"/>
                <w:sz w:val="16"/>
              </w:rPr>
              <w:t>原因分析：因物资量大，原定7辆车搬运一批，实际装运时物资多，增加了搬运车辆。改进措施：在今后项目申报时，做好充分的调研和考察，合理评估物资量和车辆承载能力，确保目标精准。</w:t>
            </w:r>
          </w:p>
        </w:tc>
      </w:tr>
      <w:tr w14:paraId="40694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07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58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21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67E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4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8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0D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F1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80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9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F4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05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25264">
            <w:pPr>
              <w:jc w:val="center"/>
            </w:pPr>
          </w:p>
        </w:tc>
      </w:tr>
      <w:tr w14:paraId="4BEF6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96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89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3A4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CF0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680D">
            <w:pPr>
              <w:jc w:val="center"/>
            </w:pPr>
            <w:r>
              <w:rPr>
                <w:rFonts w:ascii="宋体" w:hAnsi="宋体" w:eastAsia="宋体"/>
                <w:sz w:val="16"/>
              </w:rPr>
              <w:t>=2024年6月30</w:t>
            </w:r>
            <w:r>
              <w:rPr>
                <w:rFonts w:hint="eastAsia" w:ascii="宋体" w:hAnsi="宋体"/>
                <w:sz w:val="16"/>
                <w:lang w:eastAsia="zh-CN"/>
              </w:rPr>
              <w:t>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0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C3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B6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9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B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3397">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DB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F34A">
            <w:pPr>
              <w:jc w:val="center"/>
            </w:pPr>
          </w:p>
        </w:tc>
      </w:tr>
      <w:tr w14:paraId="595BA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35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26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34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109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1A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8A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6F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ED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2F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90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1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0AE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EC14">
            <w:pPr>
              <w:jc w:val="center"/>
            </w:pPr>
          </w:p>
        </w:tc>
      </w:tr>
      <w:tr w14:paraId="115A6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80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72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C4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474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CD7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A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D3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8B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F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A2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CF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96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C080">
            <w:pPr>
              <w:jc w:val="center"/>
            </w:pPr>
          </w:p>
        </w:tc>
      </w:tr>
      <w:tr w14:paraId="41661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7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43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19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E6E4">
            <w:pPr>
              <w:jc w:val="center"/>
            </w:pPr>
            <w:r>
              <w:rPr>
                <w:rFonts w:ascii="宋体" w:hAnsi="宋体" w:eastAsia="宋体"/>
                <w:sz w:val="16"/>
              </w:rPr>
              <w:t>提升突发事件能力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63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A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6A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459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27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00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41E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99D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8EDF">
            <w:pPr>
              <w:jc w:val="center"/>
            </w:pPr>
          </w:p>
        </w:tc>
      </w:tr>
      <w:tr w14:paraId="172E5B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0C6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199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DFC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3B91">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917DF8"/>
        </w:tc>
      </w:tr>
    </w:tbl>
    <w:p w14:paraId="1A994DA6">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29"/>
        <w:gridCol w:w="503"/>
        <w:gridCol w:w="632"/>
        <w:gridCol w:w="632"/>
        <w:gridCol w:w="632"/>
        <w:gridCol w:w="632"/>
        <w:gridCol w:w="632"/>
        <w:gridCol w:w="632"/>
        <w:gridCol w:w="632"/>
        <w:gridCol w:w="632"/>
        <w:gridCol w:w="632"/>
      </w:tblGrid>
      <w:tr w14:paraId="416F848E">
        <w:tblPrEx>
          <w:tblCellMar>
            <w:top w:w="0" w:type="dxa"/>
            <w:left w:w="108" w:type="dxa"/>
            <w:bottom w:w="0" w:type="dxa"/>
            <w:right w:w="108" w:type="dxa"/>
          </w:tblCellMar>
        </w:tblPrEx>
        <w:tc>
          <w:tcPr>
            <w:tcW w:w="8848" w:type="dxa"/>
            <w:gridSpan w:val="15"/>
            <w:vAlign w:val="center"/>
          </w:tcPr>
          <w:p w14:paraId="47F3C7A2">
            <w:pPr>
              <w:jc w:val="center"/>
            </w:pPr>
            <w:r>
              <w:rPr>
                <w:rFonts w:ascii="宋体" w:hAnsi="宋体" w:eastAsia="宋体"/>
                <w:sz w:val="24"/>
              </w:rPr>
              <w:t>项目支出绩效自评表</w:t>
            </w:r>
          </w:p>
        </w:tc>
      </w:tr>
      <w:tr w14:paraId="1221DC35">
        <w:tblPrEx>
          <w:tblCellMar>
            <w:top w:w="0" w:type="dxa"/>
            <w:left w:w="108" w:type="dxa"/>
            <w:bottom w:w="0" w:type="dxa"/>
            <w:right w:w="108" w:type="dxa"/>
          </w:tblCellMar>
        </w:tblPrEx>
        <w:tc>
          <w:tcPr>
            <w:tcW w:w="8848" w:type="dxa"/>
            <w:gridSpan w:val="15"/>
            <w:vAlign w:val="center"/>
          </w:tcPr>
          <w:p w14:paraId="34E91E6B">
            <w:pPr>
              <w:jc w:val="center"/>
            </w:pPr>
            <w:r>
              <w:rPr>
                <w:rFonts w:ascii="宋体" w:hAnsi="宋体" w:eastAsia="宋体"/>
                <w:sz w:val="24"/>
              </w:rPr>
              <w:t>(2024年度)</w:t>
            </w:r>
          </w:p>
        </w:tc>
      </w:tr>
      <w:tr w14:paraId="7CEE34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BE3F">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053862">
            <w:pPr>
              <w:jc w:val="center"/>
            </w:pPr>
            <w:r>
              <w:rPr>
                <w:rFonts w:ascii="宋体" w:hAnsi="宋体" w:eastAsia="宋体"/>
                <w:sz w:val="16"/>
              </w:rPr>
              <w:t>区域核心枢纽建设方案编制经费</w:t>
            </w:r>
          </w:p>
        </w:tc>
      </w:tr>
      <w:tr w14:paraId="09763D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34FA">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E4F3B7">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27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4DC059">
            <w:pPr>
              <w:jc w:val="center"/>
            </w:pPr>
            <w:r>
              <w:rPr>
                <w:rFonts w:ascii="宋体" w:hAnsi="宋体" w:eastAsia="宋体"/>
                <w:sz w:val="16"/>
              </w:rPr>
              <w:t>新疆维吾尔自治区喀什地区粮食和物资储备局</w:t>
            </w:r>
          </w:p>
        </w:tc>
      </w:tr>
      <w:tr w14:paraId="739D06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42F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2282">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C865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53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C8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393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C4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C437">
            <w:pPr>
              <w:jc w:val="center"/>
            </w:pPr>
            <w:r>
              <w:rPr>
                <w:rFonts w:ascii="宋体" w:hAnsi="宋体" w:eastAsia="宋体"/>
                <w:sz w:val="16"/>
              </w:rPr>
              <w:t>得分</w:t>
            </w:r>
          </w:p>
        </w:tc>
      </w:tr>
      <w:tr w14:paraId="60117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C0D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89793">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1ECED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A58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BACE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452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2B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BF22">
            <w:pPr>
              <w:jc w:val="center"/>
            </w:pPr>
            <w:r>
              <w:rPr>
                <w:rFonts w:ascii="宋体" w:hAnsi="宋体" w:eastAsia="宋体"/>
                <w:sz w:val="16"/>
              </w:rPr>
              <w:t>10.00分</w:t>
            </w:r>
          </w:p>
        </w:tc>
      </w:tr>
      <w:tr w14:paraId="4B439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AD3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1AB8E">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A6A8B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376C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AA8F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A7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97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E0BC">
            <w:pPr>
              <w:jc w:val="center"/>
            </w:pPr>
            <w:r>
              <w:rPr>
                <w:rFonts w:ascii="宋体" w:hAnsi="宋体" w:eastAsia="宋体"/>
                <w:sz w:val="16"/>
              </w:rPr>
              <w:t>—</w:t>
            </w:r>
          </w:p>
        </w:tc>
      </w:tr>
      <w:tr w14:paraId="5C9D6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53A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7BB9">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9FCC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E3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8B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3C8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51C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24A4">
            <w:pPr>
              <w:jc w:val="center"/>
            </w:pPr>
            <w:r>
              <w:rPr>
                <w:rFonts w:ascii="宋体" w:hAnsi="宋体" w:eastAsia="宋体"/>
                <w:sz w:val="16"/>
              </w:rPr>
              <w:t>—</w:t>
            </w:r>
          </w:p>
        </w:tc>
      </w:tr>
      <w:tr w14:paraId="199653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DA8F6">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49BC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1450F">
            <w:pPr>
              <w:jc w:val="center"/>
            </w:pPr>
            <w:r>
              <w:rPr>
                <w:rFonts w:ascii="宋体" w:hAnsi="宋体" w:eastAsia="宋体"/>
                <w:sz w:val="16"/>
              </w:rPr>
              <w:t>实际完成情况</w:t>
            </w:r>
          </w:p>
        </w:tc>
      </w:tr>
      <w:tr w14:paraId="084EB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B3604"/>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40E7BD">
            <w:pPr>
              <w:jc w:val="both"/>
            </w:pPr>
            <w:r>
              <w:rPr>
                <w:rFonts w:ascii="宋体" w:hAnsi="宋体" w:eastAsia="宋体"/>
                <w:sz w:val="16"/>
              </w:rPr>
              <w:t>该项目为政府采购服务类项目，主要提供服务为喀什地区粮食物流核心枢纽建设方案的编制工作，区域粮食物流核心枢纽建设方案为区域性规划方案。计划聘请粮油行业内专业的第三方机构实施区域粮食物流核心枢纽建设方案的编制，期间第三方专业机构到喀什地区实地考察调研1次，撰写区域粮食物流核心枢纽建设方案1套，建设方案包括核心枢纽基础设施建设项目1</w:t>
            </w:r>
            <w:r>
              <w:rPr>
                <w:rFonts w:hint="eastAsia" w:ascii="宋体" w:hAnsi="宋体"/>
                <w:sz w:val="16"/>
                <w:lang w:eastAsia="zh-CN"/>
              </w:rPr>
              <w:t>～</w:t>
            </w:r>
            <w:r>
              <w:rPr>
                <w:rFonts w:ascii="宋体" w:hAnsi="宋体" w:eastAsia="宋体"/>
                <w:sz w:val="16"/>
              </w:rPr>
              <w:t>2个，撰写完成后组织我局相关人员开展方案初审1次，初审通过后组织地区相关单位及行业领域专家召开评审会议1次，按照项目评审会议结果修改完成后提交相关部门征求意见同意后印发实施并申报中央、自治区项目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0B8214">
            <w:pPr>
              <w:jc w:val="both"/>
            </w:pPr>
            <w:r>
              <w:rPr>
                <w:rFonts w:ascii="宋体" w:hAnsi="宋体" w:eastAsia="宋体"/>
                <w:sz w:val="16"/>
              </w:rPr>
              <w:t>聘请北京国贸东孚科技有限责任公司实施区域粮食物流核心枢纽建设方案的编制，期间第三方专业机构到喀什地区实地考察调研1次，撰写区域粮食物流核心枢纽建设方案1套，建设方案包括核心枢纽基础设施建设项目1</w:t>
            </w:r>
            <w:r>
              <w:rPr>
                <w:rFonts w:hint="eastAsia" w:ascii="宋体" w:hAnsi="宋体"/>
                <w:sz w:val="16"/>
                <w:lang w:eastAsia="zh-CN"/>
              </w:rPr>
              <w:t>～</w:t>
            </w:r>
            <w:r>
              <w:rPr>
                <w:rFonts w:ascii="宋体" w:hAnsi="宋体" w:eastAsia="宋体"/>
                <w:sz w:val="16"/>
              </w:rPr>
              <w:t>2个，撰写完成后组织我局相关人员开展方案初审1次，初审通过后组织地区相关单位及行业领域专家召开评审会议1次，按照项目评审会议结果修改完成后提交相关部门征求意见同意后印发实施并申报中央、自治区项目支持。达到了提升粮油产业发展水平的目标。</w:t>
            </w:r>
          </w:p>
        </w:tc>
      </w:tr>
      <w:tr w14:paraId="465A5E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F6E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DE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6F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27AD">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43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BD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BA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7C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03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9A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E2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96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87324">
            <w:pPr>
              <w:jc w:val="center"/>
            </w:pPr>
            <w:r>
              <w:rPr>
                <w:rFonts w:ascii="宋体" w:hAnsi="宋体" w:eastAsia="宋体"/>
                <w:sz w:val="16"/>
              </w:rPr>
              <w:t>偏差原因分析及改进措施</w:t>
            </w:r>
          </w:p>
        </w:tc>
      </w:tr>
      <w:tr w14:paraId="65315D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4E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88F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609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813A">
            <w:pPr>
              <w:jc w:val="center"/>
            </w:pPr>
            <w:r>
              <w:rPr>
                <w:rFonts w:ascii="宋体" w:hAnsi="宋体" w:eastAsia="宋体"/>
                <w:sz w:val="16"/>
              </w:rPr>
              <w:t>编制完成区域粮食物流核心枢纽建设方案数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DBD6">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F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FE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75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4C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CA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127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B87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CF1B1">
            <w:pPr>
              <w:jc w:val="center"/>
            </w:pPr>
          </w:p>
        </w:tc>
      </w:tr>
      <w:tr w14:paraId="02829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68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590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5FD83"/>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55850">
            <w:pPr>
              <w:jc w:val="center"/>
            </w:pPr>
            <w:r>
              <w:rPr>
                <w:rFonts w:ascii="宋体" w:hAnsi="宋体" w:eastAsia="宋体"/>
                <w:sz w:val="16"/>
              </w:rPr>
              <w:t>区域粮食物流核心枢纽建设方案初稿审核</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60AAB67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D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B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CD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984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5B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38D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3A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99760">
            <w:pPr>
              <w:jc w:val="center"/>
            </w:pPr>
            <w:r>
              <w:rPr>
                <w:rFonts w:ascii="宋体" w:hAnsi="宋体" w:eastAsia="宋体"/>
                <w:sz w:val="16"/>
              </w:rPr>
              <w:t>进行项目时，按照行署办公室预审要求征求各单位意见，需要第三方再次修改。故增加1次。</w:t>
            </w:r>
          </w:p>
        </w:tc>
      </w:tr>
      <w:tr w14:paraId="17133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9B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2D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0B1A4"/>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F7D3A">
            <w:pPr>
              <w:jc w:val="center"/>
            </w:pPr>
            <w:r>
              <w:rPr>
                <w:rFonts w:ascii="宋体" w:hAnsi="宋体" w:eastAsia="宋体"/>
                <w:sz w:val="16"/>
              </w:rPr>
              <w:t>区域粮食物流核心枢纽建设方案评审印发</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34DC6F9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8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E0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38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2E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B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68C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85B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219A4">
            <w:pPr>
              <w:jc w:val="center"/>
            </w:pPr>
          </w:p>
        </w:tc>
      </w:tr>
      <w:tr w14:paraId="24EB7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DA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97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03B9">
            <w:pPr>
              <w:jc w:val="center"/>
            </w:pPr>
            <w:r>
              <w:rPr>
                <w:rFonts w:ascii="宋体" w:hAnsi="宋体" w:eastAsia="宋体"/>
                <w:sz w:val="16"/>
              </w:rPr>
              <w:t>质量指标</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7172">
            <w:pPr>
              <w:jc w:val="center"/>
            </w:pPr>
            <w:r>
              <w:rPr>
                <w:rFonts w:ascii="宋体" w:hAnsi="宋体" w:eastAsia="宋体"/>
                <w:sz w:val="16"/>
              </w:rPr>
              <w:t>方案评审通过率</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38EFC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A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26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E5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08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5F9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F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A0B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5668">
            <w:pPr>
              <w:jc w:val="center"/>
            </w:pPr>
          </w:p>
        </w:tc>
      </w:tr>
      <w:tr w14:paraId="207E3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D0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BC7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F150D">
            <w:pPr>
              <w:jc w:val="center"/>
            </w:pPr>
            <w:r>
              <w:rPr>
                <w:rFonts w:ascii="宋体" w:hAnsi="宋体" w:eastAsia="宋体"/>
                <w:sz w:val="16"/>
              </w:rPr>
              <w:t>时效指标</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D460">
            <w:pPr>
              <w:jc w:val="center"/>
            </w:pPr>
            <w:r>
              <w:rPr>
                <w:rFonts w:ascii="宋体" w:hAnsi="宋体" w:eastAsia="宋体"/>
                <w:sz w:val="16"/>
              </w:rPr>
              <w:t>资金支付及时率</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1C535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2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BB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9F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8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F5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3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537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2399">
            <w:pPr>
              <w:jc w:val="center"/>
            </w:pPr>
          </w:p>
        </w:tc>
      </w:tr>
      <w:tr w14:paraId="669D6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3C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9C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FE086"/>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FB84B">
            <w:pPr>
              <w:jc w:val="center"/>
            </w:pPr>
            <w:r>
              <w:rPr>
                <w:rFonts w:ascii="宋体" w:hAnsi="宋体" w:eastAsia="宋体"/>
                <w:sz w:val="16"/>
              </w:rPr>
              <w:t>项目完成时间</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0A4A017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C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E6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27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2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3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EA60">
            <w:pPr>
              <w:jc w:val="center"/>
            </w:pPr>
            <w:r>
              <w:rPr>
                <w:rFonts w:ascii="宋体" w:hAnsi="宋体" w:eastAsia="宋体"/>
                <w:sz w:val="16"/>
              </w:rPr>
              <w:t>=2024年11月13日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64D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F8328">
            <w:pPr>
              <w:jc w:val="center"/>
            </w:pPr>
          </w:p>
        </w:tc>
      </w:tr>
      <w:tr w14:paraId="2D968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1F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47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B282">
            <w:pPr>
              <w:jc w:val="center"/>
            </w:pPr>
            <w:r>
              <w:rPr>
                <w:rFonts w:ascii="宋体" w:hAnsi="宋体" w:eastAsia="宋体"/>
                <w:sz w:val="16"/>
              </w:rPr>
              <w:t>经济成本指标</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F8760">
            <w:pPr>
              <w:jc w:val="center"/>
            </w:pPr>
            <w:r>
              <w:rPr>
                <w:rFonts w:ascii="宋体" w:hAnsi="宋体" w:eastAsia="宋体"/>
                <w:sz w:val="16"/>
              </w:rPr>
              <w:t>成本节约率</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F80CA5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C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F1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3E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86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39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91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F0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FF388">
            <w:pPr>
              <w:jc w:val="center"/>
            </w:pPr>
          </w:p>
        </w:tc>
      </w:tr>
      <w:tr w14:paraId="4A7CC3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E6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CB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9FCD">
            <w:pPr>
              <w:jc w:val="center"/>
            </w:pPr>
            <w:r>
              <w:rPr>
                <w:rFonts w:ascii="宋体" w:hAnsi="宋体" w:eastAsia="宋体"/>
                <w:sz w:val="16"/>
              </w:rPr>
              <w:t>社会效益指标</w:t>
            </w:r>
          </w:p>
        </w:tc>
        <w:tc>
          <w:tcPr>
            <w:tcW w:w="7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DB6F0">
            <w:pPr>
              <w:jc w:val="center"/>
            </w:pPr>
            <w:r>
              <w:rPr>
                <w:rFonts w:ascii="宋体" w:hAnsi="宋体" w:eastAsia="宋体"/>
                <w:sz w:val="16"/>
              </w:rPr>
              <w:t>提升全区粮食物流吞吐能力</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03B7034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E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91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C66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C0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3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569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696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3AC9D">
            <w:pPr>
              <w:jc w:val="center"/>
            </w:pPr>
          </w:p>
        </w:tc>
      </w:tr>
      <w:tr w14:paraId="1A934EA0">
        <w:tblPrEx>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CF80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2B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E95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5B89">
            <w:pPr>
              <w:jc w:val="center"/>
            </w:pPr>
            <w:r>
              <w:rPr>
                <w:rFonts w:ascii="宋体" w:hAnsi="宋体" w:eastAsia="宋体"/>
                <w:sz w:val="16"/>
              </w:rPr>
              <w:t>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46BD1F"/>
        </w:tc>
      </w:tr>
    </w:tbl>
    <w:p w14:paraId="47B15169">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856"/>
        <w:gridCol w:w="610"/>
        <w:gridCol w:w="696"/>
        <w:gridCol w:w="617"/>
        <w:gridCol w:w="610"/>
        <w:gridCol w:w="610"/>
        <w:gridCol w:w="776"/>
        <w:gridCol w:w="631"/>
        <w:gridCol w:w="578"/>
        <w:gridCol w:w="624"/>
      </w:tblGrid>
      <w:tr w14:paraId="01999ACC">
        <w:tblPrEx>
          <w:tblCellMar>
            <w:top w:w="0" w:type="dxa"/>
            <w:left w:w="108" w:type="dxa"/>
            <w:bottom w:w="0" w:type="dxa"/>
            <w:right w:w="108" w:type="dxa"/>
          </w:tblCellMar>
        </w:tblPrEx>
        <w:tc>
          <w:tcPr>
            <w:tcW w:w="8848" w:type="dxa"/>
            <w:gridSpan w:val="14"/>
            <w:vAlign w:val="center"/>
          </w:tcPr>
          <w:p w14:paraId="5946789A">
            <w:pPr>
              <w:jc w:val="center"/>
            </w:pPr>
            <w:r>
              <w:rPr>
                <w:rFonts w:ascii="宋体" w:hAnsi="宋体" w:eastAsia="宋体"/>
                <w:sz w:val="24"/>
              </w:rPr>
              <w:t>项目支出绩效自评表</w:t>
            </w:r>
          </w:p>
        </w:tc>
      </w:tr>
      <w:tr w14:paraId="338B70D9">
        <w:tblPrEx>
          <w:tblCellMar>
            <w:top w:w="0" w:type="dxa"/>
            <w:left w:w="108" w:type="dxa"/>
            <w:bottom w:w="0" w:type="dxa"/>
            <w:right w:w="108" w:type="dxa"/>
          </w:tblCellMar>
        </w:tblPrEx>
        <w:tc>
          <w:tcPr>
            <w:tcW w:w="8848" w:type="dxa"/>
            <w:gridSpan w:val="14"/>
            <w:vAlign w:val="center"/>
          </w:tcPr>
          <w:p w14:paraId="257267FA">
            <w:pPr>
              <w:jc w:val="center"/>
            </w:pPr>
            <w:r>
              <w:rPr>
                <w:rFonts w:ascii="宋体" w:hAnsi="宋体" w:eastAsia="宋体"/>
                <w:sz w:val="24"/>
              </w:rPr>
              <w:t>(2024年度)</w:t>
            </w:r>
          </w:p>
        </w:tc>
      </w:tr>
      <w:tr w14:paraId="75A915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A0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015FB6">
            <w:pPr>
              <w:jc w:val="center"/>
            </w:pPr>
            <w:r>
              <w:rPr>
                <w:rFonts w:ascii="宋体" w:hAnsi="宋体" w:eastAsia="宋体"/>
                <w:sz w:val="16"/>
              </w:rPr>
              <w:t>地区级政策性储备原粮利息补贴和保管费用项目</w:t>
            </w:r>
          </w:p>
        </w:tc>
      </w:tr>
      <w:tr w14:paraId="052ED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41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6A5D6">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E1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35F1A4">
            <w:pPr>
              <w:jc w:val="center"/>
            </w:pPr>
            <w:r>
              <w:rPr>
                <w:rFonts w:ascii="宋体" w:hAnsi="宋体" w:eastAsia="宋体"/>
                <w:sz w:val="16"/>
              </w:rPr>
              <w:t>新疆维吾尔自治区喀什地区粮食和物资储备局</w:t>
            </w:r>
          </w:p>
        </w:tc>
      </w:tr>
      <w:tr w14:paraId="051AA2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AD0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45D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63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CC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78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1AE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C74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00CB">
            <w:pPr>
              <w:jc w:val="center"/>
            </w:pPr>
            <w:r>
              <w:rPr>
                <w:rFonts w:ascii="宋体" w:hAnsi="宋体" w:eastAsia="宋体"/>
                <w:sz w:val="16"/>
              </w:rPr>
              <w:t>得分</w:t>
            </w:r>
          </w:p>
        </w:tc>
      </w:tr>
      <w:tr w14:paraId="25ED9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0E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BC3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8116C">
            <w:pPr>
              <w:jc w:val="center"/>
            </w:pPr>
            <w:r>
              <w:rPr>
                <w:rFonts w:ascii="宋体" w:hAnsi="宋体" w:eastAsia="宋体"/>
                <w:sz w:val="16"/>
              </w:rPr>
              <w:t>1,213.49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CFDE0">
            <w:pPr>
              <w:jc w:val="center"/>
            </w:pPr>
            <w:r>
              <w:rPr>
                <w:rFonts w:ascii="宋体" w:hAnsi="宋体" w:eastAsia="宋体"/>
                <w:sz w:val="16"/>
              </w:rPr>
              <w:t>1,213.49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1C40">
            <w:pPr>
              <w:jc w:val="center"/>
            </w:pPr>
            <w:r>
              <w:rPr>
                <w:rFonts w:ascii="宋体" w:hAnsi="宋体" w:eastAsia="宋体"/>
                <w:sz w:val="16"/>
              </w:rPr>
              <w:t>926.57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8C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AC2C">
            <w:pPr>
              <w:jc w:val="center"/>
            </w:pPr>
            <w:r>
              <w:rPr>
                <w:rFonts w:ascii="宋体" w:hAnsi="宋体" w:eastAsia="宋体"/>
                <w:sz w:val="16"/>
              </w:rPr>
              <w:t>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AFD3">
            <w:pPr>
              <w:jc w:val="center"/>
            </w:pPr>
            <w:r>
              <w:rPr>
                <w:rFonts w:ascii="宋体" w:hAnsi="宋体" w:eastAsia="宋体"/>
                <w:sz w:val="16"/>
              </w:rPr>
              <w:t>4.09分</w:t>
            </w:r>
          </w:p>
        </w:tc>
      </w:tr>
      <w:tr w14:paraId="1B98C5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C48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9BF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92DD">
            <w:pPr>
              <w:jc w:val="center"/>
            </w:pPr>
            <w:r>
              <w:rPr>
                <w:rFonts w:ascii="宋体" w:hAnsi="宋体" w:eastAsia="宋体"/>
                <w:sz w:val="16"/>
              </w:rPr>
              <w:t>1,213.49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0DC0">
            <w:pPr>
              <w:jc w:val="center"/>
            </w:pPr>
            <w:r>
              <w:rPr>
                <w:rFonts w:ascii="宋体" w:hAnsi="宋体" w:eastAsia="宋体"/>
                <w:sz w:val="16"/>
              </w:rPr>
              <w:t>1,213.49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3035">
            <w:pPr>
              <w:jc w:val="center"/>
            </w:pPr>
            <w:r>
              <w:rPr>
                <w:rFonts w:ascii="宋体" w:hAnsi="宋体" w:eastAsia="宋体"/>
                <w:sz w:val="16"/>
              </w:rPr>
              <w:t>926.57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DA4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D3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6DB6">
            <w:pPr>
              <w:jc w:val="center"/>
            </w:pPr>
            <w:r>
              <w:rPr>
                <w:rFonts w:ascii="宋体" w:hAnsi="宋体" w:eastAsia="宋体"/>
                <w:sz w:val="16"/>
              </w:rPr>
              <w:t>—</w:t>
            </w:r>
          </w:p>
        </w:tc>
      </w:tr>
      <w:tr w14:paraId="11C22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115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04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09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774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7AE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D8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C93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1CD6">
            <w:pPr>
              <w:jc w:val="center"/>
            </w:pPr>
            <w:r>
              <w:rPr>
                <w:rFonts w:ascii="宋体" w:hAnsi="宋体" w:eastAsia="宋体"/>
                <w:sz w:val="16"/>
              </w:rPr>
              <w:t>—</w:t>
            </w:r>
          </w:p>
        </w:tc>
      </w:tr>
      <w:tr w14:paraId="46E0B1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88D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65E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66C014">
            <w:pPr>
              <w:jc w:val="center"/>
            </w:pPr>
            <w:r>
              <w:rPr>
                <w:rFonts w:ascii="宋体" w:hAnsi="宋体" w:eastAsia="宋体"/>
                <w:sz w:val="16"/>
              </w:rPr>
              <w:t>实际完成情况</w:t>
            </w:r>
          </w:p>
        </w:tc>
      </w:tr>
      <w:tr w14:paraId="67007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3F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CC5D3">
            <w:pPr>
              <w:jc w:val="both"/>
            </w:pPr>
            <w:r>
              <w:rPr>
                <w:rFonts w:ascii="宋体" w:hAnsi="宋体" w:eastAsia="宋体"/>
                <w:sz w:val="16"/>
              </w:rPr>
              <w:t>为贯彻落实地区《喀什地区加强粮食储备安全管理的实施方案》的通知（喀署办发〔2022〕39号文件）、《关于推进落实第一批地区政策性原粮储备有关工作的通知》（喀粮储〔2020〕15号）、《关于推进落实第二批地区政策性原粮储备有关工作的通知》（喀粮储〔2021〕9号）文件精神，进一步夯实地县（市）级粮食储备安全管理责任，根据地区需供粮人口193.33万人的实际情况，建立地区级小麦原粮储备5万吨。预计今年地方储备粮轮换2.5万吨。其中承储贷款利息费用为463.48万元，粮食承储保管费用为500万元，粮食承储轮换费用为250万元，确保了粮食安全，更好</w:t>
            </w:r>
            <w:r>
              <w:rPr>
                <w:rFonts w:hint="eastAsia" w:ascii="宋体" w:hAnsi="宋体"/>
                <w:sz w:val="16"/>
                <w:lang w:eastAsia="zh-CN"/>
              </w:rPr>
              <w:t>地</w:t>
            </w:r>
            <w:r>
              <w:rPr>
                <w:rFonts w:ascii="宋体" w:hAnsi="宋体" w:eastAsia="宋体"/>
                <w:sz w:val="16"/>
              </w:rPr>
              <w:t>服务宏观调控，有效提升应对自然灾害和突发事件能力。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B724A">
            <w:pPr>
              <w:jc w:val="both"/>
            </w:pPr>
            <w:r>
              <w:rPr>
                <w:rFonts w:ascii="宋体" w:hAnsi="宋体" w:eastAsia="宋体"/>
                <w:sz w:val="16"/>
              </w:rPr>
              <w:t>本年度拨付建立地区级小麦原粮储备5万吨，拨付利息和保管费用合计926.57万元。其中粮食承储保管费用为500万元，承储贷款利息费用为426.57万元，地区级5万吨储备数量真实，质量良好，有效提升了应对自然灾害和突发事件能力，确保了粮食安全，</w:t>
            </w:r>
            <w:r>
              <w:rPr>
                <w:rFonts w:hint="eastAsia" w:ascii="宋体" w:hAnsi="宋体"/>
                <w:sz w:val="16"/>
                <w:lang w:eastAsia="zh-CN"/>
              </w:rPr>
              <w:t>更好地</w:t>
            </w:r>
            <w:r>
              <w:rPr>
                <w:rFonts w:ascii="宋体" w:hAnsi="宋体" w:eastAsia="宋体"/>
                <w:sz w:val="16"/>
              </w:rPr>
              <w:t>服务了宏观调控。</w:t>
            </w:r>
          </w:p>
        </w:tc>
      </w:tr>
      <w:tr w14:paraId="76BA3C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82F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32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E7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58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7D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A2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0B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CA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91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26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EA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D9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BD0E">
            <w:pPr>
              <w:jc w:val="center"/>
            </w:pPr>
            <w:r>
              <w:rPr>
                <w:rFonts w:ascii="宋体" w:hAnsi="宋体" w:eastAsia="宋体"/>
                <w:sz w:val="16"/>
              </w:rPr>
              <w:t>偏差原因分析及改进措施</w:t>
            </w:r>
          </w:p>
        </w:tc>
      </w:tr>
      <w:tr w14:paraId="69D746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E8AC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387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172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60D1">
            <w:pPr>
              <w:jc w:val="center"/>
            </w:pPr>
            <w:r>
              <w:rPr>
                <w:rFonts w:ascii="宋体" w:hAnsi="宋体" w:eastAsia="宋体"/>
                <w:sz w:val="16"/>
              </w:rPr>
              <w:t>承储粮食数量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33B1">
            <w:pPr>
              <w:jc w:val="center"/>
            </w:pPr>
            <w:r>
              <w:rPr>
                <w:rFonts w:ascii="宋体" w:hAnsi="宋体" w:eastAsia="宋体"/>
                <w:sz w:val="16"/>
              </w:rPr>
              <w:t>&gt;=5万吨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311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2CF5">
            <w:pPr>
              <w:jc w:val="center"/>
            </w:pPr>
            <w:r>
              <w:rPr>
                <w:rFonts w:ascii="宋体" w:hAnsi="宋体" w:eastAsia="宋体"/>
                <w:sz w:val="16"/>
              </w:rPr>
              <w:t>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68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4F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2E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504A">
            <w:pPr>
              <w:jc w:val="center"/>
            </w:pPr>
            <w:r>
              <w:rPr>
                <w:rFonts w:ascii="宋体" w:hAnsi="宋体" w:eastAsia="宋体"/>
                <w:sz w:val="16"/>
              </w:rPr>
              <w:t>=5万吨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993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2B40">
            <w:pPr>
              <w:jc w:val="center"/>
            </w:pPr>
          </w:p>
        </w:tc>
      </w:tr>
      <w:tr w14:paraId="658A7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417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30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C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3180">
            <w:pPr>
              <w:jc w:val="center"/>
            </w:pPr>
            <w:r>
              <w:rPr>
                <w:rFonts w:ascii="宋体" w:hAnsi="宋体" w:eastAsia="宋体"/>
                <w:sz w:val="16"/>
              </w:rPr>
              <w:t>地方储备粮轮换数量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FDE5">
            <w:pPr>
              <w:jc w:val="center"/>
            </w:pPr>
            <w:r>
              <w:rPr>
                <w:rFonts w:ascii="宋体" w:hAnsi="宋体" w:eastAsia="宋体"/>
                <w:sz w:val="16"/>
              </w:rPr>
              <w:t>&gt;=2.50万吨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61E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C977E">
            <w:pPr>
              <w:jc w:val="center"/>
            </w:pPr>
            <w:r>
              <w:rPr>
                <w:rFonts w:ascii="宋体" w:hAnsi="宋体" w:eastAsia="宋体"/>
                <w:sz w:val="16"/>
              </w:rPr>
              <w:t>2.5万吨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57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9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9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F3A6">
            <w:pPr>
              <w:jc w:val="center"/>
            </w:pPr>
            <w:r>
              <w:rPr>
                <w:rFonts w:ascii="宋体" w:hAnsi="宋体" w:eastAsia="宋体"/>
                <w:sz w:val="16"/>
              </w:rPr>
              <w:t>=2.5万吨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AA0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593CB">
            <w:pPr>
              <w:jc w:val="center"/>
            </w:pPr>
          </w:p>
        </w:tc>
      </w:tr>
      <w:tr w14:paraId="5FA59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C7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45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ABE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5F4F">
            <w:pPr>
              <w:jc w:val="center"/>
            </w:pPr>
            <w:r>
              <w:rPr>
                <w:rFonts w:ascii="宋体" w:hAnsi="宋体" w:eastAsia="宋体"/>
                <w:sz w:val="16"/>
              </w:rPr>
              <w:t>储备原粮质量完好率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F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67C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B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63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79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0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4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C00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B01C">
            <w:pPr>
              <w:jc w:val="center"/>
            </w:pPr>
          </w:p>
        </w:tc>
      </w:tr>
      <w:tr w14:paraId="107F0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C44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CE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72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0176">
            <w:pPr>
              <w:jc w:val="center"/>
            </w:pPr>
            <w:r>
              <w:rPr>
                <w:rFonts w:ascii="宋体" w:hAnsi="宋体" w:eastAsia="宋体"/>
                <w:sz w:val="16"/>
              </w:rPr>
              <w:t>储备原粮数量真实率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14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EEE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B8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5C8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A9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E7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0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DB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2BAF">
            <w:pPr>
              <w:jc w:val="center"/>
            </w:pPr>
          </w:p>
        </w:tc>
      </w:tr>
      <w:tr w14:paraId="3AA08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FC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00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B7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4D4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CA3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B0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ECA6">
            <w:pPr>
              <w:jc w:val="center"/>
            </w:pPr>
            <w:r>
              <w:rPr>
                <w:rFonts w:ascii="宋体" w:hAnsi="宋体" w:eastAsia="宋体"/>
                <w:sz w:val="16"/>
              </w:rPr>
              <w:t>2023年12月26日前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7E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E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86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8C4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801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E8DE">
            <w:pPr>
              <w:jc w:val="center"/>
            </w:pPr>
          </w:p>
        </w:tc>
      </w:tr>
      <w:tr w14:paraId="3EF03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72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6EC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F1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60D6">
            <w:pPr>
              <w:jc w:val="center"/>
            </w:pPr>
            <w:r>
              <w:rPr>
                <w:rFonts w:ascii="宋体" w:hAnsi="宋体" w:eastAsia="宋体"/>
                <w:sz w:val="16"/>
              </w:rPr>
              <w:t>粮食承储贷款利息费用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47C0">
            <w:pPr>
              <w:jc w:val="center"/>
            </w:pPr>
            <w:r>
              <w:rPr>
                <w:rFonts w:ascii="宋体" w:hAnsi="宋体" w:eastAsia="宋体"/>
                <w:sz w:val="16"/>
              </w:rPr>
              <w:t>&lt;=463.48万元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1C1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DB1C">
            <w:pPr>
              <w:jc w:val="center"/>
            </w:pPr>
            <w:r>
              <w:rPr>
                <w:rFonts w:ascii="宋体" w:hAnsi="宋体" w:eastAsia="宋体"/>
                <w:sz w:val="16"/>
              </w:rPr>
              <w:t>470.74万元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0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E5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156B">
            <w:pPr>
              <w:jc w:val="center"/>
            </w:pPr>
            <w:r>
              <w:rPr>
                <w:rFonts w:ascii="宋体" w:hAnsi="宋体" w:eastAsia="宋体"/>
                <w:sz w:val="16"/>
              </w:rPr>
              <w:t>=426.57万元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04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F578B">
            <w:pPr>
              <w:jc w:val="center"/>
            </w:pPr>
            <w:r>
              <w:rPr>
                <w:rFonts w:ascii="宋体" w:hAnsi="宋体" w:eastAsia="宋体"/>
                <w:sz w:val="16"/>
              </w:rPr>
              <w:t>偏差原因：本年度利息下调，利息补贴减少。改进措施：积极与银行对接，实时掌握利息动态，精准设置绩效目标。</w:t>
            </w:r>
          </w:p>
        </w:tc>
      </w:tr>
      <w:tr w14:paraId="02ACB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4D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01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E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6499">
            <w:pPr>
              <w:jc w:val="center"/>
            </w:pPr>
            <w:r>
              <w:rPr>
                <w:rFonts w:ascii="宋体" w:hAnsi="宋体" w:eastAsia="宋体"/>
                <w:sz w:val="16"/>
              </w:rPr>
              <w:t>粮食承储保管费用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C67B">
            <w:pPr>
              <w:jc w:val="center"/>
            </w:pPr>
            <w:r>
              <w:rPr>
                <w:rFonts w:ascii="宋体" w:hAnsi="宋体" w:eastAsia="宋体"/>
                <w:sz w:val="16"/>
              </w:rPr>
              <w:t>&lt;=500万元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B01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3747">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E8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C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A3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0A8D">
            <w:pPr>
              <w:jc w:val="center"/>
            </w:pPr>
            <w:r>
              <w:rPr>
                <w:rFonts w:ascii="宋体" w:hAnsi="宋体" w:eastAsia="宋体"/>
                <w:sz w:val="16"/>
              </w:rPr>
              <w:t>=500万元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BF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C1365">
            <w:pPr>
              <w:jc w:val="center"/>
            </w:pPr>
          </w:p>
        </w:tc>
      </w:tr>
      <w:tr w14:paraId="17198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5E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BBC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9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2C94">
            <w:pPr>
              <w:jc w:val="center"/>
            </w:pPr>
            <w:r>
              <w:rPr>
                <w:rFonts w:ascii="宋体" w:hAnsi="宋体" w:eastAsia="宋体"/>
                <w:sz w:val="16"/>
              </w:rPr>
              <w:t>粮食承储轮换费用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C12F">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CEF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CC10">
            <w:pPr>
              <w:jc w:val="center"/>
            </w:pPr>
            <w:r>
              <w:rPr>
                <w:rFonts w:ascii="宋体" w:hAnsi="宋体" w:eastAsia="宋体"/>
                <w:sz w:val="16"/>
              </w:rPr>
              <w: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1D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F8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D5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030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8B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FAF2E">
            <w:pPr>
              <w:jc w:val="center"/>
            </w:pPr>
            <w:r>
              <w:rPr>
                <w:rFonts w:ascii="宋体" w:hAnsi="宋体" w:eastAsia="宋体"/>
                <w:sz w:val="16"/>
              </w:rPr>
              <w:t>偏差原因：因2024年粮食市场形势发生变化，地区级储备粮多次轮换拍卖出现流拍，12月底才完成2.5万吨地区级储备粮拍卖工作，泽普县、伽师县因拍卖时间接近年底，2024年12月31日前没有完成轮换出库入库，导致验收储备粮轮换工作延迟，无法拨付轮换费用补贴。改进措施：轮换费用补贴指标已重新纳入2025年项目预算，待轮换完成情况验收后支付至各承储企业。</w:t>
            </w:r>
          </w:p>
        </w:tc>
      </w:tr>
      <w:tr w14:paraId="1E1FD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8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67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C7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9822">
            <w:pPr>
              <w:jc w:val="center"/>
            </w:pPr>
            <w:r>
              <w:rPr>
                <w:rFonts w:ascii="宋体" w:hAnsi="宋体" w:eastAsia="宋体"/>
                <w:sz w:val="16"/>
              </w:rPr>
              <w:t>提升粮食宏观调控能力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7F7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166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DB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3D5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A7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1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21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F44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0F575">
            <w:pPr>
              <w:jc w:val="center"/>
            </w:pPr>
          </w:p>
        </w:tc>
      </w:tr>
      <w:tr w14:paraId="2641B4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0E8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7A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6CA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D38F">
            <w:pPr>
              <w:jc w:val="center"/>
            </w:pPr>
            <w:r>
              <w:rPr>
                <w:rFonts w:ascii="宋体" w:hAnsi="宋体" w:eastAsia="宋体"/>
                <w:sz w:val="16"/>
              </w:rPr>
              <w:t>87.09分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4937EF"/>
        </w:tc>
      </w:tr>
    </w:tbl>
    <w:p w14:paraId="23DFFC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36B3B40B">
        <w:tblPrEx>
          <w:tblCellMar>
            <w:top w:w="0" w:type="dxa"/>
            <w:left w:w="108" w:type="dxa"/>
            <w:bottom w:w="0" w:type="dxa"/>
            <w:right w:w="108" w:type="dxa"/>
          </w:tblCellMar>
        </w:tblPrEx>
        <w:tc>
          <w:tcPr>
            <w:tcW w:w="8848" w:type="dxa"/>
            <w:gridSpan w:val="14"/>
            <w:vAlign w:val="center"/>
          </w:tcPr>
          <w:p w14:paraId="6D300E9E">
            <w:pPr>
              <w:jc w:val="center"/>
            </w:pPr>
            <w:r>
              <w:rPr>
                <w:rFonts w:ascii="宋体" w:hAnsi="宋体" w:eastAsia="宋体"/>
                <w:sz w:val="24"/>
              </w:rPr>
              <w:t>项目支出绩效自评表</w:t>
            </w:r>
          </w:p>
        </w:tc>
      </w:tr>
      <w:tr w14:paraId="02B0EC9C">
        <w:tblPrEx>
          <w:tblCellMar>
            <w:top w:w="0" w:type="dxa"/>
            <w:left w:w="108" w:type="dxa"/>
            <w:bottom w:w="0" w:type="dxa"/>
            <w:right w:w="108" w:type="dxa"/>
          </w:tblCellMar>
        </w:tblPrEx>
        <w:tc>
          <w:tcPr>
            <w:tcW w:w="8848" w:type="dxa"/>
            <w:gridSpan w:val="14"/>
            <w:vAlign w:val="center"/>
          </w:tcPr>
          <w:p w14:paraId="21611D41">
            <w:pPr>
              <w:jc w:val="center"/>
            </w:pPr>
            <w:r>
              <w:rPr>
                <w:rFonts w:ascii="宋体" w:hAnsi="宋体" w:eastAsia="宋体"/>
                <w:sz w:val="24"/>
              </w:rPr>
              <w:t>(2024年度)</w:t>
            </w:r>
          </w:p>
        </w:tc>
      </w:tr>
      <w:tr w14:paraId="5D6609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62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EA1E7B">
            <w:pPr>
              <w:jc w:val="center"/>
            </w:pPr>
            <w:r>
              <w:rPr>
                <w:rFonts w:ascii="宋体" w:hAnsi="宋体" w:eastAsia="宋体"/>
                <w:sz w:val="16"/>
              </w:rPr>
              <w:t>应急救灾物资储备库外墙改造项目</w:t>
            </w:r>
          </w:p>
        </w:tc>
      </w:tr>
      <w:tr w14:paraId="7CDE44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29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2F9B3">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C3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0FCC3">
            <w:pPr>
              <w:jc w:val="center"/>
            </w:pPr>
            <w:r>
              <w:rPr>
                <w:rFonts w:ascii="宋体" w:hAnsi="宋体" w:eastAsia="宋体"/>
                <w:sz w:val="16"/>
              </w:rPr>
              <w:t>新疆维吾尔自治区喀什地区粮食和物资储备局</w:t>
            </w:r>
          </w:p>
        </w:tc>
      </w:tr>
      <w:tr w14:paraId="3CDE03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A2B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236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B8C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908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7E9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D98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E7B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C07A">
            <w:pPr>
              <w:jc w:val="center"/>
            </w:pPr>
            <w:r>
              <w:rPr>
                <w:rFonts w:ascii="宋体" w:hAnsi="宋体" w:eastAsia="宋体"/>
                <w:sz w:val="16"/>
              </w:rPr>
              <w:t>得分</w:t>
            </w:r>
          </w:p>
        </w:tc>
      </w:tr>
      <w:tr w14:paraId="55BFA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F3E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511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79398">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AAD14">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B4B6E">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B7A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294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4FB0">
            <w:pPr>
              <w:jc w:val="center"/>
            </w:pPr>
            <w:r>
              <w:rPr>
                <w:rFonts w:ascii="宋体" w:hAnsi="宋体" w:eastAsia="宋体"/>
                <w:sz w:val="16"/>
              </w:rPr>
              <w:t>10.00分</w:t>
            </w:r>
          </w:p>
        </w:tc>
      </w:tr>
      <w:tr w14:paraId="7D59B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7E9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F1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A381E">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547C">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18DC7">
            <w:pPr>
              <w:jc w:val="center"/>
            </w:pPr>
            <w:r>
              <w:rPr>
                <w:rFonts w:ascii="宋体" w:hAnsi="宋体" w:eastAsia="宋体"/>
                <w:sz w:val="16"/>
              </w:rPr>
              <w:t>46.60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1D5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514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723D">
            <w:pPr>
              <w:jc w:val="center"/>
            </w:pPr>
            <w:r>
              <w:rPr>
                <w:rFonts w:ascii="宋体" w:hAnsi="宋体" w:eastAsia="宋体"/>
                <w:sz w:val="16"/>
              </w:rPr>
              <w:t>—</w:t>
            </w:r>
          </w:p>
        </w:tc>
      </w:tr>
      <w:tr w14:paraId="4F25E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251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1BB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1C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ECA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ED8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52C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4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D787">
            <w:pPr>
              <w:jc w:val="center"/>
            </w:pPr>
            <w:r>
              <w:rPr>
                <w:rFonts w:ascii="宋体" w:hAnsi="宋体" w:eastAsia="宋体"/>
                <w:sz w:val="16"/>
              </w:rPr>
              <w:t>—</w:t>
            </w:r>
          </w:p>
        </w:tc>
      </w:tr>
      <w:tr w14:paraId="685973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9FE8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60E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CBC23">
            <w:pPr>
              <w:jc w:val="center"/>
            </w:pPr>
            <w:r>
              <w:rPr>
                <w:rFonts w:ascii="宋体" w:hAnsi="宋体" w:eastAsia="宋体"/>
                <w:sz w:val="16"/>
              </w:rPr>
              <w:t>实际完成情况</w:t>
            </w:r>
          </w:p>
        </w:tc>
      </w:tr>
      <w:tr w14:paraId="146CF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F19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418EA">
            <w:pPr>
              <w:jc w:val="both"/>
            </w:pPr>
            <w:r>
              <w:rPr>
                <w:rFonts w:ascii="宋体" w:hAnsi="宋体" w:eastAsia="宋体"/>
                <w:sz w:val="16"/>
              </w:rPr>
              <w:t>项目总投资46.6万元，建设内容：投入46.6万元对喀什地区救灾物资储备库的外墙进行改造，库房消防区域进行维修。项目目标：以提升仓库安全水平，提高火灾防控能力，预防和减少火灾事故的发生，确保建筑物达到国家相关消防法规的要求，保障人员和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44A1F">
            <w:pPr>
              <w:jc w:val="both"/>
            </w:pPr>
            <w:r>
              <w:rPr>
                <w:rFonts w:ascii="宋体" w:hAnsi="宋体" w:eastAsia="宋体"/>
                <w:sz w:val="16"/>
              </w:rPr>
              <w:t>投入46.6万元对救灾物资储备库一号库房、二号库房、消防室、办公室、值班室外墙进行维修维护，有效提升了应对火灾事故、突发事件的能力和水平。</w:t>
            </w:r>
          </w:p>
        </w:tc>
      </w:tr>
      <w:tr w14:paraId="3394E0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1FC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76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7F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39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96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92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3F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44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DB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13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358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9D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05DE">
            <w:pPr>
              <w:jc w:val="center"/>
            </w:pPr>
            <w:r>
              <w:rPr>
                <w:rFonts w:ascii="宋体" w:hAnsi="宋体" w:eastAsia="宋体"/>
                <w:sz w:val="16"/>
              </w:rPr>
              <w:t>偏差原因分析及改进措施</w:t>
            </w:r>
          </w:p>
        </w:tc>
      </w:tr>
      <w:tr w14:paraId="52B770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631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D94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ADC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3B34">
            <w:pPr>
              <w:jc w:val="center"/>
            </w:pPr>
            <w:r>
              <w:rPr>
                <w:rFonts w:ascii="宋体" w:hAnsi="宋体" w:eastAsia="宋体"/>
                <w:sz w:val="16"/>
              </w:rPr>
              <w:t>外墙维修数量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CD3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4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C8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60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CB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E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E22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A3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3E89">
            <w:pPr>
              <w:jc w:val="center"/>
            </w:pPr>
          </w:p>
        </w:tc>
      </w:tr>
      <w:tr w14:paraId="301B4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5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1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AD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BE23">
            <w:pPr>
              <w:jc w:val="center"/>
            </w:pPr>
            <w:r>
              <w:rPr>
                <w:rFonts w:ascii="宋体" w:hAnsi="宋体" w:eastAsia="宋体"/>
                <w:sz w:val="16"/>
              </w:rPr>
              <w:t>消防维修数量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895F">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D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5D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FC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48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88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128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39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C6A4A">
            <w:pPr>
              <w:jc w:val="center"/>
            </w:pPr>
          </w:p>
        </w:tc>
      </w:tr>
      <w:tr w14:paraId="79110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BD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78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48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3402">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6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B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F2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61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2F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49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A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479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1FEB9">
            <w:pPr>
              <w:jc w:val="center"/>
            </w:pPr>
          </w:p>
        </w:tc>
      </w:tr>
      <w:tr w14:paraId="1676A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5E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2A0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13F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225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9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8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45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28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CD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9D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0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D37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D3196">
            <w:pPr>
              <w:jc w:val="center"/>
            </w:pPr>
          </w:p>
        </w:tc>
      </w:tr>
      <w:tr w14:paraId="50C7E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BF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C9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06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1E17">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FED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3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4C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18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6A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40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E73C">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68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F14C8">
            <w:pPr>
              <w:jc w:val="center"/>
            </w:pPr>
          </w:p>
        </w:tc>
      </w:tr>
      <w:tr w14:paraId="5870B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023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B6A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D9C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141B">
            <w:pPr>
              <w:jc w:val="center"/>
            </w:pPr>
            <w:r>
              <w:rPr>
                <w:rFonts w:ascii="宋体" w:hAnsi="宋体" w:eastAsia="宋体"/>
                <w:sz w:val="16"/>
              </w:rPr>
              <w:t>外墙维修成本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F053">
            <w:pPr>
              <w:jc w:val="center"/>
            </w:pPr>
            <w:r>
              <w:rPr>
                <w:rFonts w:ascii="宋体" w:hAnsi="宋体" w:eastAsia="宋体"/>
                <w:sz w:val="16"/>
              </w:rPr>
              <w:t>&lt;=38.50万元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4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E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96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B8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A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274C">
            <w:pPr>
              <w:jc w:val="center"/>
            </w:pPr>
            <w:r>
              <w:rPr>
                <w:rFonts w:ascii="宋体" w:hAnsi="宋体" w:eastAsia="宋体"/>
                <w:sz w:val="16"/>
              </w:rPr>
              <w: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7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C908E">
            <w:pPr>
              <w:jc w:val="center"/>
            </w:pPr>
          </w:p>
        </w:tc>
      </w:tr>
      <w:tr w14:paraId="4B9E1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B2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D0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095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9A8C">
            <w:pPr>
              <w:jc w:val="center"/>
            </w:pPr>
            <w:r>
              <w:rPr>
                <w:rFonts w:ascii="宋体" w:hAnsi="宋体" w:eastAsia="宋体"/>
                <w:sz w:val="16"/>
              </w:rPr>
              <w:t>消防维修成本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4D19">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D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AB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2C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4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5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3662">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7F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37CD">
            <w:pPr>
              <w:jc w:val="center"/>
            </w:pPr>
          </w:p>
        </w:tc>
      </w:tr>
      <w:tr w14:paraId="2E4FA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3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59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13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7FC3">
            <w:pPr>
              <w:jc w:val="center"/>
            </w:pPr>
            <w:r>
              <w:rPr>
                <w:rFonts w:ascii="宋体" w:hAnsi="宋体" w:eastAsia="宋体"/>
                <w:sz w:val="16"/>
              </w:rPr>
              <w:t>提升应对火灾防控、突发事件能力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7E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D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C2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A4E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32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A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59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682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177C5">
            <w:pPr>
              <w:jc w:val="center"/>
            </w:pPr>
          </w:p>
        </w:tc>
      </w:tr>
      <w:tr w14:paraId="13BE9D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9B91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F7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E81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70D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EB54DB"/>
        </w:tc>
      </w:tr>
    </w:tbl>
    <w:p w14:paraId="53441A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A207050">
        <w:tblPrEx>
          <w:tblCellMar>
            <w:top w:w="0" w:type="dxa"/>
            <w:left w:w="108" w:type="dxa"/>
            <w:bottom w:w="0" w:type="dxa"/>
            <w:right w:w="108" w:type="dxa"/>
          </w:tblCellMar>
        </w:tblPrEx>
        <w:tc>
          <w:tcPr>
            <w:tcW w:w="8848" w:type="dxa"/>
            <w:gridSpan w:val="14"/>
            <w:vAlign w:val="center"/>
          </w:tcPr>
          <w:p w14:paraId="345665A3">
            <w:pPr>
              <w:jc w:val="center"/>
            </w:pPr>
            <w:r>
              <w:rPr>
                <w:rFonts w:ascii="宋体" w:hAnsi="宋体" w:eastAsia="宋体"/>
                <w:sz w:val="24"/>
              </w:rPr>
              <w:t>项目支出绩效自评表</w:t>
            </w:r>
          </w:p>
        </w:tc>
      </w:tr>
      <w:tr w14:paraId="6E3187B0">
        <w:tblPrEx>
          <w:tblCellMar>
            <w:top w:w="0" w:type="dxa"/>
            <w:left w:w="108" w:type="dxa"/>
            <w:bottom w:w="0" w:type="dxa"/>
            <w:right w:w="108" w:type="dxa"/>
          </w:tblCellMar>
        </w:tblPrEx>
        <w:tc>
          <w:tcPr>
            <w:tcW w:w="8848" w:type="dxa"/>
            <w:gridSpan w:val="14"/>
            <w:vAlign w:val="center"/>
          </w:tcPr>
          <w:p w14:paraId="4CECBA42">
            <w:pPr>
              <w:jc w:val="center"/>
            </w:pPr>
            <w:r>
              <w:rPr>
                <w:rFonts w:ascii="宋体" w:hAnsi="宋体" w:eastAsia="宋体"/>
                <w:sz w:val="24"/>
              </w:rPr>
              <w:t>(2024年度)</w:t>
            </w:r>
          </w:p>
        </w:tc>
      </w:tr>
      <w:tr w14:paraId="599CE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DA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95724F">
            <w:pPr>
              <w:jc w:val="center"/>
            </w:pPr>
            <w:r>
              <w:rPr>
                <w:rFonts w:ascii="宋体" w:hAnsi="宋体" w:eastAsia="宋体"/>
                <w:sz w:val="16"/>
              </w:rPr>
              <w:t>异地交流干部交通费项目</w:t>
            </w:r>
          </w:p>
        </w:tc>
      </w:tr>
      <w:tr w14:paraId="11B65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0F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BFF3C">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DC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C33FC8">
            <w:pPr>
              <w:jc w:val="center"/>
            </w:pPr>
            <w:r>
              <w:rPr>
                <w:rFonts w:ascii="宋体" w:hAnsi="宋体" w:eastAsia="宋体"/>
                <w:sz w:val="16"/>
              </w:rPr>
              <w:t>新疆维吾尔自治区喀什地区粮食和物资储备局</w:t>
            </w:r>
          </w:p>
        </w:tc>
      </w:tr>
      <w:tr w14:paraId="6B0079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A10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CEA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5CC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6B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BF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B16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EDF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7F86">
            <w:pPr>
              <w:jc w:val="center"/>
            </w:pPr>
            <w:r>
              <w:rPr>
                <w:rFonts w:ascii="宋体" w:hAnsi="宋体" w:eastAsia="宋体"/>
                <w:sz w:val="16"/>
              </w:rPr>
              <w:t>得分</w:t>
            </w:r>
          </w:p>
        </w:tc>
      </w:tr>
      <w:tr w14:paraId="06B24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1E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6BB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324C2">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25A7">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0A6A">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D59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22A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CFCF">
            <w:pPr>
              <w:jc w:val="center"/>
            </w:pPr>
            <w:r>
              <w:rPr>
                <w:rFonts w:ascii="宋体" w:hAnsi="宋体" w:eastAsia="宋体"/>
                <w:sz w:val="16"/>
              </w:rPr>
              <w:t>10.00分</w:t>
            </w:r>
          </w:p>
        </w:tc>
      </w:tr>
      <w:tr w14:paraId="1A178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485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45B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90F9">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A43D">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991C5">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81A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65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E733">
            <w:pPr>
              <w:jc w:val="center"/>
            </w:pPr>
            <w:r>
              <w:rPr>
                <w:rFonts w:ascii="宋体" w:hAnsi="宋体" w:eastAsia="宋体"/>
                <w:sz w:val="16"/>
              </w:rPr>
              <w:t>—</w:t>
            </w:r>
          </w:p>
        </w:tc>
      </w:tr>
      <w:tr w14:paraId="37E02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135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560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9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922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94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7F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9C1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F9B3">
            <w:pPr>
              <w:jc w:val="center"/>
            </w:pPr>
            <w:r>
              <w:rPr>
                <w:rFonts w:ascii="宋体" w:hAnsi="宋体" w:eastAsia="宋体"/>
                <w:sz w:val="16"/>
              </w:rPr>
              <w:t>—</w:t>
            </w:r>
          </w:p>
        </w:tc>
      </w:tr>
      <w:tr w14:paraId="407254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034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82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9B616C">
            <w:pPr>
              <w:jc w:val="center"/>
            </w:pPr>
            <w:r>
              <w:rPr>
                <w:rFonts w:ascii="宋体" w:hAnsi="宋体" w:eastAsia="宋体"/>
                <w:sz w:val="16"/>
              </w:rPr>
              <w:t>实际完成情况</w:t>
            </w:r>
          </w:p>
        </w:tc>
      </w:tr>
      <w:tr w14:paraId="49BD9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D62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1A3AB">
            <w:pPr>
              <w:jc w:val="both"/>
            </w:pPr>
            <w:r>
              <w:rPr>
                <w:rFonts w:ascii="宋体" w:hAnsi="宋体" w:eastAsia="宋体"/>
                <w:sz w:val="16"/>
              </w:rPr>
              <w:t>该项目保障1位异地交流干部至少1次的探亲交通费，保障全覆盖率100%。该项目的设立能有效保障异地交流干部交通费，是落实关心关爱干部的具体措施体现，保障异地交流干部交通费能为新疆引入人才，为发展注入新的活力，有效提升干部干事创业热情，提高干部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090EE4">
            <w:pPr>
              <w:jc w:val="both"/>
            </w:pPr>
            <w:r>
              <w:rPr>
                <w:rFonts w:ascii="宋体" w:hAnsi="宋体" w:eastAsia="宋体"/>
                <w:sz w:val="16"/>
              </w:rPr>
              <w:t>异地交流干部交通费项目作为喀什地区关心关爱干部十条措施的内容，是落实关心关爱干部的具体措施体现。项目保障了1位异地交流干部1次的探亲交通费，保障范围100%，保障覆盖率100%。保障异地交流干部交通费项目为喀什发展注入新的活力，提振了干部干事创业热情，加快推进了地区人才领域持续健康发展。</w:t>
            </w:r>
          </w:p>
        </w:tc>
      </w:tr>
      <w:tr w14:paraId="57F26D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EAE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55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99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F8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EA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E0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EB1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16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9C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B1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B8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4C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02029">
            <w:pPr>
              <w:jc w:val="center"/>
            </w:pPr>
            <w:r>
              <w:rPr>
                <w:rFonts w:ascii="宋体" w:hAnsi="宋体" w:eastAsia="宋体"/>
                <w:sz w:val="16"/>
              </w:rPr>
              <w:t>偏差原因分析及改进措施</w:t>
            </w:r>
          </w:p>
        </w:tc>
      </w:tr>
      <w:tr w14:paraId="15A6EF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9DE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01B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8DE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5934">
            <w:pPr>
              <w:jc w:val="center"/>
            </w:pPr>
            <w:r>
              <w:rPr>
                <w:rFonts w:ascii="宋体" w:hAnsi="宋体" w:eastAsia="宋体"/>
                <w:sz w:val="16"/>
              </w:rPr>
              <w:t>保障交通费次数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39D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8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47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57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2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44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C3A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38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FD8D6">
            <w:pPr>
              <w:jc w:val="center"/>
            </w:pPr>
          </w:p>
        </w:tc>
      </w:tr>
      <w:tr w14:paraId="24B60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2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D6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170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EEB2">
            <w:pPr>
              <w:jc w:val="center"/>
            </w:pPr>
            <w:r>
              <w:rPr>
                <w:rFonts w:ascii="宋体" w:hAnsi="宋体" w:eastAsia="宋体"/>
                <w:sz w:val="16"/>
              </w:rPr>
              <w:t>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4C5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FE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62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3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B3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9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069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FD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83CE">
            <w:pPr>
              <w:jc w:val="center"/>
            </w:pPr>
          </w:p>
        </w:tc>
      </w:tr>
      <w:tr w14:paraId="314FD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F0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98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97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5FF5">
            <w:pPr>
              <w:jc w:val="center"/>
            </w:pPr>
            <w:r>
              <w:rPr>
                <w:rFonts w:ascii="宋体" w:hAnsi="宋体" w:eastAsia="宋体"/>
                <w:sz w:val="16"/>
              </w:rPr>
              <w:t>异地交流干部保障交通费覆盖率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D7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2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3C6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8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8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48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8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B9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836F1">
            <w:pPr>
              <w:jc w:val="center"/>
            </w:pPr>
          </w:p>
        </w:tc>
      </w:tr>
      <w:tr w14:paraId="68480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1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62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42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74CC">
            <w:pPr>
              <w:jc w:val="center"/>
            </w:pPr>
            <w:r>
              <w:rPr>
                <w:rFonts w:ascii="宋体" w:hAnsi="宋体" w:eastAsia="宋体"/>
                <w:sz w:val="16"/>
              </w:rPr>
              <w:t>异地交流干部探亲费保障时限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5DF9">
            <w:pPr>
              <w:jc w:val="center"/>
            </w:pPr>
            <w:r>
              <w:rPr>
                <w:rFonts w:ascii="宋体" w:hAnsi="宋体" w:eastAsia="宋体"/>
                <w:sz w:val="16"/>
              </w:rPr>
              <w:t>&lt;=11个月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0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7A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8E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9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E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9708">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F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8DFA2">
            <w:pPr>
              <w:jc w:val="center"/>
            </w:pPr>
          </w:p>
        </w:tc>
      </w:tr>
      <w:tr w14:paraId="28C16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8D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B1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26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F4CE">
            <w:pPr>
              <w:jc w:val="center"/>
            </w:pPr>
            <w:r>
              <w:rPr>
                <w:rFonts w:ascii="宋体" w:hAnsi="宋体" w:eastAsia="宋体"/>
                <w:sz w:val="16"/>
              </w:rPr>
              <w:t>异地交流干部平均交通费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AC6C">
            <w:pPr>
              <w:jc w:val="center"/>
            </w:pPr>
            <w:r>
              <w:rPr>
                <w:rFonts w:ascii="宋体" w:hAnsi="宋体" w:eastAsia="宋体"/>
                <w:sz w:val="16"/>
              </w:rPr>
              <w:t>&lt;=0.72万元/人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3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34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3D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1B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20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AB3D">
            <w:pPr>
              <w:jc w:val="center"/>
            </w:pPr>
            <w:r>
              <w:rPr>
                <w:rFonts w:ascii="宋体" w:hAnsi="宋体" w:eastAsia="宋体"/>
                <w:sz w:val="16"/>
              </w:rPr>
              <w:t>=0.72万元/人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0A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5F90">
            <w:pPr>
              <w:jc w:val="center"/>
            </w:pPr>
          </w:p>
        </w:tc>
      </w:tr>
      <w:tr w14:paraId="68141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AE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C9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48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D0C2">
            <w:pPr>
              <w:jc w:val="center"/>
            </w:pPr>
            <w:r>
              <w:rPr>
                <w:rFonts w:ascii="宋体" w:hAnsi="宋体" w:eastAsia="宋体"/>
                <w:sz w:val="16"/>
              </w:rPr>
              <w:t>提高干部幸福感、获得感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F7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C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7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3D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A4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17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92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10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B647">
            <w:pPr>
              <w:jc w:val="center"/>
            </w:pPr>
          </w:p>
        </w:tc>
      </w:tr>
      <w:tr w14:paraId="4FFAF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4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F5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B4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68EA">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1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DA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A4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D6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0C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A7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7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83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86B3">
            <w:pPr>
              <w:jc w:val="center"/>
            </w:pPr>
          </w:p>
        </w:tc>
      </w:tr>
      <w:tr w14:paraId="0E5566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A97B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A4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492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2B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FFC7F5"/>
        </w:tc>
      </w:tr>
    </w:tbl>
    <w:p w14:paraId="3C46D927">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776"/>
        <w:gridCol w:w="608"/>
        <w:gridCol w:w="776"/>
        <w:gridCol w:w="616"/>
        <w:gridCol w:w="608"/>
        <w:gridCol w:w="608"/>
        <w:gridCol w:w="776"/>
        <w:gridCol w:w="632"/>
        <w:gridCol w:w="581"/>
        <w:gridCol w:w="632"/>
      </w:tblGrid>
      <w:tr w14:paraId="44E59E2F">
        <w:tblPrEx>
          <w:tblCellMar>
            <w:top w:w="0" w:type="dxa"/>
            <w:left w:w="108" w:type="dxa"/>
            <w:bottom w:w="0" w:type="dxa"/>
            <w:right w:w="108" w:type="dxa"/>
          </w:tblCellMar>
        </w:tblPrEx>
        <w:tc>
          <w:tcPr>
            <w:tcW w:w="8848" w:type="dxa"/>
            <w:gridSpan w:val="14"/>
            <w:vAlign w:val="center"/>
          </w:tcPr>
          <w:p w14:paraId="584B965F">
            <w:pPr>
              <w:jc w:val="center"/>
            </w:pPr>
            <w:r>
              <w:rPr>
                <w:rFonts w:ascii="宋体" w:hAnsi="宋体" w:eastAsia="宋体"/>
                <w:sz w:val="24"/>
              </w:rPr>
              <w:t>项目支出绩效自评表</w:t>
            </w:r>
          </w:p>
        </w:tc>
      </w:tr>
      <w:tr w14:paraId="2792CFE6">
        <w:tblPrEx>
          <w:tblCellMar>
            <w:top w:w="0" w:type="dxa"/>
            <w:left w:w="108" w:type="dxa"/>
            <w:bottom w:w="0" w:type="dxa"/>
            <w:right w:w="108" w:type="dxa"/>
          </w:tblCellMar>
        </w:tblPrEx>
        <w:tc>
          <w:tcPr>
            <w:tcW w:w="8848" w:type="dxa"/>
            <w:gridSpan w:val="14"/>
            <w:vAlign w:val="center"/>
          </w:tcPr>
          <w:p w14:paraId="07F203EF">
            <w:pPr>
              <w:jc w:val="center"/>
            </w:pPr>
            <w:r>
              <w:rPr>
                <w:rFonts w:ascii="宋体" w:hAnsi="宋体" w:eastAsia="宋体"/>
                <w:sz w:val="24"/>
              </w:rPr>
              <w:t>(2024年度)</w:t>
            </w:r>
          </w:p>
        </w:tc>
      </w:tr>
      <w:tr w14:paraId="6A04CB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0C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C53F80">
            <w:pPr>
              <w:jc w:val="center"/>
            </w:pPr>
            <w:r>
              <w:rPr>
                <w:rFonts w:ascii="宋体" w:hAnsi="宋体" w:eastAsia="宋体"/>
                <w:sz w:val="16"/>
              </w:rPr>
              <w:t>智能化粮库运行维护项目</w:t>
            </w:r>
          </w:p>
        </w:tc>
      </w:tr>
      <w:tr w14:paraId="52BC00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06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BBB5D">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0E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338A3F">
            <w:pPr>
              <w:jc w:val="center"/>
            </w:pPr>
            <w:r>
              <w:rPr>
                <w:rFonts w:ascii="宋体" w:hAnsi="宋体" w:eastAsia="宋体"/>
                <w:sz w:val="16"/>
              </w:rPr>
              <w:t>新疆维吾尔自治区喀什地区粮食和物资储备局</w:t>
            </w:r>
          </w:p>
        </w:tc>
      </w:tr>
      <w:tr w14:paraId="21BF0C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50F9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DB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4C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150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F67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E40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4B4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6212">
            <w:pPr>
              <w:jc w:val="center"/>
            </w:pPr>
            <w:r>
              <w:rPr>
                <w:rFonts w:ascii="宋体" w:hAnsi="宋体" w:eastAsia="宋体"/>
                <w:sz w:val="16"/>
              </w:rPr>
              <w:t>得分</w:t>
            </w:r>
          </w:p>
        </w:tc>
      </w:tr>
      <w:tr w14:paraId="1FE80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B2A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D3B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1EC24">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68A17">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8DE1">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952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42C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A65C">
            <w:pPr>
              <w:jc w:val="center"/>
            </w:pPr>
            <w:r>
              <w:rPr>
                <w:rFonts w:ascii="宋体" w:hAnsi="宋体" w:eastAsia="宋体"/>
                <w:sz w:val="16"/>
              </w:rPr>
              <w:t>10.00分</w:t>
            </w:r>
          </w:p>
        </w:tc>
      </w:tr>
      <w:tr w14:paraId="5F498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A31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D1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8200">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E4E0E">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E88BC">
            <w:pPr>
              <w:jc w:val="center"/>
            </w:pPr>
            <w:r>
              <w:rPr>
                <w:rFonts w:ascii="宋体" w:hAnsi="宋体" w:eastAsia="宋体"/>
                <w:sz w:val="16"/>
              </w:rPr>
              <w:t>35.31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199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9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4A66">
            <w:pPr>
              <w:jc w:val="center"/>
            </w:pPr>
            <w:r>
              <w:rPr>
                <w:rFonts w:ascii="宋体" w:hAnsi="宋体" w:eastAsia="宋体"/>
                <w:sz w:val="16"/>
              </w:rPr>
              <w:t>—</w:t>
            </w:r>
          </w:p>
        </w:tc>
      </w:tr>
      <w:tr w14:paraId="3E1E9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ED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1B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00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6AA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99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35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386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AC19">
            <w:pPr>
              <w:jc w:val="center"/>
            </w:pPr>
            <w:r>
              <w:rPr>
                <w:rFonts w:ascii="宋体" w:hAnsi="宋体" w:eastAsia="宋体"/>
                <w:sz w:val="16"/>
              </w:rPr>
              <w:t>—</w:t>
            </w:r>
          </w:p>
        </w:tc>
      </w:tr>
      <w:tr w14:paraId="5F85D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8B9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2F5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A2275A">
            <w:pPr>
              <w:jc w:val="center"/>
            </w:pPr>
            <w:r>
              <w:rPr>
                <w:rFonts w:ascii="宋体" w:hAnsi="宋体" w:eastAsia="宋体"/>
                <w:sz w:val="16"/>
              </w:rPr>
              <w:t>实际完成情况</w:t>
            </w:r>
          </w:p>
        </w:tc>
      </w:tr>
      <w:tr w14:paraId="28AFA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B89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5E649">
            <w:pPr>
              <w:jc w:val="both"/>
            </w:pPr>
            <w:r>
              <w:rPr>
                <w:rFonts w:ascii="宋体" w:hAnsi="宋体" w:eastAsia="宋体"/>
                <w:sz w:val="16"/>
              </w:rPr>
              <w:t>该项目为切实保障好粮食购销监管信息化平台正常运转运营，提高政策性储备粮信息化监管数据质量，确保平台平稳运行并在发生故障或服务器崩溃等特殊情况时能够及时修复设立，项目实施地点为喀什市，计划实施内容为聘请信息化监管平台承建单位提供运行维护和平台软件质保服务，同时在喀什地区粮食和物资储备局派驻1—2名专业软件工程师驻点开展运行维护和平台软件质保服务，及时修正国家、自治区反馈的粮食购销监管信息化平台错误数据，特别是在夏粮收购、政策性储备粮轮换出入库期间7*24小时提供运维保障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967DC">
            <w:pPr>
              <w:jc w:val="both"/>
            </w:pPr>
            <w:r>
              <w:rPr>
                <w:rFonts w:ascii="宋体" w:hAnsi="宋体" w:eastAsia="宋体"/>
                <w:sz w:val="16"/>
              </w:rPr>
              <w:t>一是聘请信息化监管平台承建单位提供运行维护和平台软件质保服务，同时在喀什地区粮食和物资储备局派驻1—2名专业软件工程师驻点开展运行维护和平台软件质保服务，及时修正国家、自治区反馈的粮食购销监管信息化平台错误数据，政策性储备粮轮换出入库期间7*24小时提供运维保障服务。目前，政策性粮食各项监管数据已完成修正上传，并按合同要求完成了付款。</w:t>
            </w:r>
          </w:p>
        </w:tc>
      </w:tr>
      <w:tr w14:paraId="65957D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5FEF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E6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D2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73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1A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8A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E5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D0D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5D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B1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AC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3F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2B02">
            <w:pPr>
              <w:jc w:val="center"/>
            </w:pPr>
            <w:r>
              <w:rPr>
                <w:rFonts w:ascii="宋体" w:hAnsi="宋体" w:eastAsia="宋体"/>
                <w:sz w:val="16"/>
              </w:rPr>
              <w:t>偏差原因分析及改进措施</w:t>
            </w:r>
          </w:p>
        </w:tc>
      </w:tr>
      <w:tr w14:paraId="4543D4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B0A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972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2AE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55B2">
            <w:pPr>
              <w:jc w:val="center"/>
            </w:pPr>
            <w:r>
              <w:rPr>
                <w:rFonts w:ascii="宋体" w:hAnsi="宋体" w:eastAsia="宋体"/>
                <w:sz w:val="16"/>
              </w:rPr>
              <w:t>培训服务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680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371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255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82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7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63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6112">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D619">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82A4">
            <w:pPr>
              <w:jc w:val="center"/>
            </w:pPr>
            <w:r>
              <w:rPr>
                <w:rFonts w:ascii="宋体" w:hAnsi="宋体" w:eastAsia="宋体"/>
                <w:sz w:val="16"/>
              </w:rPr>
              <w:t>偏差原因：根据县市工作人员反馈，部分基层操作人员不熟悉该平台操作，所以增加一次培训。改进措施：年初制定目标时，要充分考虑基层实际。</w:t>
            </w:r>
          </w:p>
        </w:tc>
      </w:tr>
      <w:tr w14:paraId="09578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02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7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7CA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793D">
            <w:pPr>
              <w:jc w:val="center"/>
            </w:pPr>
            <w:r>
              <w:rPr>
                <w:rFonts w:ascii="宋体" w:hAnsi="宋体" w:eastAsia="宋体"/>
                <w:sz w:val="16"/>
              </w:rPr>
              <w:t>耕地保护和粮食安全考核数据质量评分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FC6F">
            <w:pPr>
              <w:jc w:val="center"/>
            </w:pPr>
            <w:r>
              <w:rPr>
                <w:rFonts w:ascii="宋体" w:hAnsi="宋体" w:eastAsia="宋体"/>
                <w:sz w:val="16"/>
              </w:rPr>
              <w:t>&gt;=95分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C67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3099">
            <w:pPr>
              <w:jc w:val="center"/>
            </w:pPr>
            <w:r>
              <w:rPr>
                <w:rFonts w:ascii="宋体" w:hAnsi="宋体" w:eastAsia="宋体"/>
                <w:sz w:val="16"/>
              </w:rPr>
              <w:t>=95分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F7B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A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41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040A">
            <w:pPr>
              <w:jc w:val="center"/>
            </w:pPr>
            <w:r>
              <w:rPr>
                <w:rFonts w:ascii="宋体" w:hAnsi="宋体" w:eastAsia="宋体"/>
                <w:sz w:val="16"/>
              </w:rPr>
              <w:t>=95分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955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691E4">
            <w:pPr>
              <w:jc w:val="center"/>
            </w:pPr>
          </w:p>
        </w:tc>
      </w:tr>
      <w:tr w14:paraId="25703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73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9E1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DAB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068B">
            <w:pPr>
              <w:jc w:val="center"/>
            </w:pPr>
            <w:r>
              <w:rPr>
                <w:rFonts w:ascii="宋体" w:hAnsi="宋体" w:eastAsia="宋体"/>
                <w:sz w:val="16"/>
              </w:rPr>
              <w:t>错误数据及时修正率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54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4AB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95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2D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D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4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C295">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56AD">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B6A62">
            <w:pPr>
              <w:jc w:val="center"/>
            </w:pPr>
            <w:r>
              <w:rPr>
                <w:rFonts w:ascii="宋体" w:hAnsi="宋体" w:eastAsia="宋体"/>
                <w:sz w:val="16"/>
              </w:rPr>
              <w:t>偏差原因：在实际操作中，因工作人员提高了熟练度，及时修复率超过预期。改进措施：年初设定目标时，要充分考虑实际。</w:t>
            </w:r>
          </w:p>
        </w:tc>
      </w:tr>
      <w:tr w14:paraId="762F2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E8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C2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5B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F17A">
            <w:pPr>
              <w:jc w:val="center"/>
            </w:pPr>
            <w:r>
              <w:rPr>
                <w:rFonts w:ascii="宋体" w:hAnsi="宋体" w:eastAsia="宋体"/>
                <w:sz w:val="16"/>
              </w:rPr>
              <w:t>视频在线率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590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EF8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090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54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0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4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74BB">
            <w:pPr>
              <w:jc w:val="center"/>
            </w:pPr>
            <w:r>
              <w:rPr>
                <w:rFonts w:ascii="宋体" w:hAnsi="宋体" w:eastAsia="宋体"/>
                <w:sz w:val="16"/>
              </w:rPr>
              <w:t>=98.67%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7A48">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CAA2">
            <w:pPr>
              <w:jc w:val="center"/>
            </w:pPr>
            <w:r>
              <w:rPr>
                <w:rFonts w:ascii="宋体" w:hAnsi="宋体" w:eastAsia="宋体"/>
                <w:sz w:val="16"/>
              </w:rPr>
              <w:t>偏差原因：在实际操作中，因工作人员提高了熟练度，视频在线率超过预期。改进措施：年初设定目标时，要充分考虑实际</w:t>
            </w:r>
          </w:p>
        </w:tc>
      </w:tr>
      <w:tr w14:paraId="449E3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A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238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DD4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AE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1A4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FEF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0D96">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0B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D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18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B196">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84D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71432">
            <w:pPr>
              <w:jc w:val="center"/>
            </w:pPr>
          </w:p>
        </w:tc>
      </w:tr>
      <w:tr w14:paraId="5EB8C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C5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81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2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D037">
            <w:pPr>
              <w:jc w:val="center"/>
            </w:pPr>
            <w:r>
              <w:rPr>
                <w:rFonts w:ascii="宋体" w:hAnsi="宋体" w:eastAsia="宋体"/>
                <w:sz w:val="16"/>
              </w:rPr>
              <w:t>故障及时修复率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FD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614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41A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4B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FB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91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CE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F27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E35C5">
            <w:pPr>
              <w:jc w:val="center"/>
            </w:pPr>
          </w:p>
        </w:tc>
      </w:tr>
      <w:tr w14:paraId="537D0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7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0D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E1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FBB3">
            <w:pPr>
              <w:jc w:val="center"/>
            </w:pPr>
            <w:r>
              <w:rPr>
                <w:rFonts w:ascii="宋体" w:hAnsi="宋体" w:eastAsia="宋体"/>
                <w:sz w:val="16"/>
              </w:rPr>
              <w:t>运行维护成本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36E1">
            <w:pPr>
              <w:jc w:val="center"/>
            </w:pPr>
            <w:r>
              <w:rPr>
                <w:rFonts w:ascii="宋体" w:hAnsi="宋体" w:eastAsia="宋体"/>
                <w:sz w:val="16"/>
              </w:rPr>
              <w:t>&lt;=35.31万元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393A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3AFD">
            <w:pPr>
              <w:jc w:val="center"/>
            </w:pPr>
            <w:r>
              <w:rPr>
                <w:rFonts w:ascii="宋体" w:hAnsi="宋体" w:eastAsia="宋体"/>
                <w:sz w:val="16"/>
              </w:rPr>
              <w:t>=217.27万元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4B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9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8C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7F17">
            <w:pPr>
              <w:jc w:val="center"/>
            </w:pPr>
            <w:r>
              <w:rPr>
                <w:rFonts w:ascii="宋体" w:hAnsi="宋体" w:eastAsia="宋体"/>
                <w:sz w:val="16"/>
              </w:rPr>
              <w:t>=35.31万元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F4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B546">
            <w:pPr>
              <w:jc w:val="center"/>
            </w:pPr>
          </w:p>
        </w:tc>
      </w:tr>
      <w:tr w14:paraId="43FF76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97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7A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22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5684">
            <w:pPr>
              <w:jc w:val="center"/>
            </w:pPr>
            <w:r>
              <w:rPr>
                <w:rFonts w:ascii="宋体" w:hAnsi="宋体" w:eastAsia="宋体"/>
                <w:sz w:val="16"/>
              </w:rPr>
              <w:t>服务基层企业水平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A6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C23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958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0E1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A96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E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B9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81B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08B40">
            <w:pPr>
              <w:jc w:val="center"/>
            </w:pPr>
          </w:p>
        </w:tc>
      </w:tr>
      <w:tr w14:paraId="760BC51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E4C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4E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E2EF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EA86">
            <w:pPr>
              <w:jc w:val="center"/>
            </w:pPr>
            <w:r>
              <w:rPr>
                <w:rFonts w:ascii="宋体" w:hAnsi="宋体" w:eastAsia="宋体"/>
                <w:sz w:val="16"/>
              </w:rPr>
              <w:t>96.69分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AF504C"/>
        </w:tc>
      </w:tr>
    </w:tbl>
    <w:p w14:paraId="1603C1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7A0C0E">
        <w:tblPrEx>
          <w:tblCellMar>
            <w:top w:w="0" w:type="dxa"/>
            <w:left w:w="108" w:type="dxa"/>
            <w:bottom w:w="0" w:type="dxa"/>
            <w:right w:w="108" w:type="dxa"/>
          </w:tblCellMar>
        </w:tblPrEx>
        <w:tc>
          <w:tcPr>
            <w:tcW w:w="8848" w:type="dxa"/>
            <w:gridSpan w:val="14"/>
            <w:vAlign w:val="center"/>
          </w:tcPr>
          <w:p w14:paraId="0DC9CF28">
            <w:pPr>
              <w:jc w:val="center"/>
            </w:pPr>
            <w:r>
              <w:rPr>
                <w:rFonts w:ascii="宋体" w:hAnsi="宋体" w:eastAsia="宋体"/>
                <w:sz w:val="24"/>
              </w:rPr>
              <w:t>项目支出绩效自评表</w:t>
            </w:r>
          </w:p>
        </w:tc>
      </w:tr>
      <w:tr w14:paraId="6E547E37">
        <w:tblPrEx>
          <w:tblCellMar>
            <w:top w:w="0" w:type="dxa"/>
            <w:left w:w="108" w:type="dxa"/>
            <w:bottom w:w="0" w:type="dxa"/>
            <w:right w:w="108" w:type="dxa"/>
          </w:tblCellMar>
        </w:tblPrEx>
        <w:tc>
          <w:tcPr>
            <w:tcW w:w="8848" w:type="dxa"/>
            <w:gridSpan w:val="14"/>
            <w:vAlign w:val="center"/>
          </w:tcPr>
          <w:p w14:paraId="65F3A6F6">
            <w:pPr>
              <w:jc w:val="center"/>
            </w:pPr>
            <w:r>
              <w:rPr>
                <w:rFonts w:ascii="宋体" w:hAnsi="宋体" w:eastAsia="宋体"/>
                <w:sz w:val="24"/>
              </w:rPr>
              <w:t>(2024年度)</w:t>
            </w:r>
          </w:p>
        </w:tc>
      </w:tr>
      <w:tr w14:paraId="28B659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CF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FCC218">
            <w:pPr>
              <w:jc w:val="center"/>
            </w:pPr>
            <w:r>
              <w:rPr>
                <w:rFonts w:ascii="宋体" w:hAnsi="宋体" w:eastAsia="宋体"/>
                <w:sz w:val="16"/>
              </w:rPr>
              <w:t>粮储业务执法检查项目</w:t>
            </w:r>
          </w:p>
        </w:tc>
      </w:tr>
      <w:tr w14:paraId="39C696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CC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9B4AD">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DE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B29A00">
            <w:pPr>
              <w:jc w:val="center"/>
            </w:pPr>
            <w:r>
              <w:rPr>
                <w:rFonts w:ascii="宋体" w:hAnsi="宋体" w:eastAsia="宋体"/>
                <w:sz w:val="16"/>
              </w:rPr>
              <w:t>新疆维吾尔自治区喀什地区粮食和物资储备局</w:t>
            </w:r>
          </w:p>
        </w:tc>
      </w:tr>
      <w:tr w14:paraId="2B460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81B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813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85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11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84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792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D4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A350">
            <w:pPr>
              <w:jc w:val="center"/>
            </w:pPr>
            <w:r>
              <w:rPr>
                <w:rFonts w:ascii="宋体" w:hAnsi="宋体" w:eastAsia="宋体"/>
                <w:sz w:val="16"/>
              </w:rPr>
              <w:t>得分</w:t>
            </w:r>
          </w:p>
        </w:tc>
      </w:tr>
      <w:tr w14:paraId="2DC7B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C28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A9F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B3D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6BE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54D1">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CBB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4FA9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B4D0">
            <w:pPr>
              <w:jc w:val="center"/>
            </w:pPr>
            <w:r>
              <w:rPr>
                <w:rFonts w:ascii="宋体" w:hAnsi="宋体" w:eastAsia="宋体"/>
                <w:sz w:val="16"/>
              </w:rPr>
              <w:t>10.00分</w:t>
            </w:r>
          </w:p>
        </w:tc>
      </w:tr>
      <w:tr w14:paraId="721C1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048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BE8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DE2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596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CE6E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9FC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F0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14B7">
            <w:pPr>
              <w:jc w:val="center"/>
            </w:pPr>
            <w:r>
              <w:rPr>
                <w:rFonts w:ascii="宋体" w:hAnsi="宋体" w:eastAsia="宋体"/>
                <w:sz w:val="16"/>
              </w:rPr>
              <w:t>—</w:t>
            </w:r>
          </w:p>
        </w:tc>
      </w:tr>
      <w:tr w14:paraId="000BC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C7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DB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6B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74E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78A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E76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7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92F1">
            <w:pPr>
              <w:jc w:val="center"/>
            </w:pPr>
            <w:r>
              <w:rPr>
                <w:rFonts w:ascii="宋体" w:hAnsi="宋体" w:eastAsia="宋体"/>
                <w:sz w:val="16"/>
              </w:rPr>
              <w:t>—</w:t>
            </w:r>
          </w:p>
        </w:tc>
      </w:tr>
      <w:tr w14:paraId="4B319B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627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3B1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FDB75C">
            <w:pPr>
              <w:jc w:val="center"/>
            </w:pPr>
            <w:r>
              <w:rPr>
                <w:rFonts w:ascii="宋体" w:hAnsi="宋体" w:eastAsia="宋体"/>
                <w:sz w:val="16"/>
              </w:rPr>
              <w:t>实际完成情况</w:t>
            </w:r>
          </w:p>
        </w:tc>
      </w:tr>
      <w:tr w14:paraId="54D56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A34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84B5F">
            <w:pPr>
              <w:jc w:val="both"/>
            </w:pPr>
            <w:r>
              <w:rPr>
                <w:rFonts w:ascii="宋体" w:hAnsi="宋体" w:eastAsia="宋体"/>
                <w:sz w:val="16"/>
              </w:rPr>
              <w:t>2024年对喀什地区粮食安全生产、夏粮收购和粮食库存质量和数量进行专项检查和定期巡查。监督检查国有粮食企业三个安全是否符合要求，粮食购销存环节是否执行国家、自治区粮食政策质量标准、粮食库存数量与质量是否相符等情况，预计3月开始检查，12月结束，检查至少9次，每次参加督导检查人数7人以上，每次检查3天以上，预计开支6万元，确保粮食购销存环节不出问题，保障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3EF0D">
            <w:pPr>
              <w:jc w:val="both"/>
            </w:pPr>
            <w:r>
              <w:rPr>
                <w:rFonts w:ascii="宋体" w:hAnsi="宋体" w:eastAsia="宋体"/>
                <w:sz w:val="16"/>
              </w:rPr>
              <w:t>一、确保粮食储备安全，提升监管效能，通过业务检查，对数量、质量、储存安全全覆盖检查，2024年开展9次，检查人次7人，平均每次均在3天以上，涉及安全储粮、生产、信息化管理，全年查办案件12起，有效压实企业主体责任，推动了问题整改，防范经营风险，促进制度完善与长效机制建设，预防腐败与强化廉政建设，维护了喀什地区粮食市场秩序，保障了农民的利益，显著提升粮食储备安全水平。未来需进一步强化技术手段和社会参与，巩固检查结果，筑牢粮食安全底线。</w:t>
            </w:r>
          </w:p>
        </w:tc>
      </w:tr>
      <w:tr w14:paraId="187745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A5E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07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98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66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93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F6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22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4C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BD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30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FA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F6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6CBF0">
            <w:pPr>
              <w:jc w:val="center"/>
            </w:pPr>
            <w:r>
              <w:rPr>
                <w:rFonts w:ascii="宋体" w:hAnsi="宋体" w:eastAsia="宋体"/>
                <w:sz w:val="16"/>
              </w:rPr>
              <w:t>偏差原因分析及改进措施</w:t>
            </w:r>
          </w:p>
        </w:tc>
      </w:tr>
      <w:tr w14:paraId="7ECB32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FE7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C2C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2D8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26F9">
            <w:pPr>
              <w:jc w:val="center"/>
            </w:pPr>
            <w:r>
              <w:rPr>
                <w:rFonts w:ascii="宋体" w:hAnsi="宋体" w:eastAsia="宋体"/>
                <w:sz w:val="16"/>
              </w:rPr>
              <w:t>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1EA2">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DF7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6B21">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25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F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0D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99A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11D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DDD1E">
            <w:pPr>
              <w:jc w:val="center"/>
            </w:pPr>
          </w:p>
        </w:tc>
      </w:tr>
      <w:tr w14:paraId="49132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C7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C6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B4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E53F">
            <w:pPr>
              <w:jc w:val="center"/>
            </w:pPr>
            <w:r>
              <w:rPr>
                <w:rFonts w:ascii="宋体" w:hAnsi="宋体" w:eastAsia="宋体"/>
                <w:sz w:val="16"/>
              </w:rPr>
              <w:t>每次检查天数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19C0">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C25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D608">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0C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C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01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67F7">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7FF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B673C">
            <w:pPr>
              <w:jc w:val="center"/>
            </w:pPr>
          </w:p>
        </w:tc>
      </w:tr>
      <w:tr w14:paraId="68FA7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36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41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2B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DE62">
            <w:pPr>
              <w:jc w:val="center"/>
            </w:pPr>
            <w:r>
              <w:rPr>
                <w:rFonts w:ascii="宋体" w:hAnsi="宋体" w:eastAsia="宋体"/>
                <w:sz w:val="16"/>
              </w:rPr>
              <w:t>发现问题条数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C3AC">
            <w:pPr>
              <w:jc w:val="center"/>
            </w:pPr>
            <w:r>
              <w:rPr>
                <w:rFonts w:ascii="宋体" w:hAnsi="宋体" w:eastAsia="宋体"/>
                <w:sz w:val="16"/>
              </w:rPr>
              <w:t>&gt;=20条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1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4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0B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F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34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BD7B">
            <w:pPr>
              <w:jc w:val="center"/>
            </w:pPr>
            <w:r>
              <w:rPr>
                <w:rFonts w:ascii="宋体" w:hAnsi="宋体" w:eastAsia="宋体"/>
                <w:sz w:val="16"/>
              </w:rPr>
              <w:t>=20条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B3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872A5">
            <w:pPr>
              <w:jc w:val="center"/>
            </w:pPr>
          </w:p>
        </w:tc>
      </w:tr>
      <w:tr w14:paraId="0D237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7D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98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1F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65FC">
            <w:pPr>
              <w:jc w:val="center"/>
            </w:pPr>
            <w:r>
              <w:rPr>
                <w:rFonts w:ascii="宋体" w:hAnsi="宋体" w:eastAsia="宋体"/>
                <w:sz w:val="16"/>
              </w:rPr>
              <w:t>检查覆盖县市率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B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14C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F65C">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7B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F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3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0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1F3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B7094">
            <w:pPr>
              <w:jc w:val="center"/>
            </w:pPr>
          </w:p>
        </w:tc>
      </w:tr>
      <w:tr w14:paraId="33BA0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74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AED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234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84CA">
            <w:pPr>
              <w:jc w:val="center"/>
            </w:pPr>
            <w:r>
              <w:rPr>
                <w:rFonts w:ascii="宋体" w:hAnsi="宋体" w:eastAsia="宋体"/>
                <w:sz w:val="16"/>
              </w:rPr>
              <w:t>年度检查按时完成率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4C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5A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4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18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87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E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D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823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131F">
            <w:pPr>
              <w:jc w:val="center"/>
            </w:pPr>
          </w:p>
        </w:tc>
      </w:tr>
      <w:tr w14:paraId="3C9C9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D2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2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B93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1A1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422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0B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5625">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06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DA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44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7887">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E11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9F1F3">
            <w:pPr>
              <w:jc w:val="center"/>
            </w:pPr>
          </w:p>
        </w:tc>
      </w:tr>
      <w:tr w14:paraId="7890F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4B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B1E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B85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1AFB">
            <w:pPr>
              <w:jc w:val="center"/>
            </w:pPr>
            <w:r>
              <w:rPr>
                <w:rFonts w:ascii="宋体" w:hAnsi="宋体" w:eastAsia="宋体"/>
                <w:sz w:val="16"/>
              </w:rPr>
              <w:t>出差相关费用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892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4B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99C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C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F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1F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081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C4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0FBA5">
            <w:pPr>
              <w:jc w:val="center"/>
            </w:pPr>
          </w:p>
        </w:tc>
      </w:tr>
      <w:tr w14:paraId="1230E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27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1E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11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5347">
            <w:pPr>
              <w:jc w:val="center"/>
            </w:pPr>
            <w:r>
              <w:rPr>
                <w:rFonts w:ascii="宋体" w:hAnsi="宋体" w:eastAsia="宋体"/>
                <w:sz w:val="16"/>
              </w:rPr>
              <w:t>其他交通费用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90D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09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AB8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F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3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58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FC8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09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B3FE2">
            <w:pPr>
              <w:jc w:val="center"/>
            </w:pPr>
          </w:p>
        </w:tc>
      </w:tr>
      <w:tr w14:paraId="5A72B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05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9E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55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D18D">
            <w:pPr>
              <w:jc w:val="center"/>
            </w:pPr>
            <w:r>
              <w:rPr>
                <w:rFonts w:ascii="宋体" w:hAnsi="宋体" w:eastAsia="宋体"/>
                <w:sz w:val="16"/>
              </w:rPr>
              <w:t>保障粮食和物资储备业务提升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75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52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36F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5C3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8C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0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BF5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D98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A093">
            <w:pPr>
              <w:jc w:val="center"/>
            </w:pPr>
          </w:p>
        </w:tc>
      </w:tr>
      <w:tr w14:paraId="5144DD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E0D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72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6C6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66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39ABDF"/>
        </w:tc>
      </w:tr>
    </w:tbl>
    <w:p w14:paraId="39CC2D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3303D1F">
        <w:tblPrEx>
          <w:tblCellMar>
            <w:top w:w="0" w:type="dxa"/>
            <w:left w:w="108" w:type="dxa"/>
            <w:bottom w:w="0" w:type="dxa"/>
            <w:right w:w="108" w:type="dxa"/>
          </w:tblCellMar>
        </w:tblPrEx>
        <w:tc>
          <w:tcPr>
            <w:tcW w:w="8848" w:type="dxa"/>
            <w:gridSpan w:val="14"/>
            <w:vAlign w:val="center"/>
          </w:tcPr>
          <w:p w14:paraId="1023F9C5">
            <w:pPr>
              <w:jc w:val="center"/>
            </w:pPr>
            <w:r>
              <w:rPr>
                <w:rFonts w:ascii="宋体" w:hAnsi="宋体" w:eastAsia="宋体"/>
                <w:sz w:val="24"/>
              </w:rPr>
              <w:t>项目支出绩效自评表</w:t>
            </w:r>
          </w:p>
        </w:tc>
      </w:tr>
      <w:tr w14:paraId="2F7CF8EB">
        <w:tblPrEx>
          <w:tblCellMar>
            <w:top w:w="0" w:type="dxa"/>
            <w:left w:w="108" w:type="dxa"/>
            <w:bottom w:w="0" w:type="dxa"/>
            <w:right w:w="108" w:type="dxa"/>
          </w:tblCellMar>
        </w:tblPrEx>
        <w:tc>
          <w:tcPr>
            <w:tcW w:w="8848" w:type="dxa"/>
            <w:gridSpan w:val="14"/>
            <w:vAlign w:val="center"/>
          </w:tcPr>
          <w:p w14:paraId="4324800A">
            <w:pPr>
              <w:jc w:val="center"/>
            </w:pPr>
            <w:r>
              <w:rPr>
                <w:rFonts w:ascii="宋体" w:hAnsi="宋体" w:eastAsia="宋体"/>
                <w:sz w:val="24"/>
              </w:rPr>
              <w:t>(2024年度)</w:t>
            </w:r>
          </w:p>
        </w:tc>
      </w:tr>
      <w:tr w14:paraId="15752D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0C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5E4F05">
            <w:pPr>
              <w:jc w:val="center"/>
            </w:pPr>
            <w:r>
              <w:rPr>
                <w:rFonts w:ascii="宋体" w:hAnsi="宋体" w:eastAsia="宋体"/>
                <w:sz w:val="16"/>
              </w:rPr>
              <w:t>粮储局单位资金项目</w:t>
            </w:r>
          </w:p>
        </w:tc>
      </w:tr>
      <w:tr w14:paraId="799866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F2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EF38D">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53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30B32">
            <w:pPr>
              <w:jc w:val="center"/>
            </w:pPr>
            <w:r>
              <w:rPr>
                <w:rFonts w:ascii="宋体" w:hAnsi="宋体" w:eastAsia="宋体"/>
                <w:sz w:val="16"/>
              </w:rPr>
              <w:t>新疆维吾尔自治区喀什地区粮食和物资储备局</w:t>
            </w:r>
          </w:p>
        </w:tc>
      </w:tr>
      <w:tr w14:paraId="6831B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5BE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5C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9B5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E3D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E05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24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189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AF8C">
            <w:pPr>
              <w:jc w:val="center"/>
            </w:pPr>
            <w:r>
              <w:rPr>
                <w:rFonts w:ascii="宋体" w:hAnsi="宋体" w:eastAsia="宋体"/>
                <w:sz w:val="16"/>
              </w:rPr>
              <w:t>得分</w:t>
            </w:r>
          </w:p>
        </w:tc>
      </w:tr>
      <w:tr w14:paraId="222AA2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59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9D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DB4D1">
            <w:pPr>
              <w:jc w:val="center"/>
            </w:pPr>
            <w:r>
              <w:rPr>
                <w:rFonts w:ascii="宋体" w:hAnsi="宋体" w:eastAsia="宋体"/>
                <w:sz w:val="16"/>
              </w:rPr>
              <w:t>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D623">
            <w:pPr>
              <w:jc w:val="center"/>
            </w:pPr>
            <w:r>
              <w:rPr>
                <w:rFonts w:ascii="宋体" w:hAnsi="宋体" w:eastAsia="宋体"/>
                <w:sz w:val="16"/>
              </w:rPr>
              <w:t>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91D63">
            <w:pPr>
              <w:jc w:val="center"/>
            </w:pPr>
            <w:r>
              <w:rPr>
                <w:rFonts w:ascii="宋体" w:hAnsi="宋体" w:eastAsia="宋体"/>
                <w:sz w:val="16"/>
              </w:rPr>
              <w:t>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D70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BD349">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97C5">
            <w:pPr>
              <w:jc w:val="center"/>
            </w:pPr>
            <w:r>
              <w:rPr>
                <w:rFonts w:ascii="宋体" w:hAnsi="宋体" w:eastAsia="宋体"/>
                <w:sz w:val="16"/>
              </w:rPr>
              <w:t>2.48分</w:t>
            </w:r>
          </w:p>
        </w:tc>
      </w:tr>
      <w:tr w14:paraId="33C0A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07C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7D4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789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CD2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B1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941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4EF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761A">
            <w:pPr>
              <w:jc w:val="center"/>
            </w:pPr>
            <w:r>
              <w:rPr>
                <w:rFonts w:ascii="宋体" w:hAnsi="宋体" w:eastAsia="宋体"/>
                <w:sz w:val="16"/>
              </w:rPr>
              <w:t>—</w:t>
            </w:r>
          </w:p>
        </w:tc>
      </w:tr>
      <w:tr w14:paraId="5BF83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C06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6B6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894E">
            <w:pPr>
              <w:jc w:val="center"/>
            </w:pPr>
            <w:r>
              <w:rPr>
                <w:rFonts w:ascii="宋体" w:hAnsi="宋体" w:eastAsia="宋体"/>
                <w:sz w:val="16"/>
              </w:rPr>
              <w:t>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DAAFA">
            <w:pPr>
              <w:jc w:val="center"/>
            </w:pPr>
            <w:r>
              <w:rPr>
                <w:rFonts w:ascii="宋体" w:hAnsi="宋体" w:eastAsia="宋体"/>
                <w:sz w:val="16"/>
              </w:rPr>
              <w:t>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EDA39">
            <w:pPr>
              <w:jc w:val="center"/>
            </w:pPr>
            <w:r>
              <w:rPr>
                <w:rFonts w:ascii="宋体" w:hAnsi="宋体" w:eastAsia="宋体"/>
                <w:sz w:val="16"/>
              </w:rPr>
              <w:t>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3E2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AF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FB0B">
            <w:pPr>
              <w:jc w:val="center"/>
            </w:pPr>
            <w:r>
              <w:rPr>
                <w:rFonts w:ascii="宋体" w:hAnsi="宋体" w:eastAsia="宋体"/>
                <w:sz w:val="16"/>
              </w:rPr>
              <w:t>—</w:t>
            </w:r>
          </w:p>
        </w:tc>
      </w:tr>
      <w:tr w14:paraId="196282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498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EBB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60E07">
            <w:pPr>
              <w:jc w:val="center"/>
            </w:pPr>
            <w:r>
              <w:rPr>
                <w:rFonts w:ascii="宋体" w:hAnsi="宋体" w:eastAsia="宋体"/>
                <w:sz w:val="16"/>
              </w:rPr>
              <w:t>实际完成情况</w:t>
            </w:r>
          </w:p>
        </w:tc>
      </w:tr>
      <w:tr w14:paraId="76488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24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D4833">
            <w:pPr>
              <w:jc w:val="both"/>
            </w:pPr>
            <w:r>
              <w:rPr>
                <w:rFonts w:ascii="宋体" w:hAnsi="宋体" w:eastAsia="宋体"/>
                <w:sz w:val="16"/>
              </w:rPr>
              <w:t>《关于拨付供需平衡调查城乡居民户调查补助和市场监测信息经费的通知》（新粮财</w:t>
            </w:r>
            <w:r>
              <w:rPr>
                <w:rFonts w:hint="eastAsia" w:ascii="宋体" w:hAnsi="宋体"/>
                <w:sz w:val="16"/>
                <w:lang w:eastAsia="zh-CN"/>
              </w:rPr>
              <w:t>〔2024〕14号</w:t>
            </w:r>
            <w:r>
              <w:rPr>
                <w:rFonts w:ascii="宋体" w:hAnsi="宋体" w:eastAsia="宋体"/>
                <w:sz w:val="16"/>
              </w:rPr>
              <w:t>）文件要求，拨付2023年度供需平衡调查和价格监测经费，涉及城乡居民户粮情调查户数共255户，市场监测直报点位1个，供需平衡覆盖全区12个县市，资金支付及时率100%,保障粮食市场平稳运行。租赁一辆新能源车辆，用于保障单位日常公务用车及赴县市粮食和物资储备部门、收储公司、粮站等地进行检查时的车辆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BFC42B">
            <w:pPr>
              <w:jc w:val="both"/>
            </w:pPr>
            <w:r>
              <w:rPr>
                <w:rFonts w:ascii="宋体" w:hAnsi="宋体" w:eastAsia="宋体"/>
                <w:sz w:val="16"/>
              </w:rPr>
              <w:t>拨付2023年度供需平衡调查和价格监测经费4.3万元，补助城乡居民户粮情调查户数共255户，市场监测直报点位1个，供需平衡补助覆盖了全区12个县市，资金支付及时率100%,租赁一辆新能源车</w:t>
            </w:r>
            <w:r>
              <w:rPr>
                <w:rFonts w:hint="eastAsia" w:ascii="宋体" w:hAnsi="宋体"/>
                <w:sz w:val="16"/>
                <w:lang w:eastAsia="zh-CN"/>
              </w:rPr>
              <w:t>辆支</w:t>
            </w:r>
            <w:r>
              <w:rPr>
                <w:rFonts w:ascii="宋体" w:hAnsi="宋体" w:eastAsia="宋体"/>
                <w:sz w:val="16"/>
              </w:rPr>
              <w:t>付半年费用2.5万元，有效保障了检查时的用车。</w:t>
            </w:r>
          </w:p>
        </w:tc>
      </w:tr>
      <w:tr w14:paraId="1EF616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684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2C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C2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4BA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E3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C6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1E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C4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A9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BD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AC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5B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79DE4">
            <w:pPr>
              <w:jc w:val="center"/>
            </w:pPr>
            <w:r>
              <w:rPr>
                <w:rFonts w:ascii="宋体" w:hAnsi="宋体" w:eastAsia="宋体"/>
                <w:sz w:val="16"/>
              </w:rPr>
              <w:t>偏差原因分析及改进措施</w:t>
            </w:r>
          </w:p>
        </w:tc>
      </w:tr>
      <w:tr w14:paraId="20123E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2A3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A6FA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C0D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E6A1">
            <w:pPr>
              <w:jc w:val="center"/>
            </w:pPr>
            <w:r>
              <w:rPr>
                <w:rFonts w:ascii="宋体" w:hAnsi="宋体" w:eastAsia="宋体"/>
                <w:sz w:val="16"/>
              </w:rPr>
              <w:t>城乡居民户粮情调查户数（城镇）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408F">
            <w:pPr>
              <w:jc w:val="center"/>
            </w:pPr>
            <w:r>
              <w:rPr>
                <w:rFonts w:ascii="宋体" w:hAnsi="宋体" w:eastAsia="宋体"/>
                <w:sz w:val="16"/>
              </w:rPr>
              <w:t>&gt;=40户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47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4551">
            <w:pPr>
              <w:jc w:val="center"/>
            </w:pPr>
            <w:r>
              <w:rPr>
                <w:rFonts w:ascii="宋体" w:hAnsi="宋体" w:eastAsia="宋体"/>
                <w:sz w:val="16"/>
              </w:rPr>
              <w: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65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F7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8C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35F7">
            <w:pPr>
              <w:jc w:val="center"/>
            </w:pPr>
            <w:r>
              <w:rPr>
                <w:rFonts w:ascii="宋体" w:hAnsi="宋体" w:eastAsia="宋体"/>
                <w:sz w:val="16"/>
              </w:rPr>
              <w:t>=40户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05E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76C3">
            <w:pPr>
              <w:jc w:val="center"/>
            </w:pPr>
          </w:p>
        </w:tc>
      </w:tr>
      <w:tr w14:paraId="2F27B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65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90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7A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2AEF">
            <w:pPr>
              <w:jc w:val="center"/>
            </w:pPr>
            <w:r>
              <w:rPr>
                <w:rFonts w:ascii="宋体" w:hAnsi="宋体" w:eastAsia="宋体"/>
                <w:sz w:val="16"/>
              </w:rPr>
              <w:t>城乡居民户粮情调查户数（乡村）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0210">
            <w:pPr>
              <w:jc w:val="center"/>
            </w:pPr>
            <w:r>
              <w:rPr>
                <w:rFonts w:ascii="宋体" w:hAnsi="宋体" w:eastAsia="宋体"/>
                <w:sz w:val="16"/>
              </w:rPr>
              <w:t>&gt;=255户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B48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1023">
            <w:pPr>
              <w:jc w:val="center"/>
            </w:pPr>
            <w:r>
              <w:rPr>
                <w:rFonts w:ascii="宋体" w:hAnsi="宋体" w:eastAsia="宋体"/>
                <w:sz w:val="16"/>
              </w:rPr>
              <w:t>234户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1D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1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2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9951">
            <w:pPr>
              <w:jc w:val="center"/>
            </w:pPr>
            <w:r>
              <w:rPr>
                <w:rFonts w:ascii="宋体" w:hAnsi="宋体" w:eastAsia="宋体"/>
                <w:sz w:val="16"/>
              </w:rPr>
              <w:t>=255户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7C7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23433">
            <w:pPr>
              <w:jc w:val="center"/>
            </w:pPr>
          </w:p>
        </w:tc>
      </w:tr>
      <w:tr w14:paraId="731B1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69D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63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C7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EC50">
            <w:pPr>
              <w:jc w:val="center"/>
            </w:pPr>
            <w:r>
              <w:rPr>
                <w:rFonts w:ascii="宋体" w:hAnsi="宋体" w:eastAsia="宋体"/>
                <w:sz w:val="16"/>
              </w:rPr>
              <w:t>市场监测直报点位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00F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CEF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C5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06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E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BC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6E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474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F227">
            <w:pPr>
              <w:jc w:val="center"/>
            </w:pPr>
          </w:p>
        </w:tc>
      </w:tr>
      <w:tr w14:paraId="73CCA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E6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04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83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C1F7">
            <w:pPr>
              <w:jc w:val="center"/>
            </w:pPr>
            <w:r>
              <w:rPr>
                <w:rFonts w:ascii="宋体" w:hAnsi="宋体" w:eastAsia="宋体"/>
                <w:sz w:val="16"/>
              </w:rPr>
              <w:t>供需平衡覆盖县市率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E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3B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4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6A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36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83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C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07D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D2957">
            <w:pPr>
              <w:jc w:val="center"/>
            </w:pPr>
          </w:p>
        </w:tc>
      </w:tr>
      <w:tr w14:paraId="6EBB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89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CBA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323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027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7B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0AA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C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EA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6C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E7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E7E9">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FB4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0BDAB">
            <w:pPr>
              <w:jc w:val="center"/>
            </w:pPr>
            <w:r>
              <w:rPr>
                <w:rFonts w:ascii="宋体" w:hAnsi="宋体" w:eastAsia="宋体"/>
                <w:sz w:val="16"/>
              </w:rPr>
              <w:t>偏差原因：车辆租赁费未全部支出，改进措施：今后加强与租赁方的沟通协调，对接好项目细节，提高执行率。</w:t>
            </w:r>
          </w:p>
        </w:tc>
      </w:tr>
      <w:tr w14:paraId="0BB161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C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86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4D8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153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2DD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5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A6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48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7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C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49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813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959B">
            <w:pPr>
              <w:jc w:val="center"/>
            </w:pPr>
          </w:p>
        </w:tc>
      </w:tr>
      <w:tr w14:paraId="6D4E4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02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460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AAF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B60A">
            <w:pPr>
              <w:jc w:val="center"/>
            </w:pPr>
            <w:r>
              <w:rPr>
                <w:rFonts w:ascii="宋体" w:hAnsi="宋体" w:eastAsia="宋体"/>
                <w:sz w:val="16"/>
              </w:rPr>
              <w:t>供需平衡调查补助经费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3F82">
            <w:pPr>
              <w:jc w:val="center"/>
            </w:pPr>
            <w:r>
              <w:rPr>
                <w:rFonts w:ascii="宋体" w:hAnsi="宋体" w:eastAsia="宋体"/>
                <w:sz w:val="16"/>
              </w:rPr>
              <w:t>&lt;=4.22万元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9F1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5B3C">
            <w:pPr>
              <w:jc w:val="center"/>
            </w:pPr>
            <w:r>
              <w:rPr>
                <w:rFonts w:ascii="宋体" w:hAnsi="宋体" w:eastAsia="宋体"/>
                <w:sz w:val="16"/>
              </w:rPr>
              <w:t>3.91万元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C0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B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9A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EF6A">
            <w:pPr>
              <w:jc w:val="center"/>
            </w:pPr>
            <w:r>
              <w:rPr>
                <w:rFonts w:ascii="宋体" w:hAnsi="宋体" w:eastAsia="宋体"/>
                <w:sz w:val="16"/>
              </w:rPr>
              <w:t>=4.22万元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46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C4745">
            <w:pPr>
              <w:jc w:val="center"/>
            </w:pPr>
          </w:p>
        </w:tc>
      </w:tr>
      <w:tr w14:paraId="47FB8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67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D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F5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CB78">
            <w:pPr>
              <w:jc w:val="center"/>
            </w:pPr>
            <w:r>
              <w:rPr>
                <w:rFonts w:ascii="宋体" w:hAnsi="宋体" w:eastAsia="宋体"/>
                <w:sz w:val="16"/>
              </w:rPr>
              <w:t>市场监测直报点信息费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11B8">
            <w:pPr>
              <w:jc w:val="center"/>
            </w:pPr>
            <w:r>
              <w:rPr>
                <w:rFonts w:ascii="宋体" w:hAnsi="宋体" w:eastAsia="宋体"/>
                <w:sz w:val="16"/>
              </w:rPr>
              <w:t>&lt;=0.06万元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40AA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6E2E">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5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F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7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70FA">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13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40061">
            <w:pPr>
              <w:jc w:val="center"/>
            </w:pPr>
          </w:p>
        </w:tc>
      </w:tr>
      <w:tr w14:paraId="51FE7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6C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AF8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E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B069">
            <w:pPr>
              <w:jc w:val="center"/>
            </w:pPr>
            <w:r>
              <w:rPr>
                <w:rFonts w:ascii="宋体" w:hAnsi="宋体" w:eastAsia="宋体"/>
                <w:sz w:val="16"/>
              </w:rPr>
              <w:t>车辆租赁成本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656E">
            <w:pPr>
              <w:jc w:val="center"/>
            </w:pPr>
            <w:r>
              <w:rPr>
                <w:rFonts w:ascii="宋体" w:hAnsi="宋体" w:eastAsia="宋体"/>
                <w:sz w:val="16"/>
              </w:rPr>
              <w:t>&lt;=5.42万元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865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0289">
            <w:pPr>
              <w:jc w:val="center"/>
            </w:pPr>
            <w:r>
              <w:rPr>
                <w:rFonts w:ascii="宋体" w:hAnsi="宋体" w:eastAsia="宋体"/>
                <w:sz w:val="16"/>
              </w:rPr>
              <w: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F1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A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B22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F05F">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3C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4DD10">
            <w:pPr>
              <w:jc w:val="center"/>
            </w:pPr>
            <w:r>
              <w:rPr>
                <w:rFonts w:ascii="宋体" w:hAnsi="宋体" w:eastAsia="宋体"/>
                <w:sz w:val="16"/>
              </w:rPr>
              <w:t>偏差原因：车辆租赁按合同进行半年付，剩余2.5万元2025年支付。改进措施：今后加强与租赁方的沟通协调，对接好项目细节，确保目标精准，执行率高。</w:t>
            </w:r>
          </w:p>
        </w:tc>
      </w:tr>
      <w:tr w14:paraId="1DBCD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62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0E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16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0879">
            <w:pPr>
              <w:jc w:val="center"/>
            </w:pPr>
            <w:r>
              <w:rPr>
                <w:rFonts w:ascii="宋体" w:hAnsi="宋体" w:eastAsia="宋体"/>
                <w:sz w:val="16"/>
              </w:rPr>
              <w:t>保障粮食市场平稳运行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7E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3EC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BA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A9D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9C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B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747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6E0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0935">
            <w:pPr>
              <w:jc w:val="center"/>
            </w:pPr>
          </w:p>
        </w:tc>
      </w:tr>
      <w:tr w14:paraId="635966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29F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D2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662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1599">
            <w:pPr>
              <w:jc w:val="center"/>
            </w:pPr>
            <w:r>
              <w:rPr>
                <w:rFonts w:ascii="宋体" w:hAnsi="宋体" w:eastAsia="宋体"/>
                <w:sz w:val="16"/>
              </w:rPr>
              <w:t>81.48分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1E2DD3"/>
        </w:tc>
      </w:tr>
    </w:tbl>
    <w:p w14:paraId="57E486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5C5116">
        <w:tblPrEx>
          <w:tblCellMar>
            <w:top w:w="0" w:type="dxa"/>
            <w:left w:w="108" w:type="dxa"/>
            <w:bottom w:w="0" w:type="dxa"/>
            <w:right w:w="108" w:type="dxa"/>
          </w:tblCellMar>
        </w:tblPrEx>
        <w:tc>
          <w:tcPr>
            <w:tcW w:w="8848" w:type="dxa"/>
            <w:gridSpan w:val="14"/>
            <w:vAlign w:val="center"/>
          </w:tcPr>
          <w:p w14:paraId="64D7302C">
            <w:pPr>
              <w:jc w:val="center"/>
            </w:pPr>
            <w:r>
              <w:rPr>
                <w:rFonts w:ascii="宋体" w:hAnsi="宋体" w:eastAsia="宋体"/>
                <w:sz w:val="24"/>
              </w:rPr>
              <w:t>项目支出绩效自评表</w:t>
            </w:r>
          </w:p>
        </w:tc>
      </w:tr>
      <w:tr w14:paraId="5DCA5788">
        <w:tblPrEx>
          <w:tblCellMar>
            <w:top w:w="0" w:type="dxa"/>
            <w:left w:w="108" w:type="dxa"/>
            <w:bottom w:w="0" w:type="dxa"/>
            <w:right w:w="108" w:type="dxa"/>
          </w:tblCellMar>
        </w:tblPrEx>
        <w:tc>
          <w:tcPr>
            <w:tcW w:w="8848" w:type="dxa"/>
            <w:gridSpan w:val="14"/>
            <w:vAlign w:val="center"/>
          </w:tcPr>
          <w:p w14:paraId="7368F5BC">
            <w:pPr>
              <w:jc w:val="center"/>
            </w:pPr>
            <w:r>
              <w:rPr>
                <w:rFonts w:ascii="宋体" w:hAnsi="宋体" w:eastAsia="宋体"/>
                <w:sz w:val="24"/>
              </w:rPr>
              <w:t>(2024年度)</w:t>
            </w:r>
          </w:p>
        </w:tc>
      </w:tr>
      <w:tr w14:paraId="287A63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80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58CB9A">
            <w:pPr>
              <w:jc w:val="center"/>
            </w:pPr>
            <w:r>
              <w:rPr>
                <w:rFonts w:ascii="宋体" w:hAnsi="宋体" w:eastAsia="宋体"/>
                <w:sz w:val="16"/>
              </w:rPr>
              <w:t>聘请法律顾问项目</w:t>
            </w:r>
          </w:p>
        </w:tc>
      </w:tr>
      <w:tr w14:paraId="322A47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D3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A4549">
            <w:pPr>
              <w:jc w:val="center"/>
            </w:pPr>
            <w:r>
              <w:rPr>
                <w:rFonts w:ascii="宋体" w:hAnsi="宋体" w:eastAsia="宋体"/>
                <w:sz w:val="16"/>
              </w:rPr>
              <w:t>新疆维吾尔自治区喀什地区粮食和物资储备局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93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4AF5FC">
            <w:pPr>
              <w:jc w:val="center"/>
            </w:pPr>
            <w:r>
              <w:rPr>
                <w:rFonts w:ascii="宋体" w:hAnsi="宋体" w:eastAsia="宋体"/>
                <w:sz w:val="16"/>
              </w:rPr>
              <w:t>新疆维吾尔自治区喀什地区粮食和物资储备局</w:t>
            </w:r>
          </w:p>
        </w:tc>
      </w:tr>
      <w:tr w14:paraId="6133D5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D2E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60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DE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62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FB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090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3F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32BE">
            <w:pPr>
              <w:jc w:val="center"/>
            </w:pPr>
            <w:r>
              <w:rPr>
                <w:rFonts w:ascii="宋体" w:hAnsi="宋体" w:eastAsia="宋体"/>
                <w:sz w:val="16"/>
              </w:rPr>
              <w:t>得分</w:t>
            </w:r>
          </w:p>
        </w:tc>
      </w:tr>
      <w:tr w14:paraId="4F7A3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58F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C0E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7BF7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EE01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BDE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99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65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8D2A">
            <w:pPr>
              <w:jc w:val="center"/>
            </w:pPr>
            <w:r>
              <w:rPr>
                <w:rFonts w:ascii="宋体" w:hAnsi="宋体" w:eastAsia="宋体"/>
                <w:sz w:val="16"/>
              </w:rPr>
              <w:t>10.00分</w:t>
            </w:r>
          </w:p>
        </w:tc>
      </w:tr>
      <w:tr w14:paraId="7FE621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016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3B0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C46E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E5B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F68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DCE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057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373A">
            <w:pPr>
              <w:jc w:val="center"/>
            </w:pPr>
            <w:r>
              <w:rPr>
                <w:rFonts w:ascii="宋体" w:hAnsi="宋体" w:eastAsia="宋体"/>
                <w:sz w:val="16"/>
              </w:rPr>
              <w:t>—</w:t>
            </w:r>
          </w:p>
        </w:tc>
      </w:tr>
      <w:tr w14:paraId="6EB0E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782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52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98D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2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DA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8D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7B9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9ACA">
            <w:pPr>
              <w:jc w:val="center"/>
            </w:pPr>
            <w:r>
              <w:rPr>
                <w:rFonts w:ascii="宋体" w:hAnsi="宋体" w:eastAsia="宋体"/>
                <w:sz w:val="16"/>
              </w:rPr>
              <w:t>—</w:t>
            </w:r>
          </w:p>
        </w:tc>
      </w:tr>
      <w:tr w14:paraId="42BDE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1E4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15E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1815A4">
            <w:pPr>
              <w:jc w:val="center"/>
            </w:pPr>
            <w:r>
              <w:rPr>
                <w:rFonts w:ascii="宋体" w:hAnsi="宋体" w:eastAsia="宋体"/>
                <w:sz w:val="16"/>
              </w:rPr>
              <w:t>实际完成情况</w:t>
            </w:r>
          </w:p>
        </w:tc>
      </w:tr>
      <w:tr w14:paraId="0C40D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3BA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EDFFD2">
            <w:pPr>
              <w:jc w:val="both"/>
            </w:pPr>
            <w:r>
              <w:rPr>
                <w:rFonts w:ascii="宋体" w:hAnsi="宋体" w:eastAsia="宋体"/>
                <w:sz w:val="16"/>
              </w:rPr>
              <w:t>根据自治区</w:t>
            </w:r>
            <w:r>
              <w:rPr>
                <w:rFonts w:hint="eastAsia" w:ascii="宋体" w:hAnsi="宋体"/>
                <w:sz w:val="16"/>
                <w:lang w:eastAsia="zh-CN"/>
              </w:rPr>
              <w:t>人民政府办公厅</w:t>
            </w:r>
            <w:r>
              <w:rPr>
                <w:rFonts w:ascii="宋体" w:hAnsi="宋体" w:eastAsia="宋体"/>
                <w:sz w:val="16"/>
              </w:rPr>
              <w:t>《关于深化政府法律顾问工作的意见》（新政办发</w:t>
            </w:r>
            <w:r>
              <w:rPr>
                <w:rFonts w:hint="eastAsia" w:ascii="宋体" w:hAnsi="宋体"/>
                <w:sz w:val="16"/>
                <w:lang w:eastAsia="zh-CN"/>
              </w:rPr>
              <w:t>〔2022〕72号</w:t>
            </w:r>
            <w:r>
              <w:rPr>
                <w:rFonts w:ascii="宋体" w:hAnsi="宋体" w:eastAsia="宋体"/>
                <w:sz w:val="16"/>
              </w:rPr>
              <w:t>）文件精神，坚持把法律顾问工作作为推进法治政府建设的重要内容和务实举措，进一步健全政府法律顾问工作机构，加强法律顾问队伍建设。按照要求聘请一名法律顾问，主要用于本部门法律顾问工作，参与粮食和物资储备行业法治建设问题，防范法律风险，解决法律问题，形成办事依法、遇事找法、解决问题用法、法律矛盾</w:t>
            </w:r>
            <w:r>
              <w:rPr>
                <w:rFonts w:hint="eastAsia" w:ascii="宋体" w:hAnsi="宋体"/>
                <w:sz w:val="16"/>
                <w:lang w:eastAsia="zh-CN"/>
              </w:rPr>
              <w:t>靠</w:t>
            </w:r>
            <w:r>
              <w:rPr>
                <w:rFonts w:ascii="宋体" w:hAnsi="宋体" w:eastAsia="宋体"/>
                <w:sz w:val="16"/>
              </w:rPr>
              <w:t>法的良好法治环境。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CCD3A1">
            <w:pPr>
              <w:jc w:val="both"/>
            </w:pPr>
            <w:r>
              <w:rPr>
                <w:rFonts w:ascii="宋体" w:hAnsi="宋体" w:eastAsia="宋体"/>
                <w:sz w:val="16"/>
              </w:rPr>
              <w:t>2024年聘请法律顾问一名，行政执法培训2次，审查合同、文件审核等事项20份，法律咨询4次，强化</w:t>
            </w:r>
            <w:r>
              <w:rPr>
                <w:rFonts w:hint="eastAsia" w:ascii="宋体" w:hAnsi="宋体"/>
                <w:sz w:val="16"/>
                <w:lang w:eastAsia="zh-CN"/>
              </w:rPr>
              <w:t>了</w:t>
            </w:r>
            <w:r>
              <w:rPr>
                <w:rFonts w:ascii="宋体" w:hAnsi="宋体" w:eastAsia="宋体"/>
                <w:sz w:val="16"/>
              </w:rPr>
              <w:t>局依法行政与合规管理，法律顾问在合同条款漏洞、行政执法程序、政策执行等工作中提前识别法律风险，推动我局建立更科学的制度体系，确保国有资产管理与应急响应机制符合最新法律要求，在粮食质量监管、市场秩序维护等执法过程中，法律顾问提供了程序合法性指导，2024年未引发行政复议，保障了粮食安全，提升了行政效能与社会公信力，节约了行政成本与资源，促进了廉政建设与权力监督，助力实现“依法治粮”目标。</w:t>
            </w:r>
          </w:p>
        </w:tc>
      </w:tr>
      <w:tr w14:paraId="337002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24A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5E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EA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809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8F6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D3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D5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AC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B0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0F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96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20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6DD39">
            <w:pPr>
              <w:jc w:val="center"/>
            </w:pPr>
            <w:r>
              <w:rPr>
                <w:rFonts w:ascii="宋体" w:hAnsi="宋体" w:eastAsia="宋体"/>
                <w:sz w:val="16"/>
              </w:rPr>
              <w:t>偏差原因分析及改进措施</w:t>
            </w:r>
          </w:p>
        </w:tc>
      </w:tr>
      <w:tr w14:paraId="313D0A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8B0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8C2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8A7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351A">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843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286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0C6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96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7E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55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AD8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D5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D743D">
            <w:pPr>
              <w:jc w:val="center"/>
            </w:pPr>
          </w:p>
        </w:tc>
      </w:tr>
      <w:tr w14:paraId="3CF88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8B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E4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4E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79CF">
            <w:pPr>
              <w:jc w:val="center"/>
            </w:pPr>
            <w:r>
              <w:rPr>
                <w:rFonts w:ascii="宋体" w:hAnsi="宋体" w:eastAsia="宋体"/>
                <w:sz w:val="16"/>
              </w:rPr>
              <w:t>参加会议次数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655F">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E120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1859">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67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86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A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816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15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C8273">
            <w:pPr>
              <w:jc w:val="center"/>
            </w:pPr>
          </w:p>
        </w:tc>
      </w:tr>
      <w:tr w14:paraId="70D15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B7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1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AC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4CA6">
            <w:pPr>
              <w:jc w:val="center"/>
            </w:pPr>
            <w:r>
              <w:rPr>
                <w:rFonts w:ascii="宋体" w:hAnsi="宋体" w:eastAsia="宋体"/>
                <w:sz w:val="16"/>
              </w:rPr>
              <w:t>参与合法性文件审查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EB93">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7B9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D044">
            <w:pPr>
              <w:jc w:val="center"/>
            </w:pPr>
            <w:r>
              <w:rPr>
                <w:rFonts w:ascii="宋体" w:hAnsi="宋体" w:eastAsia="宋体"/>
                <w:sz w:val="16"/>
              </w:rPr>
              <w:t>=2份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68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7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C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36AD">
            <w:pPr>
              <w:jc w:val="center"/>
            </w:pPr>
            <w:r>
              <w:rPr>
                <w:rFonts w:ascii="宋体" w:hAnsi="宋体" w:eastAsia="宋体"/>
                <w:sz w:val="16"/>
              </w:rPr>
              <w:t>=2份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AB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AFBF4">
            <w:pPr>
              <w:jc w:val="center"/>
            </w:pPr>
            <w:r>
              <w:rPr>
                <w:rFonts w:ascii="宋体" w:hAnsi="宋体" w:eastAsia="宋体"/>
                <w:sz w:val="16"/>
              </w:rPr>
              <w:t>偏差原因：单位实际需要，法律顾问审核2份合法性文件。改进措施：2025年该项目根据单位实际情况合理制定年初目标值。</w:t>
            </w:r>
          </w:p>
        </w:tc>
      </w:tr>
      <w:tr w14:paraId="675F7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DE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A4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B9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55B3">
            <w:pPr>
              <w:jc w:val="center"/>
            </w:pPr>
            <w:r>
              <w:rPr>
                <w:rFonts w:ascii="宋体" w:hAnsi="宋体" w:eastAsia="宋体"/>
                <w:sz w:val="16"/>
              </w:rPr>
              <w:t>审核合同覆盖率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A9E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971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8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04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51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41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7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C5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421C1">
            <w:pPr>
              <w:jc w:val="center"/>
            </w:pPr>
          </w:p>
        </w:tc>
      </w:tr>
      <w:tr w14:paraId="76AB5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D1D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05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6D4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222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F2BA">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AA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1D67">
            <w:pPr>
              <w:jc w:val="center"/>
            </w:pPr>
            <w:r>
              <w:rPr>
                <w:rFonts w:ascii="宋体" w:hAnsi="宋体" w:eastAsia="宋体"/>
                <w:sz w:val="16"/>
              </w:rPr>
              <w:t>2023年12月1日前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64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0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D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DD97">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F87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6FF0">
            <w:pPr>
              <w:jc w:val="center"/>
            </w:pPr>
          </w:p>
        </w:tc>
      </w:tr>
      <w:tr w14:paraId="124F5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A8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41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A7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15B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60D8">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39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509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4D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97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87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33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52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E7112">
            <w:pPr>
              <w:jc w:val="center"/>
            </w:pPr>
          </w:p>
        </w:tc>
      </w:tr>
      <w:tr w14:paraId="4A30B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7B6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DC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DF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3D12">
            <w:pPr>
              <w:jc w:val="center"/>
            </w:pPr>
            <w:r>
              <w:rPr>
                <w:rFonts w:ascii="宋体" w:hAnsi="宋体" w:eastAsia="宋体"/>
                <w:sz w:val="16"/>
              </w:rPr>
              <w:t>发挥法律顾问作用、防范法律风险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2A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0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D8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69F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4DE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2F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AA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BEC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A65A">
            <w:pPr>
              <w:jc w:val="center"/>
            </w:pPr>
          </w:p>
        </w:tc>
      </w:tr>
      <w:tr w14:paraId="46B10CC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9FE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F0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304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D479">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455155"/>
        </w:tc>
      </w:tr>
    </w:tbl>
    <w:p w14:paraId="7475D4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2CCCA2">
        <w:tblPrEx>
          <w:tblCellMar>
            <w:top w:w="0" w:type="dxa"/>
            <w:left w:w="108" w:type="dxa"/>
            <w:bottom w:w="0" w:type="dxa"/>
            <w:right w:w="108" w:type="dxa"/>
          </w:tblCellMar>
        </w:tblPrEx>
        <w:tc>
          <w:tcPr>
            <w:tcW w:w="8848" w:type="dxa"/>
            <w:gridSpan w:val="14"/>
            <w:vAlign w:val="center"/>
          </w:tcPr>
          <w:p w14:paraId="1D0718BA">
            <w:pPr>
              <w:jc w:val="center"/>
            </w:pPr>
            <w:r>
              <w:rPr>
                <w:rFonts w:ascii="宋体" w:hAnsi="宋体" w:eastAsia="宋体"/>
                <w:sz w:val="24"/>
              </w:rPr>
              <w:t>项目支出绩效自评表</w:t>
            </w:r>
          </w:p>
        </w:tc>
      </w:tr>
      <w:tr w14:paraId="7B8E5217">
        <w:tblPrEx>
          <w:tblCellMar>
            <w:top w:w="0" w:type="dxa"/>
            <w:left w:w="108" w:type="dxa"/>
            <w:bottom w:w="0" w:type="dxa"/>
            <w:right w:w="108" w:type="dxa"/>
          </w:tblCellMar>
        </w:tblPrEx>
        <w:tc>
          <w:tcPr>
            <w:tcW w:w="8848" w:type="dxa"/>
            <w:gridSpan w:val="14"/>
            <w:vAlign w:val="center"/>
          </w:tcPr>
          <w:p w14:paraId="365D1F26">
            <w:pPr>
              <w:jc w:val="center"/>
            </w:pPr>
            <w:r>
              <w:rPr>
                <w:rFonts w:ascii="宋体" w:hAnsi="宋体" w:eastAsia="宋体"/>
                <w:sz w:val="24"/>
              </w:rPr>
              <w:t>(2024年度)</w:t>
            </w:r>
          </w:p>
        </w:tc>
      </w:tr>
      <w:tr w14:paraId="7A7B53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27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09806E">
            <w:pPr>
              <w:jc w:val="center"/>
            </w:pPr>
            <w:r>
              <w:rPr>
                <w:rFonts w:ascii="宋体" w:hAnsi="宋体" w:eastAsia="宋体"/>
                <w:sz w:val="16"/>
              </w:rPr>
              <w:t>自治区粮食仓储设施建设维修资金项目</w:t>
            </w:r>
          </w:p>
        </w:tc>
      </w:tr>
      <w:tr w14:paraId="3B09C2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58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A7496">
            <w:pPr>
              <w:jc w:val="center"/>
            </w:pPr>
            <w:r>
              <w:rPr>
                <w:rFonts w:ascii="宋体" w:hAnsi="宋体" w:eastAsia="宋体"/>
                <w:sz w:val="16"/>
              </w:rPr>
              <w:t>喀什地区粮食和物资储备局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26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29E3C0">
            <w:pPr>
              <w:jc w:val="center"/>
            </w:pPr>
            <w:r>
              <w:rPr>
                <w:rFonts w:ascii="宋体" w:hAnsi="宋体" w:eastAsia="宋体"/>
                <w:sz w:val="16"/>
              </w:rPr>
              <w:t>新疆维吾尔自治区喀什地区粮食和物资储备局</w:t>
            </w:r>
          </w:p>
        </w:tc>
      </w:tr>
      <w:tr w14:paraId="4E0AF8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1E8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DC3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6D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A14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CA6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AE1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B5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6305">
            <w:pPr>
              <w:jc w:val="center"/>
            </w:pPr>
            <w:r>
              <w:rPr>
                <w:rFonts w:ascii="宋体" w:hAnsi="宋体" w:eastAsia="宋体"/>
                <w:sz w:val="16"/>
              </w:rPr>
              <w:t>得分</w:t>
            </w:r>
          </w:p>
        </w:tc>
      </w:tr>
      <w:tr w14:paraId="79AF5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B37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3CF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7EBF4">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1C94F">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15444">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ED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6670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FD2A">
            <w:pPr>
              <w:jc w:val="center"/>
            </w:pPr>
            <w:r>
              <w:rPr>
                <w:rFonts w:ascii="宋体" w:hAnsi="宋体" w:eastAsia="宋体"/>
                <w:sz w:val="16"/>
              </w:rPr>
              <w:t>10.00分</w:t>
            </w:r>
          </w:p>
        </w:tc>
      </w:tr>
      <w:tr w14:paraId="1B421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155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94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5ECDD">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659E9">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4657">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AC6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4A5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D690">
            <w:pPr>
              <w:jc w:val="center"/>
            </w:pPr>
            <w:r>
              <w:rPr>
                <w:rFonts w:ascii="宋体" w:hAnsi="宋体" w:eastAsia="宋体"/>
                <w:sz w:val="16"/>
              </w:rPr>
              <w:t>—</w:t>
            </w:r>
          </w:p>
        </w:tc>
      </w:tr>
      <w:tr w14:paraId="53E60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CDD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CD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B73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58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317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49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55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A306">
            <w:pPr>
              <w:jc w:val="center"/>
            </w:pPr>
            <w:r>
              <w:rPr>
                <w:rFonts w:ascii="宋体" w:hAnsi="宋体" w:eastAsia="宋体"/>
                <w:sz w:val="16"/>
              </w:rPr>
              <w:t>—</w:t>
            </w:r>
          </w:p>
        </w:tc>
      </w:tr>
      <w:tr w14:paraId="1B0151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63D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4EE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7B813">
            <w:pPr>
              <w:jc w:val="center"/>
            </w:pPr>
            <w:r>
              <w:rPr>
                <w:rFonts w:ascii="宋体" w:hAnsi="宋体" w:eastAsia="宋体"/>
                <w:sz w:val="16"/>
              </w:rPr>
              <w:t>实际完成情况</w:t>
            </w:r>
          </w:p>
        </w:tc>
      </w:tr>
      <w:tr w14:paraId="4753C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246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12C82">
            <w:pPr>
              <w:jc w:val="both"/>
            </w:pPr>
            <w:r>
              <w:rPr>
                <w:rFonts w:ascii="宋体" w:hAnsi="宋体" w:eastAsia="宋体"/>
                <w:sz w:val="16"/>
              </w:rPr>
              <w:t>在保证粮食安全基础设施完整性的基础上，针对仓顶、墙体、门窗等不同部位具体情况，实施保温隔热升级改造、气密性改造。按绿色储粮要求，配备智能化设备，提升粮食企业现有仓储设施性能，改善粮食仓储设施条件，不断提高粮食综合储存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5D6B5">
            <w:pPr>
              <w:jc w:val="both"/>
            </w:pPr>
            <w:r>
              <w:rPr>
                <w:rFonts w:ascii="宋体" w:hAnsi="宋体" w:eastAsia="宋体"/>
                <w:sz w:val="16"/>
              </w:rPr>
              <w:t>对仓顶、墙体、门窗等不同部位具体情况，实施了保温隔热升级改造、气密性改造。按绿色储粮要求，配备了智能化设备，有效提升了粮食企业现有仓储设施性能，改善了粮食仓储设施条件，提高了粮食综合储存能力，确保了粮食安全。</w:t>
            </w:r>
          </w:p>
        </w:tc>
      </w:tr>
      <w:tr w14:paraId="5795BC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093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37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77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A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268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E3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EE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E0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75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AF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33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A2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5F903">
            <w:pPr>
              <w:jc w:val="center"/>
            </w:pPr>
            <w:r>
              <w:rPr>
                <w:rFonts w:ascii="宋体" w:hAnsi="宋体" w:eastAsia="宋体"/>
                <w:sz w:val="16"/>
              </w:rPr>
              <w:t>偏差原因分析及改进措施</w:t>
            </w:r>
          </w:p>
        </w:tc>
      </w:tr>
      <w:tr w14:paraId="3D5F0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79C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3F6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FE9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6CBB">
            <w:pPr>
              <w:jc w:val="center"/>
            </w:pPr>
            <w:r>
              <w:rPr>
                <w:rFonts w:ascii="宋体" w:hAnsi="宋体" w:eastAsia="宋体"/>
                <w:sz w:val="16"/>
              </w:rPr>
              <w:t>维修改造仓容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A903">
            <w:pPr>
              <w:jc w:val="center"/>
            </w:pPr>
            <w:r>
              <w:rPr>
                <w:rFonts w:ascii="宋体" w:hAnsi="宋体" w:eastAsia="宋体"/>
                <w:sz w:val="16"/>
              </w:rPr>
              <w:t>=3.50万吨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F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B5F1">
            <w:pPr>
              <w:jc w:val="center"/>
            </w:pPr>
            <w:r>
              <w:rPr>
                <w:rFonts w:ascii="宋体" w:hAnsi="宋体" w:eastAsia="宋体"/>
                <w:sz w:val="16"/>
              </w:rPr>
              <w:t>=0.55万吨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C5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9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F3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1FA7">
            <w:pPr>
              <w:jc w:val="center"/>
            </w:pPr>
            <w:r>
              <w:rPr>
                <w:rFonts w:ascii="宋体" w:hAnsi="宋体" w:eastAsia="宋体"/>
                <w:sz w:val="16"/>
              </w:rPr>
              <w:t>=8.25万吨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6A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4DAE">
            <w:pPr>
              <w:jc w:val="center"/>
            </w:pPr>
            <w:r>
              <w:rPr>
                <w:rFonts w:ascii="宋体" w:hAnsi="宋体" w:eastAsia="宋体"/>
                <w:sz w:val="16"/>
              </w:rPr>
              <w:t>偏差原因：方案没有实地严格测量仓容，与实际仓容差距大。改进措施：做方案时以事实为依据，注重细节管理，合理设置绩效目标。</w:t>
            </w:r>
          </w:p>
        </w:tc>
      </w:tr>
      <w:tr w14:paraId="3972E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8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EB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23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1D10">
            <w:pPr>
              <w:jc w:val="center"/>
            </w:pPr>
            <w:r>
              <w:rPr>
                <w:rFonts w:ascii="宋体" w:hAnsi="宋体" w:eastAsia="宋体"/>
                <w:sz w:val="16"/>
              </w:rPr>
              <w:t>实施维修改造企业数量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1B79">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BAD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35F3">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8C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A7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12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ECDC">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0B0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3EAE6">
            <w:pPr>
              <w:jc w:val="center"/>
            </w:pPr>
          </w:p>
        </w:tc>
      </w:tr>
      <w:tr w14:paraId="31E77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0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2E1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B3A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9FFA">
            <w:pPr>
              <w:jc w:val="center"/>
            </w:pPr>
            <w:r>
              <w:rPr>
                <w:rFonts w:ascii="宋体" w:hAnsi="宋体" w:eastAsia="宋体"/>
                <w:sz w:val="16"/>
              </w:rPr>
              <w:t>仓储设施建设维修资金到位率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F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B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D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84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76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33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6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363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5E59">
            <w:pPr>
              <w:jc w:val="center"/>
            </w:pPr>
          </w:p>
        </w:tc>
      </w:tr>
      <w:tr w14:paraId="69ED5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4D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494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0A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76A0">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3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96E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AF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03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72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2A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7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B00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5648">
            <w:pPr>
              <w:jc w:val="center"/>
            </w:pPr>
          </w:p>
        </w:tc>
      </w:tr>
      <w:tr w14:paraId="46CEB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B14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282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F0C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178C">
            <w:pPr>
              <w:jc w:val="center"/>
            </w:pPr>
            <w:r>
              <w:rPr>
                <w:rFonts w:ascii="宋体" w:hAnsi="宋体" w:eastAsia="宋体"/>
                <w:sz w:val="16"/>
              </w:rPr>
              <w:t>项目按时完工率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0F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C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7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A5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EB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55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A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432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CEB6D">
            <w:pPr>
              <w:jc w:val="center"/>
            </w:pPr>
          </w:p>
        </w:tc>
      </w:tr>
      <w:tr w14:paraId="0DD14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6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1F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AD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7D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5814">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547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70389">
            <w:pPr>
              <w:jc w:val="center"/>
            </w:pPr>
            <w:r>
              <w:rPr>
                <w:rFonts w:ascii="宋体" w:hAnsi="宋体" w:eastAsia="宋体"/>
                <w:sz w:val="16"/>
              </w:rPr>
              <w:t>2023年12月31日前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52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87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B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860E">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3E3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ED87">
            <w:pPr>
              <w:jc w:val="center"/>
            </w:pPr>
          </w:p>
        </w:tc>
      </w:tr>
      <w:tr w14:paraId="3A454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5C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90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7C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BD3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A18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2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54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EE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F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95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35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03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44FC6">
            <w:pPr>
              <w:jc w:val="center"/>
            </w:pPr>
          </w:p>
        </w:tc>
      </w:tr>
      <w:tr w14:paraId="4B135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F0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8D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63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6682">
            <w:pPr>
              <w:jc w:val="center"/>
            </w:pPr>
            <w:r>
              <w:rPr>
                <w:rFonts w:ascii="宋体" w:hAnsi="宋体" w:eastAsia="宋体"/>
                <w:sz w:val="16"/>
              </w:rPr>
              <w:t>提高粮食的储藏安全性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F1A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88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A3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B78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29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E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B85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E92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4D21">
            <w:pPr>
              <w:jc w:val="center"/>
            </w:pPr>
          </w:p>
        </w:tc>
      </w:tr>
      <w:tr w14:paraId="48775B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9F2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D3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0B7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D0FC">
            <w:pPr>
              <w:jc w:val="center"/>
            </w:pPr>
            <w:r>
              <w:rPr>
                <w:rFonts w:ascii="宋体" w:hAnsi="宋体" w:eastAsia="宋体"/>
                <w:sz w:val="16"/>
              </w:rPr>
              <w:t>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68E0F4"/>
        </w:tc>
      </w:tr>
    </w:tbl>
    <w:p w14:paraId="65B64D0A">
      <w:r>
        <w:br w:type="page"/>
      </w:r>
    </w:p>
    <w:p w14:paraId="625921A0">
      <w:pPr>
        <w:spacing w:line="640" w:lineRule="exact"/>
        <w:ind w:firstLine="640"/>
        <w:jc w:val="both"/>
        <w:outlineLvl w:val="2"/>
      </w:pPr>
      <w:r>
        <w:rPr>
          <w:rFonts w:ascii="黑体" w:hAnsi="黑体" w:eastAsia="黑体"/>
          <w:sz w:val="32"/>
        </w:rPr>
        <w:t>十二、其他需说明的事项</w:t>
      </w:r>
    </w:p>
    <w:p w14:paraId="3E6D3072">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项目3个，全年预算数85.11万元，全年执行数85.11万元。</w:t>
      </w:r>
    </w:p>
    <w:p w14:paraId="498B5D5C">
      <w:r>
        <w:br w:type="page"/>
      </w:r>
    </w:p>
    <w:p w14:paraId="36653BD5">
      <w:pPr>
        <w:spacing w:line="240" w:lineRule="auto"/>
        <w:jc w:val="center"/>
        <w:outlineLvl w:val="1"/>
      </w:pPr>
      <w:r>
        <w:rPr>
          <w:rFonts w:ascii="黑体" w:hAnsi="黑体" w:eastAsia="黑体"/>
          <w:sz w:val="32"/>
        </w:rPr>
        <w:t>第三部分 专业名词解释</w:t>
      </w:r>
    </w:p>
    <w:p w14:paraId="2182E8D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DF727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C2E8F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FF94A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E5FB8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F92CF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B4CB5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484D53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4166F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578E1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DD4DBA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495D4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DD9C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A08F7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7639B4">
      <w:r>
        <w:br w:type="page"/>
      </w:r>
    </w:p>
    <w:p w14:paraId="3DD13355">
      <w:pPr>
        <w:spacing w:line="240" w:lineRule="auto"/>
        <w:jc w:val="center"/>
        <w:outlineLvl w:val="1"/>
      </w:pPr>
      <w:r>
        <w:rPr>
          <w:rFonts w:ascii="黑体" w:hAnsi="黑体" w:eastAsia="黑体"/>
          <w:sz w:val="32"/>
        </w:rPr>
        <w:t>第四部分 部门决算报表（见附表）</w:t>
      </w:r>
    </w:p>
    <w:p w14:paraId="237A1891">
      <w:pPr>
        <w:spacing w:line="240" w:lineRule="auto"/>
        <w:ind w:firstLine="640"/>
        <w:jc w:val="both"/>
      </w:pPr>
      <w:r>
        <w:rPr>
          <w:rFonts w:ascii="仿宋_GB2312" w:hAnsi="仿宋_GB2312" w:eastAsia="仿宋_GB2312"/>
          <w:b w:val="0"/>
          <w:sz w:val="32"/>
        </w:rPr>
        <w:t>一、《收入支出决算总表》</w:t>
      </w:r>
    </w:p>
    <w:p w14:paraId="455F74E3">
      <w:pPr>
        <w:spacing w:line="240" w:lineRule="auto"/>
        <w:ind w:firstLine="640"/>
        <w:jc w:val="both"/>
      </w:pPr>
      <w:r>
        <w:rPr>
          <w:rFonts w:ascii="仿宋_GB2312" w:hAnsi="仿宋_GB2312" w:eastAsia="仿宋_GB2312"/>
          <w:b w:val="0"/>
          <w:sz w:val="32"/>
        </w:rPr>
        <w:t>二、《收入决算表》</w:t>
      </w:r>
    </w:p>
    <w:p w14:paraId="71755A4E">
      <w:pPr>
        <w:spacing w:line="240" w:lineRule="auto"/>
        <w:ind w:firstLine="640"/>
        <w:jc w:val="both"/>
      </w:pPr>
      <w:r>
        <w:rPr>
          <w:rFonts w:ascii="仿宋_GB2312" w:hAnsi="仿宋_GB2312" w:eastAsia="仿宋_GB2312"/>
          <w:b w:val="0"/>
          <w:sz w:val="32"/>
        </w:rPr>
        <w:t>三、《支出决算表》</w:t>
      </w:r>
    </w:p>
    <w:p w14:paraId="08DC202F">
      <w:pPr>
        <w:spacing w:line="240" w:lineRule="auto"/>
        <w:ind w:firstLine="640"/>
        <w:jc w:val="both"/>
      </w:pPr>
      <w:r>
        <w:rPr>
          <w:rFonts w:ascii="仿宋_GB2312" w:hAnsi="仿宋_GB2312" w:eastAsia="仿宋_GB2312"/>
          <w:b w:val="0"/>
          <w:sz w:val="32"/>
        </w:rPr>
        <w:t>四、《财政拨款收入支出决算总表》</w:t>
      </w:r>
    </w:p>
    <w:p w14:paraId="02204D48">
      <w:pPr>
        <w:spacing w:line="240" w:lineRule="auto"/>
        <w:ind w:firstLine="640"/>
        <w:jc w:val="both"/>
      </w:pPr>
      <w:r>
        <w:rPr>
          <w:rFonts w:ascii="仿宋_GB2312" w:hAnsi="仿宋_GB2312" w:eastAsia="仿宋_GB2312"/>
          <w:b w:val="0"/>
          <w:sz w:val="32"/>
        </w:rPr>
        <w:t>五、《一般公共预算财政拨款支出决算表》</w:t>
      </w:r>
    </w:p>
    <w:p w14:paraId="7BC55752">
      <w:pPr>
        <w:spacing w:line="240" w:lineRule="auto"/>
        <w:ind w:firstLine="640"/>
        <w:jc w:val="both"/>
      </w:pPr>
      <w:r>
        <w:rPr>
          <w:rFonts w:ascii="仿宋_GB2312" w:hAnsi="仿宋_GB2312" w:eastAsia="仿宋_GB2312"/>
          <w:b w:val="0"/>
          <w:sz w:val="32"/>
        </w:rPr>
        <w:t>六、《一般公共预算财政拨款基本支出决算表》</w:t>
      </w:r>
    </w:p>
    <w:p w14:paraId="4C9E070F">
      <w:pPr>
        <w:spacing w:line="240" w:lineRule="auto"/>
        <w:ind w:firstLine="640"/>
        <w:jc w:val="both"/>
      </w:pPr>
      <w:r>
        <w:rPr>
          <w:rFonts w:ascii="仿宋_GB2312" w:hAnsi="仿宋_GB2312" w:eastAsia="仿宋_GB2312"/>
          <w:b w:val="0"/>
          <w:sz w:val="32"/>
        </w:rPr>
        <w:t>七、《政府性基金预算财政拨款收入支出决算表》</w:t>
      </w:r>
    </w:p>
    <w:p w14:paraId="0D56BA39">
      <w:pPr>
        <w:spacing w:line="240" w:lineRule="auto"/>
        <w:ind w:firstLine="640"/>
        <w:jc w:val="both"/>
      </w:pPr>
      <w:r>
        <w:rPr>
          <w:rFonts w:ascii="仿宋_GB2312" w:hAnsi="仿宋_GB2312" w:eastAsia="仿宋_GB2312"/>
          <w:b w:val="0"/>
          <w:sz w:val="32"/>
        </w:rPr>
        <w:t>八、《国有资本经营预算财政拨款收入支出决算表》</w:t>
      </w:r>
    </w:p>
    <w:p w14:paraId="5D4F6ACF">
      <w:pPr>
        <w:spacing w:line="240" w:lineRule="auto"/>
        <w:ind w:firstLine="640"/>
        <w:jc w:val="both"/>
      </w:pPr>
      <w:r>
        <w:rPr>
          <w:rFonts w:ascii="仿宋_GB2312" w:hAnsi="仿宋_GB2312" w:eastAsia="仿宋_GB2312"/>
          <w:b w:val="0"/>
          <w:sz w:val="32"/>
        </w:rPr>
        <w:t>九、《财政拨款“三公”经费支出决算表》</w:t>
      </w:r>
    </w:p>
    <w:p w14:paraId="20747639">
      <w:pPr>
        <w:spacing w:line="240" w:lineRule="auto"/>
        <w:ind w:firstLine="640"/>
        <w:jc w:val="both"/>
      </w:pPr>
    </w:p>
    <w:p w14:paraId="40A223D4">
      <w:pPr>
        <w:spacing w:line="240" w:lineRule="auto"/>
        <w:ind w:firstLine="640"/>
        <w:jc w:val="both"/>
      </w:pPr>
    </w:p>
    <w:p w14:paraId="23187B98">
      <w:pPr>
        <w:spacing w:line="240" w:lineRule="auto"/>
        <w:ind w:firstLine="640"/>
        <w:jc w:val="both"/>
      </w:pPr>
    </w:p>
    <w:p w14:paraId="3F715E1F">
      <w:pPr>
        <w:spacing w:line="240" w:lineRule="auto"/>
        <w:ind w:firstLine="640"/>
        <w:jc w:val="both"/>
      </w:pPr>
    </w:p>
    <w:p w14:paraId="5ACF4E5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060349-A595-4E3B-A35A-2099183FA3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D1209E2-4458-4EE3-9093-236A682AF602}"/>
  </w:font>
  <w:font w:name="方正小标宋_GBK">
    <w:panose1 w:val="02000000000000000000"/>
    <w:charset w:val="86"/>
    <w:family w:val="script"/>
    <w:pitch w:val="default"/>
    <w:sig w:usb0="A00002BF" w:usb1="38CF7CFA" w:usb2="00082016" w:usb3="00000000" w:csb0="00040001" w:csb1="00000000"/>
    <w:embedRegular r:id="rId3" w:fontKey="{7D334C10-6E91-42F6-AE70-974F528FB756}"/>
  </w:font>
  <w:font w:name="楷体_GB2312">
    <w:altName w:val="楷体"/>
    <w:panose1 w:val="02010609030101010101"/>
    <w:charset w:val="86"/>
    <w:family w:val="auto"/>
    <w:pitch w:val="default"/>
    <w:sig w:usb0="00000000" w:usb1="00000000" w:usb2="00000000" w:usb3="00000000" w:csb0="00040000" w:csb1="00000000"/>
    <w:embedRegular r:id="rId4" w:fontKey="{61FC4247-8EC9-4740-A04F-5382C6AB4BD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24570"/>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22007B"/>
    <w:rsid w:val="1DAF458D"/>
    <w:rsid w:val="1E086ACE"/>
    <w:rsid w:val="1E4B5CA5"/>
    <w:rsid w:val="1EAA4A5F"/>
    <w:rsid w:val="1F587A0B"/>
    <w:rsid w:val="2064678E"/>
    <w:rsid w:val="20BC0B75"/>
    <w:rsid w:val="20DD6197"/>
    <w:rsid w:val="21F317F2"/>
    <w:rsid w:val="21F5698C"/>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231D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6089</Words>
  <Characters>6949</Characters>
  <Lines>0</Lines>
  <Paragraphs>0</Paragraphs>
  <TotalTime>11</TotalTime>
  <ScaleCrop>false</ScaleCrop>
  <LinksUpToDate>false</LinksUpToDate>
  <CharactersWithSpaces>6957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2025-09-29T07:44:58Z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