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新疆维吾尔自治区喀什地区自然资源规划勘测院2024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3DF830">
      <w:r>
        <w:br w:type="page"/>
      </w:r>
    </w:p>
    <w:p w14:paraId="39A4BACC">
      <w:pPr>
        <w:spacing w:line="640" w:lineRule="exact"/>
        <w:jc w:val="center"/>
        <w:outlineLvl w:val="1"/>
      </w:pPr>
      <w:r>
        <w:rPr>
          <w:rFonts w:ascii="黑体" w:hAnsi="黑体" w:eastAsia="黑体"/>
          <w:sz w:val="32"/>
        </w:rPr>
        <w:t>第一部分 部门概况</w:t>
      </w:r>
    </w:p>
    <w:p w14:paraId="316B5D6C">
      <w:pPr>
        <w:spacing w:line="640" w:lineRule="exact"/>
        <w:ind w:firstLine="640"/>
        <w:jc w:val="both"/>
        <w:outlineLvl w:val="2"/>
      </w:pPr>
      <w:r>
        <w:rPr>
          <w:rFonts w:ascii="黑体" w:hAnsi="黑体" w:eastAsia="黑体"/>
          <w:sz w:val="32"/>
        </w:rPr>
        <w:t>一、主要职能</w:t>
      </w:r>
    </w:p>
    <w:p w14:paraId="4F042CD4">
      <w:pPr>
        <w:spacing w:line="580" w:lineRule="exact"/>
        <w:ind w:firstLine="640"/>
        <w:jc w:val="both"/>
      </w:pPr>
      <w:r>
        <w:rPr>
          <w:rFonts w:ascii="仿宋_GB2312" w:hAnsi="仿宋_GB2312" w:eastAsia="仿宋_GB2312"/>
          <w:sz w:val="32"/>
        </w:rPr>
        <w:t>为保护与合理利用土地提供勘测规划服务</w:t>
      </w:r>
      <w:r>
        <w:rPr>
          <w:rFonts w:hint="eastAsia" w:ascii="仿宋_GB2312" w:hAnsi="仿宋_GB2312" w:eastAsia="仿宋_GB2312"/>
          <w:sz w:val="32"/>
          <w:lang w:eastAsia="zh-CN"/>
        </w:rPr>
        <w:t>，包括</w:t>
      </w:r>
      <w:r>
        <w:rPr>
          <w:rFonts w:ascii="仿宋_GB2312" w:hAnsi="仿宋_GB2312" w:eastAsia="仿宋_GB2312"/>
          <w:sz w:val="32"/>
        </w:rPr>
        <w:t>土地勘测规划、土地资源调查评价、土地资源监测与保护、土地勘测规划理论与技术规程研究、相关社会服务</w:t>
      </w:r>
      <w:r>
        <w:rPr>
          <w:rFonts w:hint="eastAsia" w:ascii="仿宋_GB2312" w:hAnsi="仿宋_GB2312" w:eastAsia="仿宋_GB2312"/>
          <w:sz w:val="32"/>
          <w:lang w:eastAsia="zh-CN"/>
        </w:rPr>
        <w:t>。</w:t>
      </w:r>
      <w:r>
        <w:rPr>
          <w:rFonts w:ascii="仿宋_GB2312" w:hAnsi="仿宋_GB2312" w:eastAsia="仿宋_GB2312"/>
          <w:sz w:val="32"/>
        </w:rPr>
        <w:t>受地区国土资源局的委托</w:t>
      </w:r>
      <w:r>
        <w:rPr>
          <w:rFonts w:hint="eastAsia" w:ascii="仿宋_GB2312" w:hAnsi="仿宋_GB2312" w:eastAsia="仿宋_GB2312"/>
          <w:sz w:val="32"/>
          <w:lang w:eastAsia="zh-CN"/>
        </w:rPr>
        <w:t>，</w:t>
      </w:r>
      <w:r>
        <w:rPr>
          <w:rFonts w:ascii="仿宋_GB2312" w:hAnsi="仿宋_GB2312" w:eastAsia="仿宋_GB2312"/>
          <w:sz w:val="32"/>
        </w:rPr>
        <w:t>承担地区土地利用、矿产资源总体规划</w:t>
      </w:r>
      <w:r>
        <w:rPr>
          <w:rFonts w:hint="eastAsia" w:ascii="仿宋_GB2312" w:hAnsi="仿宋_GB2312" w:eastAsia="仿宋_GB2312"/>
          <w:sz w:val="32"/>
          <w:lang w:eastAsia="zh-CN"/>
        </w:rPr>
        <w:t>和</w:t>
      </w:r>
      <w:r>
        <w:rPr>
          <w:rFonts w:ascii="仿宋_GB2312" w:hAnsi="仿宋_GB2312" w:eastAsia="仿宋_GB2312"/>
          <w:sz w:val="32"/>
        </w:rPr>
        <w:t>土地规划工作</w:t>
      </w:r>
      <w:r>
        <w:rPr>
          <w:rFonts w:hint="eastAsia" w:ascii="仿宋_GB2312" w:hAnsi="仿宋_GB2312" w:eastAsia="仿宋_GB2312"/>
          <w:sz w:val="32"/>
          <w:lang w:eastAsia="zh-CN"/>
        </w:rPr>
        <w:t>，负责</w:t>
      </w:r>
      <w:r>
        <w:rPr>
          <w:rFonts w:ascii="仿宋_GB2312" w:hAnsi="仿宋_GB2312" w:eastAsia="仿宋_GB2312"/>
          <w:sz w:val="32"/>
        </w:rPr>
        <w:t>土地调查1:1万基础测绘数据管理</w:t>
      </w:r>
      <w:r>
        <w:rPr>
          <w:rFonts w:hint="eastAsia" w:ascii="仿宋_GB2312" w:hAnsi="仿宋_GB2312" w:eastAsia="仿宋_GB2312"/>
          <w:sz w:val="32"/>
          <w:lang w:eastAsia="zh-CN"/>
        </w:rPr>
        <w:t>、国土资源</w:t>
      </w:r>
      <w:r>
        <w:rPr>
          <w:rFonts w:ascii="仿宋_GB2312" w:hAnsi="仿宋_GB2312" w:eastAsia="仿宋_GB2312"/>
          <w:sz w:val="32"/>
        </w:rPr>
        <w:t>数据库建设及土地矿产资源窗口办文工作</w:t>
      </w:r>
      <w:r>
        <w:rPr>
          <w:rFonts w:hint="eastAsia" w:ascii="仿宋_GB2312" w:hAnsi="仿宋_GB2312" w:eastAsia="仿宋_GB2312"/>
          <w:sz w:val="32"/>
          <w:lang w:eastAsia="zh-CN"/>
        </w:rPr>
        <w:t>等</w:t>
      </w:r>
      <w:r>
        <w:rPr>
          <w:rFonts w:ascii="仿宋_GB2312" w:hAnsi="仿宋_GB2312" w:eastAsia="仿宋_GB2312"/>
          <w:sz w:val="32"/>
        </w:rPr>
        <w:t>。</w:t>
      </w:r>
    </w:p>
    <w:p w14:paraId="4D3CCBD8">
      <w:pPr>
        <w:spacing w:line="640" w:lineRule="exact"/>
        <w:ind w:firstLine="640"/>
        <w:jc w:val="both"/>
        <w:outlineLvl w:val="2"/>
      </w:pPr>
      <w:r>
        <w:rPr>
          <w:rFonts w:ascii="黑体" w:hAnsi="黑体" w:eastAsia="黑体"/>
          <w:sz w:val="32"/>
        </w:rPr>
        <w:t>二、机构设置及人员情况</w:t>
      </w:r>
    </w:p>
    <w:p w14:paraId="4CD761CB">
      <w:pPr>
        <w:spacing w:line="580" w:lineRule="exact"/>
        <w:ind w:firstLine="640"/>
        <w:jc w:val="both"/>
      </w:pPr>
      <w:r>
        <w:rPr>
          <w:rFonts w:ascii="仿宋_GB2312" w:hAnsi="仿宋_GB2312" w:eastAsia="仿宋_GB2312"/>
          <w:sz w:val="32"/>
        </w:rPr>
        <w:t>新疆维吾尔自治区喀什地区自然资源规划勘测院2024年度，实有人数36人，其中：在职人员24人，增加0人；离休人员0人，增加0人；退休人员12人,增加0人。</w:t>
      </w:r>
    </w:p>
    <w:p w14:paraId="5DC6B76A">
      <w:pPr>
        <w:spacing w:line="580" w:lineRule="exact"/>
        <w:ind w:firstLine="640"/>
        <w:jc w:val="both"/>
      </w:pPr>
      <w:r>
        <w:rPr>
          <w:rFonts w:ascii="仿宋_GB2312" w:hAnsi="仿宋_GB2312" w:eastAsia="仿宋_GB2312"/>
          <w:sz w:val="32"/>
        </w:rPr>
        <w:t>新疆维吾尔自治区喀什地区自然资源规划勘测院无下属预算单位，下设7个科室，分别是：党群办、办公室、总工办、财务室、地理信息室、确权划界室、规划室。</w:t>
      </w:r>
    </w:p>
    <w:p w14:paraId="1E362FE6">
      <w:r>
        <w:br w:type="page"/>
      </w:r>
    </w:p>
    <w:p w14:paraId="58B4E537">
      <w:pPr>
        <w:spacing w:line="240" w:lineRule="auto"/>
        <w:jc w:val="center"/>
        <w:outlineLvl w:val="1"/>
      </w:pPr>
      <w:r>
        <w:rPr>
          <w:rFonts w:ascii="黑体" w:hAnsi="黑体" w:eastAsia="黑体"/>
          <w:sz w:val="32"/>
        </w:rPr>
        <w:t>第二部分 部门决算情况说明</w:t>
      </w:r>
    </w:p>
    <w:p w14:paraId="53904FC7">
      <w:pPr>
        <w:spacing w:line="640" w:lineRule="exact"/>
        <w:ind w:firstLine="640"/>
        <w:jc w:val="both"/>
        <w:outlineLvl w:val="2"/>
      </w:pPr>
      <w:r>
        <w:rPr>
          <w:rFonts w:ascii="黑体" w:hAnsi="黑体" w:eastAsia="黑体"/>
          <w:sz w:val="32"/>
        </w:rPr>
        <w:t>一、收入支出决算总体情况说明</w:t>
      </w:r>
    </w:p>
    <w:p w14:paraId="5816A5CB">
      <w:pPr>
        <w:spacing w:line="580" w:lineRule="exact"/>
        <w:ind w:firstLine="640"/>
        <w:jc w:val="both"/>
      </w:pPr>
      <w:r>
        <w:rPr>
          <w:rFonts w:ascii="仿宋_GB2312" w:hAnsi="仿宋_GB2312" w:eastAsia="仿宋_GB2312"/>
          <w:b/>
          <w:sz w:val="32"/>
        </w:rPr>
        <w:t>2024年度收入总计732.92万元，</w:t>
      </w:r>
      <w:r>
        <w:rPr>
          <w:rFonts w:ascii="仿宋_GB2312" w:hAnsi="仿宋_GB2312" w:eastAsia="仿宋_GB2312"/>
          <w:b w:val="0"/>
          <w:sz w:val="32"/>
        </w:rPr>
        <w:t>其中：本年收入合计732.92万元，使用非财政拨款结余（含专用结余）0.00万元，年初结转和结余0.00万元。</w:t>
      </w:r>
    </w:p>
    <w:p w14:paraId="76959FE3">
      <w:pPr>
        <w:spacing w:line="580" w:lineRule="exact"/>
        <w:ind w:firstLine="640"/>
        <w:jc w:val="both"/>
      </w:pPr>
      <w:r>
        <w:rPr>
          <w:rFonts w:ascii="仿宋_GB2312" w:hAnsi="仿宋_GB2312" w:eastAsia="仿宋_GB2312"/>
          <w:b/>
          <w:sz w:val="32"/>
        </w:rPr>
        <w:t>2024年度支出总计732.92万元，</w:t>
      </w:r>
      <w:r>
        <w:rPr>
          <w:rFonts w:ascii="仿宋_GB2312" w:hAnsi="仿宋_GB2312" w:eastAsia="仿宋_GB2312"/>
          <w:b w:val="0"/>
          <w:sz w:val="32"/>
        </w:rPr>
        <w:t>其中：本年支出合计732.92万元，结余分配0.00万元，年末结转和结余0.00万元。</w:t>
      </w:r>
    </w:p>
    <w:p w14:paraId="70560496">
      <w:pPr>
        <w:spacing w:line="580" w:lineRule="exact"/>
        <w:ind w:firstLine="640"/>
        <w:jc w:val="both"/>
      </w:pPr>
      <w:r>
        <w:rPr>
          <w:rFonts w:ascii="仿宋_GB2312" w:hAnsi="仿宋_GB2312" w:eastAsia="仿宋_GB2312"/>
          <w:b w:val="0"/>
          <w:sz w:val="32"/>
        </w:rPr>
        <w:t>收入支出总体与上年相比，减少69.21万元，下降8.63%，主要原因是：本年度土地资源调查项目资金较上年减少。</w:t>
      </w:r>
    </w:p>
    <w:p w14:paraId="43258232">
      <w:pPr>
        <w:spacing w:line="640" w:lineRule="exact"/>
        <w:ind w:firstLine="640"/>
        <w:jc w:val="both"/>
        <w:outlineLvl w:val="2"/>
      </w:pPr>
      <w:r>
        <w:rPr>
          <w:rFonts w:ascii="黑体" w:hAnsi="黑体" w:eastAsia="黑体"/>
          <w:sz w:val="32"/>
        </w:rPr>
        <w:t>二、收入决算情况说明</w:t>
      </w:r>
    </w:p>
    <w:p w14:paraId="61285942">
      <w:pPr>
        <w:spacing w:line="580" w:lineRule="exact"/>
        <w:ind w:firstLine="640"/>
        <w:jc w:val="both"/>
      </w:pPr>
      <w:r>
        <w:rPr>
          <w:rFonts w:ascii="仿宋_GB2312" w:hAnsi="仿宋_GB2312" w:eastAsia="仿宋_GB2312"/>
          <w:b/>
          <w:sz w:val="32"/>
        </w:rPr>
        <w:t>本年收入732.92万元，</w:t>
      </w:r>
      <w:r>
        <w:rPr>
          <w:rFonts w:ascii="仿宋_GB2312" w:hAnsi="仿宋_GB2312" w:eastAsia="仿宋_GB2312"/>
          <w:b w:val="0"/>
          <w:sz w:val="32"/>
        </w:rPr>
        <w:t>其中：财政拨款收入464.39万元，占63.36%；上级补助收入0.00万元，占0.00%；事业收入268.52万元，占36.64%；经营收入0.00万元，占0.00%；附属单位上缴收入0.00万元，占0.00%；其他收入0.00万元，占0.00%。</w:t>
      </w:r>
    </w:p>
    <w:p w14:paraId="201766B1">
      <w:pPr>
        <w:spacing w:line="640" w:lineRule="exact"/>
        <w:ind w:firstLine="640"/>
        <w:jc w:val="both"/>
        <w:outlineLvl w:val="2"/>
      </w:pPr>
      <w:r>
        <w:rPr>
          <w:rFonts w:ascii="黑体" w:hAnsi="黑体" w:eastAsia="黑体"/>
          <w:sz w:val="32"/>
        </w:rPr>
        <w:t>三、支出决算情况说明</w:t>
      </w:r>
    </w:p>
    <w:p w14:paraId="0754D3A6">
      <w:pPr>
        <w:spacing w:line="580" w:lineRule="exact"/>
        <w:ind w:firstLine="640"/>
        <w:jc w:val="both"/>
      </w:pPr>
      <w:r>
        <w:rPr>
          <w:rFonts w:ascii="仿宋_GB2312" w:hAnsi="仿宋_GB2312" w:eastAsia="仿宋_GB2312"/>
          <w:b/>
          <w:sz w:val="32"/>
        </w:rPr>
        <w:t>本年支出732.92万元，</w:t>
      </w:r>
      <w:r>
        <w:rPr>
          <w:rFonts w:ascii="仿宋_GB2312" w:hAnsi="仿宋_GB2312" w:eastAsia="仿宋_GB2312"/>
          <w:b w:val="0"/>
          <w:sz w:val="32"/>
        </w:rPr>
        <w:t>其中：基本支出482.92万元，占65.89%；项目支出250.00万元，占34.11%；上缴上级支出0.00万元，占0.00%；经营支出0.00万元，占0.00%；对附属单位补助支出0.00万元，占0.00%。</w:t>
      </w:r>
    </w:p>
    <w:p w14:paraId="604F585B">
      <w:pPr>
        <w:spacing w:line="640" w:lineRule="exact"/>
        <w:ind w:firstLine="640"/>
        <w:jc w:val="both"/>
        <w:outlineLvl w:val="2"/>
      </w:pPr>
      <w:r>
        <w:rPr>
          <w:rFonts w:ascii="黑体" w:hAnsi="黑体" w:eastAsia="黑体"/>
          <w:sz w:val="32"/>
        </w:rPr>
        <w:t>四、财政拨款收入支出决算总体情况说明</w:t>
      </w:r>
    </w:p>
    <w:p w14:paraId="1EF21836">
      <w:pPr>
        <w:spacing w:line="580" w:lineRule="exact"/>
        <w:ind w:firstLine="640"/>
        <w:jc w:val="both"/>
      </w:pPr>
      <w:r>
        <w:rPr>
          <w:rFonts w:ascii="仿宋_GB2312" w:hAnsi="仿宋_GB2312" w:eastAsia="仿宋_GB2312"/>
          <w:b/>
          <w:sz w:val="32"/>
        </w:rPr>
        <w:t>2024年度财政拨款收入总计464.39万元，</w:t>
      </w:r>
      <w:r>
        <w:rPr>
          <w:rFonts w:ascii="仿宋_GB2312" w:hAnsi="仿宋_GB2312" w:eastAsia="仿宋_GB2312"/>
          <w:b w:val="0"/>
          <w:sz w:val="32"/>
        </w:rPr>
        <w:t>其中：年初财政拨款结转和结余0.00万元，本年财政拨款收入464.39万元。</w:t>
      </w:r>
      <w:r>
        <w:rPr>
          <w:rFonts w:ascii="仿宋_GB2312" w:hAnsi="仿宋_GB2312" w:eastAsia="仿宋_GB2312"/>
          <w:b/>
          <w:sz w:val="32"/>
        </w:rPr>
        <w:t>财政拨款支出总计464.39万元，</w:t>
      </w:r>
      <w:r>
        <w:rPr>
          <w:rFonts w:ascii="仿宋_GB2312" w:hAnsi="仿宋_GB2312" w:eastAsia="仿宋_GB2312"/>
          <w:b w:val="0"/>
          <w:sz w:val="32"/>
        </w:rPr>
        <w:t>其中：年末财政拨款结转和结余0.00万元，本年财政拨款支出464.39万元。</w:t>
      </w:r>
    </w:p>
    <w:p w14:paraId="177C950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减少29.98万元，下降6.06%，主要原因是：本年度在职人员离职1人、新增1人、聘用人员辞职8人，相关经费较上年减少。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年初预算数513.70万元，决算数464.39万元，预决算差异率-9.60%，主要原因是：本年度在职人员离职1人、新增1人、长聘人员减少8人，年中调减相关经费，导致预决算存在差异。</w:t>
      </w:r>
    </w:p>
    <w:p w14:paraId="284227B1">
      <w:pPr>
        <w:spacing w:line="640" w:lineRule="exact"/>
        <w:ind w:firstLine="640"/>
        <w:jc w:val="both"/>
        <w:outlineLvl w:val="2"/>
      </w:pPr>
      <w:r>
        <w:rPr>
          <w:rFonts w:ascii="黑体" w:hAnsi="黑体" w:eastAsia="黑体"/>
          <w:sz w:val="32"/>
        </w:rPr>
        <w:t>五、一般公共预算财政拨款支出决算情况说明</w:t>
      </w:r>
    </w:p>
    <w:p w14:paraId="5511484C">
      <w:pPr>
        <w:spacing w:line="640" w:lineRule="exact"/>
        <w:ind w:firstLine="640"/>
        <w:jc w:val="both"/>
        <w:outlineLvl w:val="3"/>
      </w:pPr>
      <w:r>
        <w:rPr>
          <w:rFonts w:ascii="楷体_GB2312" w:hAnsi="楷体_GB2312" w:eastAsia="楷体_GB2312"/>
          <w:b/>
          <w:sz w:val="32"/>
        </w:rPr>
        <w:t>（一）一般公共预算财政拨款支出决算总体情况</w:t>
      </w:r>
    </w:p>
    <w:p w14:paraId="03F04EB2">
      <w:pPr>
        <w:spacing w:line="580" w:lineRule="exact"/>
        <w:ind w:firstLine="640"/>
        <w:jc w:val="both"/>
      </w:pPr>
      <w:r>
        <w:rPr>
          <w:rFonts w:ascii="仿宋_GB2312" w:hAnsi="仿宋_GB2312" w:eastAsia="仿宋_GB2312"/>
          <w:b/>
          <w:sz w:val="32"/>
        </w:rPr>
        <w:t>2024年度一般公共预算财政拨款支出464.39万元，</w:t>
      </w:r>
      <w:r>
        <w:rPr>
          <w:rFonts w:ascii="仿宋_GB2312" w:hAnsi="仿宋_GB2312" w:eastAsia="仿宋_GB2312"/>
          <w:b w:val="0"/>
          <w:sz w:val="32"/>
        </w:rPr>
        <w:t>占本年支出合计的63.36%。</w:t>
      </w:r>
      <w:r>
        <w:rPr>
          <w:rFonts w:ascii="仿宋_GB2312" w:hAnsi="仿宋_GB2312" w:eastAsia="仿宋_GB2312"/>
          <w:b/>
          <w:sz w:val="32"/>
        </w:rPr>
        <w:t>与上年相比，</w:t>
      </w:r>
      <w:r>
        <w:rPr>
          <w:rFonts w:ascii="仿宋_GB2312" w:hAnsi="仿宋_GB2312" w:eastAsia="仿宋_GB2312"/>
          <w:b w:val="0"/>
          <w:sz w:val="32"/>
        </w:rPr>
        <w:t>减少29.98万元，下降6.06%，主要原因是：本年度在职人员离职1人、新增1人、聘用人员辞职8人，相关经费较上年减少。</w:t>
      </w:r>
      <w:r>
        <w:rPr>
          <w:rFonts w:ascii="仿宋_GB2312" w:hAnsi="仿宋_GB2312" w:eastAsia="仿宋_GB2312"/>
          <w:b/>
          <w:sz w:val="32"/>
        </w:rPr>
        <w:t>与年初预算相比,</w:t>
      </w:r>
      <w:r>
        <w:rPr>
          <w:rFonts w:ascii="仿宋_GB2312" w:hAnsi="仿宋_GB2312" w:eastAsia="仿宋_GB2312"/>
          <w:b w:val="0"/>
          <w:sz w:val="32"/>
        </w:rPr>
        <w:t>年初预算数513.70万元，决算数464.39万元，预决算差异率-9.60%，主要原因是：本年度在职人员离职1人、新增1人、长聘人员减少8人，年中调减相关经费，导致预决算存在差异。</w:t>
      </w:r>
    </w:p>
    <w:p w14:paraId="12FFC396">
      <w:pPr>
        <w:spacing w:line="640" w:lineRule="exact"/>
        <w:ind w:firstLine="640"/>
        <w:jc w:val="both"/>
        <w:outlineLvl w:val="3"/>
      </w:pPr>
      <w:r>
        <w:rPr>
          <w:rFonts w:ascii="楷体_GB2312" w:hAnsi="楷体_GB2312" w:eastAsia="楷体_GB2312"/>
          <w:b/>
          <w:sz w:val="32"/>
        </w:rPr>
        <w:t>（二）一般公共预算财政拨款支出决算结构情况</w:t>
      </w:r>
    </w:p>
    <w:p w14:paraId="3DEC9702">
      <w:pPr>
        <w:spacing w:line="580" w:lineRule="exact"/>
        <w:ind w:firstLine="640"/>
        <w:jc w:val="both"/>
      </w:pPr>
      <w:r>
        <w:rPr>
          <w:rFonts w:ascii="仿宋_GB2312" w:hAnsi="仿宋_GB2312" w:eastAsia="仿宋_GB2312"/>
          <w:b w:val="0"/>
          <w:sz w:val="32"/>
        </w:rPr>
        <w:t>1.社会保障和就业支出(类)58.89万元,占12.68%。</w:t>
      </w:r>
    </w:p>
    <w:p w14:paraId="611D36E5">
      <w:pPr>
        <w:spacing w:line="580" w:lineRule="exact"/>
        <w:ind w:firstLine="640"/>
        <w:jc w:val="both"/>
      </w:pPr>
      <w:r>
        <w:rPr>
          <w:rFonts w:ascii="仿宋_GB2312" w:hAnsi="仿宋_GB2312" w:eastAsia="仿宋_GB2312"/>
          <w:b w:val="0"/>
          <w:sz w:val="32"/>
        </w:rPr>
        <w:t>2.卫生健康支出(类)18.62万元,占4.</w:t>
      </w:r>
      <w:r>
        <w:rPr>
          <w:rFonts w:hint="eastAsia" w:ascii="仿宋_GB2312" w:hAnsi="仿宋_GB2312" w:eastAsia="仿宋_GB2312"/>
          <w:b w:val="0"/>
          <w:sz w:val="32"/>
          <w:lang w:eastAsia="zh-CN"/>
        </w:rPr>
        <w:t>01</w:t>
      </w:r>
      <w:r>
        <w:rPr>
          <w:rFonts w:ascii="仿宋_GB2312" w:hAnsi="仿宋_GB2312" w:eastAsia="仿宋_GB2312"/>
          <w:b w:val="0"/>
          <w:sz w:val="32"/>
        </w:rPr>
        <w:t>%。</w:t>
      </w:r>
    </w:p>
    <w:p w14:paraId="57804FF2">
      <w:pPr>
        <w:spacing w:line="580" w:lineRule="exact"/>
        <w:ind w:firstLine="640"/>
        <w:jc w:val="both"/>
      </w:pPr>
      <w:r>
        <w:rPr>
          <w:rFonts w:ascii="仿宋_GB2312" w:hAnsi="仿宋_GB2312" w:eastAsia="仿宋_GB2312"/>
          <w:b w:val="0"/>
          <w:sz w:val="32"/>
        </w:rPr>
        <w:t>3.自然资源海洋气象等支出(类)351.29万元,占75.65%。</w:t>
      </w:r>
    </w:p>
    <w:p w14:paraId="44C72A46">
      <w:pPr>
        <w:spacing w:line="580" w:lineRule="exact"/>
        <w:ind w:firstLine="640"/>
        <w:jc w:val="both"/>
      </w:pPr>
      <w:r>
        <w:rPr>
          <w:rFonts w:ascii="仿宋_GB2312" w:hAnsi="仿宋_GB2312" w:eastAsia="仿宋_GB2312"/>
          <w:b w:val="0"/>
          <w:sz w:val="32"/>
        </w:rPr>
        <w:t>4.住房保障支出(类)35.59万元,占7.66%。</w:t>
      </w:r>
    </w:p>
    <w:p w14:paraId="4E72FA7C">
      <w:pPr>
        <w:spacing w:line="640" w:lineRule="exact"/>
        <w:ind w:firstLine="640"/>
        <w:jc w:val="both"/>
        <w:outlineLvl w:val="3"/>
      </w:pPr>
      <w:r>
        <w:rPr>
          <w:rFonts w:ascii="楷体_GB2312" w:hAnsi="楷体_GB2312" w:eastAsia="楷体_GB2312"/>
          <w:b/>
          <w:sz w:val="32"/>
        </w:rPr>
        <w:t>（三）一般公共预算财政拨款支出决算具体情况</w:t>
      </w:r>
    </w:p>
    <w:p w14:paraId="15283BA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1.社会保障和就业支出(类)行政事业单位养老支出(款)事业单位离退休(项):支出决算数为17.44万元，比上年决算增加3.68万元，增长26.74%,主要原因是：本年增加退休人员基础绩效奖，退休费支出增加。</w:t>
      </w:r>
    </w:p>
    <w:p w14:paraId="51DC8FC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41.45万元，比上年决算增加3.74万元，增长9.92%,主要原因是：本年在职人员工资基数调增，养老缴费基数上涨，相应支出增加。</w:t>
      </w:r>
    </w:p>
    <w:p w14:paraId="231B73F0">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3.社会保障和就业支出(类)抚恤(款)死亡抚恤(项):支出决算数为0.00万元，比上年决算减少5.22万元，下降100.00%,主要原因是：本年无新增死亡人员，死亡抚恤支出较上年减少。</w:t>
      </w:r>
    </w:p>
    <w:p w14:paraId="4960611B">
      <w:pPr>
        <w:spacing w:line="580" w:lineRule="exact"/>
        <w:ind w:firstLine="640"/>
        <w:jc w:val="both"/>
      </w:pPr>
      <w:r>
        <w:rPr>
          <w:rFonts w:ascii="仿宋_GB2312" w:hAnsi="仿宋_GB2312" w:eastAsia="仿宋_GB2312"/>
          <w:b w:val="0"/>
          <w:sz w:val="32"/>
        </w:rPr>
        <w:t>4.卫生健康支出(类)行政事业单位医疗(款)事业单位医疗(项):支出决算数为18.21万元，比上年决算增加1.66万元，增长10.03%,主要原因是：本年在职人员工资基数调增，医疗缴费基数上涨，相应支出增加。</w:t>
      </w:r>
    </w:p>
    <w:p w14:paraId="4B5BA625">
      <w:pPr>
        <w:spacing w:line="580" w:lineRule="exact"/>
        <w:ind w:firstLine="640"/>
        <w:jc w:val="both"/>
      </w:pPr>
      <w:r>
        <w:rPr>
          <w:rFonts w:ascii="仿宋_GB2312" w:hAnsi="仿宋_GB2312" w:eastAsia="仿宋_GB2312"/>
          <w:b w:val="0"/>
          <w:sz w:val="32"/>
        </w:rPr>
        <w:t>5.卫生健康支出(类)行政事业单位医疗(款)公务员医疗补助(项):支出决算数为0.41万元，比上年决算增加0.02万元，增长5.13%,主要原因是：本年在职人员工资基数调增，医疗缴费基数上涨，相应支出增加。</w:t>
      </w:r>
    </w:p>
    <w:p w14:paraId="795B8687">
      <w:pPr>
        <w:spacing w:line="580" w:lineRule="exact"/>
        <w:ind w:firstLine="640"/>
        <w:jc w:val="both"/>
      </w:pPr>
      <w:r>
        <w:rPr>
          <w:rFonts w:ascii="仿宋_GB2312" w:hAnsi="仿宋_GB2312" w:eastAsia="仿宋_GB2312"/>
          <w:b w:val="0"/>
          <w:sz w:val="32"/>
        </w:rPr>
        <w:t>6.自然资源海洋气象等支出(类)自然资源事务(款)事业运行(项):支出决算数为351.29万元，比上年决算减少37.92万元，下降9.74%,主要原因是：本年度在职人员离职1人、新增1人、聘用人员辞职8人，相关经费较上年减少。</w:t>
      </w:r>
    </w:p>
    <w:p w14:paraId="366E054A">
      <w:pPr>
        <w:spacing w:line="580" w:lineRule="exact"/>
        <w:ind w:firstLine="640"/>
        <w:jc w:val="both"/>
      </w:pPr>
      <w:r>
        <w:rPr>
          <w:rFonts w:ascii="仿宋_GB2312" w:hAnsi="仿宋_GB2312" w:eastAsia="仿宋_GB2312"/>
          <w:b w:val="0"/>
          <w:sz w:val="32"/>
        </w:rPr>
        <w:t>7.住房保障支出(类)住房改革支出(款)住房公积金(项):支出决算数为35.59万元，比上年决算增加4.06万元，增长12.88%,主要原因是：本年在职人员工资基数调增，公积金缴费基数上涨，相应支出增加。</w:t>
      </w:r>
    </w:p>
    <w:p w14:paraId="7C98E620">
      <w:pPr>
        <w:spacing w:line="640" w:lineRule="exact"/>
        <w:ind w:firstLine="640"/>
        <w:jc w:val="both"/>
        <w:outlineLvl w:val="2"/>
      </w:pPr>
      <w:r>
        <w:rPr>
          <w:rFonts w:ascii="黑体" w:hAnsi="黑体" w:eastAsia="黑体"/>
          <w:sz w:val="32"/>
        </w:rPr>
        <w:t>六、一般公共预算财政拨款基本支出决算情况说明</w:t>
      </w:r>
    </w:p>
    <w:p w14:paraId="602770A9">
      <w:pPr>
        <w:spacing w:line="580" w:lineRule="exact"/>
        <w:ind w:firstLine="640"/>
        <w:jc w:val="both"/>
      </w:pPr>
      <w:r>
        <w:rPr>
          <w:rFonts w:ascii="仿宋_GB2312" w:hAnsi="仿宋_GB2312" w:eastAsia="仿宋_GB2312"/>
          <w:b w:val="0"/>
          <w:sz w:val="32"/>
        </w:rPr>
        <w:t>2024年度一般公共预算财政拨款基本支出464.39万元，其中：</w:t>
      </w:r>
      <w:r>
        <w:rPr>
          <w:rFonts w:ascii="仿宋_GB2312" w:hAnsi="仿宋_GB2312" w:eastAsia="仿宋_GB2312"/>
          <w:b/>
          <w:sz w:val="32"/>
        </w:rPr>
        <w:t>人员经费464.39万元，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14:paraId="1B2E116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A3ADC1B">
      <w:pPr>
        <w:spacing w:line="640" w:lineRule="exact"/>
        <w:ind w:firstLine="640"/>
        <w:jc w:val="both"/>
        <w:outlineLvl w:val="2"/>
      </w:pPr>
      <w:r>
        <w:rPr>
          <w:rFonts w:ascii="黑体" w:hAnsi="黑体" w:eastAsia="黑体"/>
          <w:sz w:val="32"/>
        </w:rPr>
        <w:t>七、政府性基金预算财政拨款收入支出决算情况说明</w:t>
      </w:r>
    </w:p>
    <w:p w14:paraId="517DE8D0">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EDD3ED0">
      <w:pPr>
        <w:spacing w:line="640" w:lineRule="exact"/>
        <w:ind w:firstLine="640"/>
        <w:jc w:val="both"/>
        <w:outlineLvl w:val="2"/>
      </w:pPr>
      <w:r>
        <w:rPr>
          <w:rFonts w:ascii="黑体" w:hAnsi="黑体" w:eastAsia="黑体"/>
          <w:sz w:val="32"/>
        </w:rPr>
        <w:t>八、国有资本经营预算财政拨款收入支出决算情况说明</w:t>
      </w:r>
    </w:p>
    <w:p w14:paraId="0DA543A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0411716">
      <w:pPr>
        <w:spacing w:line="640" w:lineRule="exact"/>
        <w:ind w:firstLine="640"/>
        <w:jc w:val="both"/>
        <w:outlineLvl w:val="2"/>
      </w:pPr>
      <w:r>
        <w:rPr>
          <w:rFonts w:ascii="黑体" w:hAnsi="黑体" w:eastAsia="黑体"/>
          <w:sz w:val="32"/>
        </w:rPr>
        <w:t>九、财政拨款“三公”经费支出决算情况说明</w:t>
      </w:r>
    </w:p>
    <w:p w14:paraId="3F908AA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87013CA">
      <w:pPr>
        <w:spacing w:line="580" w:lineRule="exact"/>
        <w:ind w:firstLine="640"/>
        <w:jc w:val="both"/>
      </w:pPr>
      <w:r>
        <w:rPr>
          <w:rFonts w:ascii="仿宋_GB2312" w:hAnsi="仿宋_GB2312" w:eastAsia="仿宋_GB2312"/>
          <w:b/>
          <w:sz w:val="32"/>
        </w:rPr>
        <w:t>具体情况如下：</w:t>
      </w:r>
    </w:p>
    <w:p w14:paraId="66415EE2">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462D2F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43F1399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F2EE3C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6CAF0FA4">
      <w:pPr>
        <w:spacing w:line="640" w:lineRule="exact"/>
        <w:ind w:firstLine="640"/>
        <w:jc w:val="both"/>
        <w:outlineLvl w:val="2"/>
      </w:pPr>
      <w:r>
        <w:rPr>
          <w:rFonts w:ascii="黑体" w:hAnsi="黑体" w:eastAsia="黑体"/>
          <w:sz w:val="32"/>
        </w:rPr>
        <w:t>十、其他重要事项的情况说明</w:t>
      </w:r>
    </w:p>
    <w:p w14:paraId="039CF03E">
      <w:pPr>
        <w:spacing w:line="640" w:lineRule="exact"/>
        <w:ind w:firstLine="640"/>
        <w:jc w:val="both"/>
        <w:outlineLvl w:val="3"/>
      </w:pPr>
      <w:r>
        <w:rPr>
          <w:rFonts w:ascii="楷体_GB2312" w:hAnsi="楷体_GB2312" w:eastAsia="楷体_GB2312"/>
          <w:b/>
          <w:sz w:val="32"/>
        </w:rPr>
        <w:t>（一）机关运行经费及公用经费支出情况</w:t>
      </w:r>
    </w:p>
    <w:p w14:paraId="646F8706">
      <w:pPr>
        <w:spacing w:line="580" w:lineRule="exact"/>
        <w:ind w:firstLine="640"/>
        <w:jc w:val="both"/>
      </w:pPr>
      <w:r>
        <w:rPr>
          <w:rFonts w:ascii="仿宋_GB2312" w:hAnsi="仿宋_GB2312" w:eastAsia="仿宋_GB2312"/>
          <w:b w:val="0"/>
          <w:sz w:val="32"/>
        </w:rPr>
        <w:t>2024年度新疆维吾尔自治区喀什地区自然资源规划勘测院（事业单位）公用经费支出0.00万元，比上年增加0.00万元，增长0.00%，主要原因是：2023年与2024年均未安排公用经费支出。</w:t>
      </w:r>
    </w:p>
    <w:p w14:paraId="599E51FA">
      <w:pPr>
        <w:spacing w:line="640" w:lineRule="exact"/>
        <w:ind w:firstLine="640"/>
        <w:jc w:val="both"/>
        <w:outlineLvl w:val="3"/>
      </w:pPr>
      <w:r>
        <w:rPr>
          <w:rFonts w:ascii="楷体_GB2312" w:hAnsi="楷体_GB2312" w:eastAsia="楷体_GB2312"/>
          <w:b/>
          <w:sz w:val="32"/>
        </w:rPr>
        <w:t>（二）政府采购情况</w:t>
      </w:r>
    </w:p>
    <w:p w14:paraId="48E38632">
      <w:pPr>
        <w:spacing w:line="580" w:lineRule="exact"/>
        <w:ind w:firstLine="640"/>
        <w:jc w:val="both"/>
      </w:pPr>
      <w:r>
        <w:rPr>
          <w:rFonts w:ascii="仿宋_GB2312" w:hAnsi="仿宋_GB2312" w:eastAsia="仿宋_GB2312"/>
          <w:b w:val="0"/>
          <w:sz w:val="32"/>
        </w:rPr>
        <w:t>2024年度政府采购支出总额40.90万元，其中：政府采购货物支出8.36万元、政府采购工程支出0.00万元、政府采购服务支出32.55万元。</w:t>
      </w:r>
    </w:p>
    <w:p w14:paraId="018434E1">
      <w:pPr>
        <w:spacing w:line="580" w:lineRule="exact"/>
        <w:ind w:firstLine="640"/>
        <w:jc w:val="both"/>
      </w:pPr>
      <w:r>
        <w:rPr>
          <w:rFonts w:ascii="仿宋_GB2312" w:hAnsi="仿宋_GB2312" w:eastAsia="仿宋_GB2312"/>
          <w:b w:val="0"/>
          <w:sz w:val="32"/>
        </w:rPr>
        <w:t>授予中小企业合同金额40.90万元，占政府采购支出总额的100.00%，其中：授予小微企业合同金额23.08万元，占政府采购支出总额的56.43%。</w:t>
      </w:r>
    </w:p>
    <w:p w14:paraId="40B21FF2">
      <w:pPr>
        <w:spacing w:line="640" w:lineRule="exact"/>
        <w:ind w:firstLine="640"/>
        <w:jc w:val="both"/>
        <w:outlineLvl w:val="3"/>
      </w:pPr>
      <w:r>
        <w:rPr>
          <w:rFonts w:ascii="楷体_GB2312" w:hAnsi="楷体_GB2312" w:eastAsia="楷体_GB2312"/>
          <w:b/>
          <w:sz w:val="32"/>
        </w:rPr>
        <w:t>（三）国有资产占用情况说明</w:t>
      </w:r>
    </w:p>
    <w:p w14:paraId="4736F01F">
      <w:pPr>
        <w:spacing w:line="580" w:lineRule="exact"/>
        <w:ind w:firstLine="640"/>
        <w:jc w:val="both"/>
      </w:pPr>
      <w:r>
        <w:rPr>
          <w:rFonts w:ascii="仿宋_GB2312" w:hAnsi="仿宋_GB2312" w:eastAsia="仿宋_GB2312"/>
          <w:b w:val="0"/>
          <w:sz w:val="32"/>
        </w:rPr>
        <w:t>截至2024年12月31日，房屋97.00平方米，价值2.89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1台（套）。</w:t>
      </w:r>
    </w:p>
    <w:p w14:paraId="6144A38F">
      <w:pPr>
        <w:spacing w:line="640" w:lineRule="exact"/>
        <w:ind w:firstLine="640"/>
        <w:jc w:val="both"/>
        <w:outlineLvl w:val="2"/>
      </w:pPr>
      <w:r>
        <w:rPr>
          <w:rFonts w:ascii="黑体" w:hAnsi="黑体" w:eastAsia="黑体"/>
          <w:sz w:val="32"/>
        </w:rPr>
        <w:t>十一、预算绩效的情况说明</w:t>
      </w:r>
    </w:p>
    <w:p w14:paraId="16A9B07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748.35万元，实际执行总额732.92万元；预算绩效评价项目1个，全年预算数250.00万元，全年执行数250.00万元。预算绩效管理取得的成效：一是土地资源调查项目能够严格按照《土地资源调查项目实施方案》执行，项目执行情况较好；二是地区自然资源规划勘测院能够组织重视土地资源调查项目的绩效评价工作，由院主要领导亲自挂帅，业务骨干具体负责，从项目到资金，均</w:t>
      </w:r>
      <w:bookmarkStart w:id="0" w:name="_GoBack"/>
      <w:r>
        <w:rPr>
          <w:rFonts w:hint="eastAsia" w:ascii="仿宋_GB2312" w:hAnsi="仿宋_GB2312" w:eastAsia="仿宋_GB2312"/>
          <w:b w:val="0"/>
          <w:sz w:val="32"/>
          <w:lang w:eastAsia="zh-CN"/>
        </w:rPr>
        <w:t>能</w:t>
      </w:r>
      <w:bookmarkEnd w:id="0"/>
      <w:r>
        <w:rPr>
          <w:rFonts w:ascii="仿宋_GB2312" w:hAnsi="仿宋_GB2312" w:eastAsia="仿宋_GB2312"/>
          <w:b w:val="0"/>
          <w:sz w:val="32"/>
        </w:rPr>
        <w:t>很</w:t>
      </w:r>
      <w:r>
        <w:rPr>
          <w:rFonts w:hint="eastAsia" w:ascii="仿宋_GB2312" w:hAnsi="仿宋_GB2312" w:eastAsia="仿宋_GB2312"/>
          <w:b w:val="0"/>
          <w:sz w:val="32"/>
          <w:lang w:eastAsia="zh-CN"/>
        </w:rPr>
        <w:t>好地</w:t>
      </w:r>
      <w:r>
        <w:rPr>
          <w:rFonts w:ascii="仿宋_GB2312" w:hAnsi="仿宋_GB2312" w:eastAsia="仿宋_GB2312"/>
          <w:b w:val="0"/>
          <w:sz w:val="32"/>
        </w:rPr>
        <w:t>执行。发现的问题及原因：一是年初分配项目预算时，不够细化，设置指标值设置前的摸底工作不到位，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下一步改进措施：一是加大绩效工作学习宣传力度，强化绩效理念。完善绩效指标，提高整体绩效目标质量；二是加强绩效管理、预算法等学习培训，建立监督机制，加强对本部门预算管理、绩效管理的监督力度；三是继续完善预算绩效管理相关工作职责，建立全过程预算绩效管理链条，有效贯彻落实全面实施绩效管理精神。具体附部门整体支出绩效自评表，项目支出绩效自评表和部门评价报告。</w:t>
      </w:r>
    </w:p>
    <w:p w14:paraId="7638E38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2C7E4A6">
        <w:tblPrEx>
          <w:tblCellMar>
            <w:top w:w="0" w:type="dxa"/>
            <w:left w:w="108" w:type="dxa"/>
            <w:bottom w:w="0" w:type="dxa"/>
            <w:right w:w="108" w:type="dxa"/>
          </w:tblCellMar>
        </w:tblPrEx>
        <w:tc>
          <w:tcPr>
            <w:tcW w:w="8847" w:type="dxa"/>
            <w:gridSpan w:val="9"/>
            <w:vAlign w:val="center"/>
          </w:tcPr>
          <w:p w14:paraId="5A1AF0DC">
            <w:pPr>
              <w:jc w:val="center"/>
            </w:pPr>
            <w:r>
              <w:rPr>
                <w:rFonts w:ascii="宋体" w:hAnsi="宋体" w:eastAsia="宋体"/>
                <w:sz w:val="24"/>
              </w:rPr>
              <w:t>部门整体支出绩效自评表</w:t>
            </w:r>
          </w:p>
        </w:tc>
      </w:tr>
      <w:tr w14:paraId="67B81625">
        <w:tblPrEx>
          <w:tblCellMar>
            <w:top w:w="0" w:type="dxa"/>
            <w:left w:w="108" w:type="dxa"/>
            <w:bottom w:w="0" w:type="dxa"/>
            <w:right w:w="108" w:type="dxa"/>
          </w:tblCellMar>
        </w:tblPrEx>
        <w:tc>
          <w:tcPr>
            <w:tcW w:w="8847" w:type="dxa"/>
            <w:gridSpan w:val="9"/>
            <w:vAlign w:val="center"/>
          </w:tcPr>
          <w:p w14:paraId="0506005A">
            <w:pPr>
              <w:jc w:val="center"/>
            </w:pPr>
            <w:r>
              <w:rPr>
                <w:rFonts w:ascii="宋体" w:hAnsi="宋体" w:eastAsia="宋体"/>
                <w:sz w:val="24"/>
              </w:rPr>
              <w:t>（2024年度）</w:t>
            </w:r>
          </w:p>
        </w:tc>
      </w:tr>
      <w:tr w14:paraId="233876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1FD2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B0A43C">
            <w:pPr>
              <w:jc w:val="center"/>
            </w:pPr>
            <w:r>
              <w:rPr>
                <w:rFonts w:ascii="宋体" w:hAnsi="宋体" w:eastAsia="宋体"/>
                <w:sz w:val="16"/>
              </w:rPr>
              <w:t>新疆维吾尔自治区喀什地区自然资源规划勘测院</w:t>
            </w:r>
          </w:p>
        </w:tc>
      </w:tr>
      <w:tr w14:paraId="7C1665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31B3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5DC6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FEE8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22E1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3E67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AF40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ED6B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EC12">
            <w:pPr>
              <w:jc w:val="center"/>
            </w:pPr>
            <w:r>
              <w:rPr>
                <w:rFonts w:ascii="宋体" w:hAnsi="宋体" w:eastAsia="宋体"/>
                <w:sz w:val="16"/>
              </w:rPr>
              <w:t>得分</w:t>
            </w:r>
          </w:p>
        </w:tc>
      </w:tr>
      <w:tr w14:paraId="61766E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F221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53D7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1884A">
            <w:pPr>
              <w:jc w:val="center"/>
            </w:pPr>
            <w:r>
              <w:rPr>
                <w:rFonts w:ascii="宋体" w:hAnsi="宋体" w:eastAsia="宋体"/>
                <w:sz w:val="16"/>
              </w:rPr>
              <w:t>797.66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03080">
            <w:pPr>
              <w:jc w:val="center"/>
            </w:pPr>
            <w:r>
              <w:rPr>
                <w:rFonts w:ascii="宋体" w:hAnsi="宋体" w:eastAsia="宋体"/>
                <w:sz w:val="16"/>
              </w:rPr>
              <w:t>748.35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09F5B">
            <w:pPr>
              <w:jc w:val="center"/>
            </w:pPr>
            <w:r>
              <w:rPr>
                <w:rFonts w:ascii="宋体" w:hAnsi="宋体" w:eastAsia="宋体"/>
                <w:sz w:val="16"/>
              </w:rPr>
              <w:t>732.92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F22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B62AF">
            <w:pPr>
              <w:jc w:val="center"/>
            </w:pPr>
            <w:r>
              <w:rPr>
                <w:rFonts w:ascii="宋体" w:hAnsi="宋体" w:eastAsia="宋体"/>
                <w:sz w:val="16"/>
              </w:rPr>
              <w:t>97.94%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7AC3">
            <w:pPr>
              <w:jc w:val="center"/>
            </w:pPr>
            <w:r>
              <w:rPr>
                <w:rFonts w:ascii="宋体" w:hAnsi="宋体" w:eastAsia="宋体"/>
                <w:sz w:val="16"/>
              </w:rPr>
              <w:t>9.79</w:t>
            </w:r>
          </w:p>
        </w:tc>
      </w:tr>
      <w:tr w14:paraId="48F865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FB6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D15F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DFC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CA37E">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7CA45">
            <w:pPr>
              <w:jc w:val="center"/>
            </w:pPr>
            <w:r>
              <w:rPr>
                <w:rFonts w:ascii="宋体" w:hAnsi="宋体" w:eastAsia="宋体"/>
                <w:sz w:val="16"/>
              </w:rPr>
              <w:t>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344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F083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6CA7B">
            <w:pPr>
              <w:jc w:val="center"/>
            </w:pPr>
            <w:r>
              <w:rPr>
                <w:rFonts w:ascii="宋体" w:hAnsi="宋体" w:eastAsia="宋体"/>
                <w:sz w:val="16"/>
              </w:rPr>
              <w:t>—</w:t>
            </w:r>
          </w:p>
        </w:tc>
      </w:tr>
      <w:tr w14:paraId="713AF9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918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56B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1D0B5">
            <w:pPr>
              <w:jc w:val="center"/>
            </w:pPr>
            <w:r>
              <w:rPr>
                <w:rFonts w:ascii="宋体" w:hAnsi="宋体" w:eastAsia="宋体"/>
                <w:sz w:val="16"/>
              </w:rPr>
              <w:t>513.70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7496E">
            <w:pPr>
              <w:jc w:val="center"/>
            </w:pPr>
            <w:r>
              <w:rPr>
                <w:rFonts w:ascii="宋体" w:hAnsi="宋体" w:eastAsia="宋体"/>
                <w:sz w:val="16"/>
              </w:rPr>
              <w:t>457.46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2E4A7">
            <w:pPr>
              <w:jc w:val="center"/>
            </w:pPr>
            <w:r>
              <w:rPr>
                <w:rFonts w:ascii="宋体" w:hAnsi="宋体" w:eastAsia="宋体"/>
                <w:sz w:val="16"/>
              </w:rPr>
              <w:t>457.46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CDD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65E6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FFED7">
            <w:pPr>
              <w:jc w:val="center"/>
            </w:pPr>
            <w:r>
              <w:rPr>
                <w:rFonts w:ascii="宋体" w:hAnsi="宋体" w:eastAsia="宋体"/>
                <w:sz w:val="16"/>
              </w:rPr>
              <w:t>—</w:t>
            </w:r>
          </w:p>
        </w:tc>
      </w:tr>
      <w:tr w14:paraId="7ADDB2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A51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2DE7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0C8EB">
            <w:pPr>
              <w:jc w:val="center"/>
            </w:pPr>
            <w:r>
              <w:rPr>
                <w:rFonts w:ascii="宋体" w:hAnsi="宋体" w:eastAsia="宋体"/>
                <w:sz w:val="16"/>
              </w:rPr>
              <w:t>283.96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44CF9">
            <w:pPr>
              <w:jc w:val="center"/>
            </w:pPr>
            <w:r>
              <w:rPr>
                <w:rFonts w:ascii="宋体" w:hAnsi="宋体" w:eastAsia="宋体"/>
                <w:sz w:val="16"/>
              </w:rPr>
              <w:t>283.96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0AE77">
            <w:pPr>
              <w:jc w:val="center"/>
            </w:pPr>
            <w:r>
              <w:rPr>
                <w:rFonts w:ascii="宋体" w:hAnsi="宋体" w:eastAsia="宋体"/>
                <w:sz w:val="16"/>
              </w:rPr>
              <w:t>268.53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01A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0041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6729">
            <w:pPr>
              <w:jc w:val="center"/>
            </w:pPr>
            <w:r>
              <w:rPr>
                <w:rFonts w:ascii="宋体" w:hAnsi="宋体" w:eastAsia="宋体"/>
                <w:sz w:val="16"/>
              </w:rPr>
              <w:t>—</w:t>
            </w:r>
          </w:p>
        </w:tc>
      </w:tr>
      <w:tr w14:paraId="489DEE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F50A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97A0C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7C7043">
            <w:pPr>
              <w:jc w:val="center"/>
            </w:pPr>
            <w:r>
              <w:rPr>
                <w:rFonts w:ascii="宋体" w:hAnsi="宋体" w:eastAsia="宋体"/>
                <w:sz w:val="16"/>
              </w:rPr>
              <w:t>实际完成情况</w:t>
            </w:r>
          </w:p>
        </w:tc>
      </w:tr>
      <w:tr w14:paraId="30DE23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C5992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E0706A">
            <w:pPr>
              <w:jc w:val="both"/>
            </w:pPr>
            <w:r>
              <w:rPr>
                <w:rFonts w:ascii="宋体" w:hAnsi="宋体" w:eastAsia="宋体"/>
                <w:sz w:val="16"/>
              </w:rPr>
              <w:t>一是保障人员工资、社保、公积金等足额发放缴纳；保障对个人和家庭的生活补助。二是保障基本公用经费支出,保障单位正常运转。三是保障我院建设</w:t>
            </w:r>
            <w:r>
              <w:rPr>
                <w:rFonts w:hint="eastAsia" w:ascii="宋体" w:hAnsi="宋体"/>
                <w:sz w:val="16"/>
                <w:lang w:eastAsia="zh-CN"/>
              </w:rPr>
              <w:t>塔什库尔干塔吉克自治县</w:t>
            </w:r>
            <w:r>
              <w:rPr>
                <w:rFonts w:ascii="宋体" w:hAnsi="宋体" w:eastAsia="宋体"/>
                <w:sz w:val="16"/>
              </w:rPr>
              <w:t>2023年度耕地资源质量分类年度更新数据库1个、</w:t>
            </w:r>
            <w:r>
              <w:rPr>
                <w:rFonts w:hint="eastAsia" w:ascii="宋体" w:hAnsi="宋体"/>
                <w:sz w:val="16"/>
                <w:lang w:eastAsia="zh-CN"/>
              </w:rPr>
              <w:t>塔什库尔干塔吉克自治县</w:t>
            </w:r>
            <w:r>
              <w:rPr>
                <w:rFonts w:ascii="宋体" w:hAnsi="宋体" w:eastAsia="宋体"/>
                <w:sz w:val="16"/>
              </w:rPr>
              <w:t>2023年度耕地资源质量分类年度更新监测样点进行外业采样50个、2024年度地区建设项目用地分析50次、编制自然资源业务专业参考图件数100幅、2024年度地区建设项目用地分析800宗等业务工作的顺利开展。提升土地参与宏观调控能力，掌握地区土地地类流向的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7494BB">
            <w:pPr>
              <w:jc w:val="both"/>
            </w:pPr>
            <w:r>
              <w:rPr>
                <w:rFonts w:ascii="宋体" w:hAnsi="宋体" w:eastAsia="宋体"/>
                <w:sz w:val="16"/>
              </w:rPr>
              <w:t>一是保障人员工资、社保、公积金等足额发放缴纳；保障对个人和家庭的生活补助。二是保障基本公用经费支出,保障单位正常运转。三是保障我院建设</w:t>
            </w:r>
            <w:r>
              <w:rPr>
                <w:rFonts w:hint="eastAsia" w:ascii="宋体" w:hAnsi="宋体"/>
                <w:sz w:val="16"/>
                <w:lang w:eastAsia="zh-CN"/>
              </w:rPr>
              <w:t>塔什库尔干塔吉克自治县</w:t>
            </w:r>
            <w:r>
              <w:rPr>
                <w:rFonts w:ascii="宋体" w:hAnsi="宋体" w:eastAsia="宋体"/>
                <w:sz w:val="16"/>
              </w:rPr>
              <w:t>2023年度耕地资源质量分类年度更新数据库1个、</w:t>
            </w:r>
            <w:r>
              <w:rPr>
                <w:rFonts w:hint="eastAsia" w:ascii="宋体" w:hAnsi="宋体"/>
                <w:sz w:val="16"/>
                <w:lang w:eastAsia="zh-CN"/>
              </w:rPr>
              <w:t>塔什库尔干塔吉克自治县</w:t>
            </w:r>
            <w:r>
              <w:rPr>
                <w:rFonts w:ascii="宋体" w:hAnsi="宋体" w:eastAsia="宋体"/>
                <w:sz w:val="16"/>
              </w:rPr>
              <w:t>2023年度耕地资源质量分类年度更新监测样点进行外业采样50个、2024年度地区建设项目用地分析50次、编制自然资源业务专业参考图件数100幅、2024年度地区建设项目用地分析851宗等业务工作的顺利开展。提升土地参与宏观调控能力，掌握地区土地地类流向的变化。</w:t>
            </w:r>
          </w:p>
        </w:tc>
      </w:tr>
      <w:tr w14:paraId="047BFA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A724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4D2E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39E2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22C8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0737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390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4ABB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F64F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B60C0">
            <w:pPr>
              <w:jc w:val="center"/>
            </w:pPr>
            <w:r>
              <w:rPr>
                <w:rFonts w:ascii="宋体" w:hAnsi="宋体" w:eastAsia="宋体"/>
                <w:sz w:val="16"/>
              </w:rPr>
              <w:t>得分</w:t>
            </w:r>
          </w:p>
        </w:tc>
      </w:tr>
      <w:tr w14:paraId="159587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6B47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3890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97284">
            <w:pPr>
              <w:jc w:val="center"/>
            </w:pPr>
            <w:r>
              <w:rPr>
                <w:rFonts w:hint="eastAsia" w:ascii="宋体" w:hAnsi="宋体"/>
                <w:sz w:val="16"/>
                <w:lang w:eastAsia="zh-CN"/>
              </w:rPr>
              <w:t>塔什库尔干塔吉克自治县</w:t>
            </w:r>
            <w:r>
              <w:rPr>
                <w:rFonts w:ascii="宋体" w:hAnsi="宋体" w:eastAsia="宋体"/>
                <w:sz w:val="16"/>
              </w:rPr>
              <w:t>2023年度耕地资源质量分类年度更新数据库建设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CFE5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BC2CB">
            <w:pPr>
              <w:jc w:val="center"/>
            </w:pPr>
            <w:r>
              <w:rPr>
                <w:rFonts w:ascii="宋体" w:hAnsi="宋体" w:eastAsia="宋体"/>
                <w:sz w:val="16"/>
              </w:rPr>
              <w:t>塔县自然资源局关于2023年度耕地资源质量分类年度更新工作的委托函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9C39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F231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9F7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210C6">
            <w:pPr>
              <w:jc w:val="center"/>
            </w:pPr>
            <w:r>
              <w:rPr>
                <w:rFonts w:ascii="宋体" w:hAnsi="宋体" w:eastAsia="宋体"/>
                <w:sz w:val="16"/>
              </w:rPr>
              <w:t>20</w:t>
            </w:r>
          </w:p>
        </w:tc>
      </w:tr>
      <w:tr w14:paraId="164852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4EC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B8F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9F1AB">
            <w:pPr>
              <w:jc w:val="center"/>
            </w:pPr>
            <w:r>
              <w:rPr>
                <w:rFonts w:ascii="宋体" w:hAnsi="宋体" w:eastAsia="宋体"/>
                <w:sz w:val="16"/>
              </w:rPr>
              <w:t>编制自然资源业务专业参考图件数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ACB9C">
            <w:pPr>
              <w:jc w:val="center"/>
            </w:pPr>
            <w:r>
              <w:rPr>
                <w:rFonts w:ascii="宋体" w:hAnsi="宋体" w:eastAsia="宋体"/>
                <w:sz w:val="16"/>
              </w:rPr>
              <w:t>&gt;=100幅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2EBFE">
            <w:pPr>
              <w:jc w:val="center"/>
            </w:pPr>
            <w:r>
              <w:rPr>
                <w:rFonts w:ascii="宋体" w:hAnsi="宋体" w:eastAsia="宋体"/>
                <w:sz w:val="16"/>
              </w:rPr>
              <w:t>规划勘测院2024年重点工作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4664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62727">
            <w:pPr>
              <w:jc w:val="center"/>
            </w:pPr>
            <w:r>
              <w:rPr>
                <w:rFonts w:ascii="宋体" w:hAnsi="宋体" w:eastAsia="宋体"/>
                <w:sz w:val="16"/>
              </w:rPr>
              <w:t>100幅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8A8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382E0">
            <w:pPr>
              <w:jc w:val="center"/>
            </w:pPr>
            <w:r>
              <w:rPr>
                <w:rFonts w:ascii="宋体" w:hAnsi="宋体" w:eastAsia="宋体"/>
                <w:sz w:val="16"/>
              </w:rPr>
              <w:t>20</w:t>
            </w:r>
          </w:p>
        </w:tc>
      </w:tr>
      <w:tr w14:paraId="697E8C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ADD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974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377F8">
            <w:pPr>
              <w:jc w:val="center"/>
            </w:pPr>
            <w:r>
              <w:rPr>
                <w:rFonts w:ascii="宋体" w:hAnsi="宋体" w:eastAsia="宋体"/>
                <w:sz w:val="16"/>
              </w:rPr>
              <w:t>自然资源专题数据统计汇总分析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37822">
            <w:pPr>
              <w:jc w:val="center"/>
            </w:pPr>
            <w:r>
              <w:rPr>
                <w:rFonts w:ascii="宋体" w:hAnsi="宋体" w:eastAsia="宋体"/>
                <w:sz w:val="16"/>
              </w:rPr>
              <w:t>&gt;=50次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F6A94">
            <w:pPr>
              <w:jc w:val="center"/>
            </w:pPr>
            <w:r>
              <w:rPr>
                <w:rFonts w:ascii="宋体" w:hAnsi="宋体" w:eastAsia="宋体"/>
                <w:sz w:val="16"/>
              </w:rPr>
              <w:t>规划勘测院2024年重点工作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C60F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8DB95">
            <w:pPr>
              <w:jc w:val="center"/>
            </w:pPr>
            <w:r>
              <w:rPr>
                <w:rFonts w:ascii="宋体" w:hAnsi="宋体" w:eastAsia="宋体"/>
                <w:sz w:val="16"/>
              </w:rPr>
              <w:t>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20E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407CB">
            <w:pPr>
              <w:jc w:val="center"/>
            </w:pPr>
            <w:r>
              <w:rPr>
                <w:rFonts w:ascii="宋体" w:hAnsi="宋体" w:eastAsia="宋体"/>
                <w:sz w:val="16"/>
              </w:rPr>
              <w:t>20</w:t>
            </w:r>
          </w:p>
        </w:tc>
      </w:tr>
      <w:tr w14:paraId="49FD8F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128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5CD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28CD4">
            <w:pPr>
              <w:jc w:val="center"/>
            </w:pPr>
            <w:r>
              <w:rPr>
                <w:rFonts w:ascii="宋体" w:hAnsi="宋体" w:eastAsia="宋体"/>
                <w:sz w:val="16"/>
              </w:rPr>
              <w:t>2024年度地区建设项目用地分析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A9956">
            <w:pPr>
              <w:jc w:val="center"/>
            </w:pPr>
            <w:r>
              <w:rPr>
                <w:rFonts w:ascii="宋体" w:hAnsi="宋体" w:eastAsia="宋体"/>
                <w:sz w:val="16"/>
              </w:rPr>
              <w:t>&gt;=800宗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69498">
            <w:pPr>
              <w:jc w:val="center"/>
            </w:pPr>
            <w:r>
              <w:rPr>
                <w:rFonts w:ascii="宋体" w:hAnsi="宋体" w:eastAsia="宋体"/>
                <w:sz w:val="16"/>
              </w:rPr>
              <w:t>规划勘测院2024年重点工作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C9B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38074">
            <w:pPr>
              <w:jc w:val="center"/>
            </w:pPr>
            <w:r>
              <w:rPr>
                <w:rFonts w:ascii="宋体" w:hAnsi="宋体" w:eastAsia="宋体"/>
                <w:sz w:val="16"/>
              </w:rPr>
              <w:t>851宗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B615D">
            <w:pPr>
              <w:jc w:val="center"/>
            </w:pPr>
            <w:r>
              <w:rPr>
                <w:rFonts w:ascii="宋体" w:hAnsi="宋体" w:eastAsia="宋体"/>
                <w:sz w:val="16"/>
              </w:rPr>
              <w:t>106.3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B857E">
            <w:pPr>
              <w:jc w:val="center"/>
            </w:pPr>
            <w:r>
              <w:rPr>
                <w:rFonts w:ascii="宋体" w:hAnsi="宋体" w:eastAsia="宋体"/>
                <w:sz w:val="16"/>
              </w:rPr>
              <w:t>18</w:t>
            </w:r>
          </w:p>
        </w:tc>
      </w:tr>
      <w:tr w14:paraId="7314FC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01E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A62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D838E">
            <w:pPr>
              <w:jc w:val="center"/>
            </w:pPr>
            <w:r>
              <w:rPr>
                <w:rFonts w:hint="eastAsia" w:ascii="宋体" w:hAnsi="宋体"/>
                <w:sz w:val="16"/>
                <w:lang w:eastAsia="zh-CN"/>
              </w:rPr>
              <w:t>塔什库尔干塔吉克自治县</w:t>
            </w:r>
            <w:r>
              <w:rPr>
                <w:rFonts w:ascii="宋体" w:hAnsi="宋体" w:eastAsia="宋体"/>
                <w:sz w:val="16"/>
              </w:rPr>
              <w:t>2023年度耕地资源质量分类年度更新监测样点进行外业采样工作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057B9">
            <w:pPr>
              <w:jc w:val="center"/>
            </w:pPr>
            <w:r>
              <w:rPr>
                <w:rFonts w:ascii="宋体" w:hAnsi="宋体" w:eastAsia="宋体"/>
                <w:sz w:val="16"/>
              </w:rPr>
              <w:t>&gt;=50个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C58E1">
            <w:pPr>
              <w:jc w:val="center"/>
            </w:pPr>
            <w:r>
              <w:rPr>
                <w:rFonts w:ascii="宋体" w:hAnsi="宋体" w:eastAsia="宋体"/>
                <w:sz w:val="16"/>
              </w:rPr>
              <w:t>塔县自然资源局关于2023年度耕地资源质量分类年度更新工作的委托函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729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7F62A">
            <w:pPr>
              <w:jc w:val="center"/>
            </w:pPr>
            <w:r>
              <w:rPr>
                <w:rFonts w:ascii="宋体" w:hAnsi="宋体" w:eastAsia="宋体"/>
                <w:sz w:val="16"/>
              </w:rPr>
              <w:t>50个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4F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CE989">
            <w:pPr>
              <w:jc w:val="center"/>
            </w:pPr>
            <w:r>
              <w:rPr>
                <w:rFonts w:ascii="宋体" w:hAnsi="宋体" w:eastAsia="宋体"/>
                <w:sz w:val="16"/>
              </w:rPr>
              <w:t>10</w:t>
            </w:r>
          </w:p>
        </w:tc>
      </w:tr>
    </w:tbl>
    <w:p w14:paraId="332EBB2A">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31"/>
        <w:gridCol w:w="620"/>
        <w:gridCol w:w="614"/>
        <w:gridCol w:w="614"/>
        <w:gridCol w:w="776"/>
        <w:gridCol w:w="632"/>
        <w:gridCol w:w="593"/>
        <w:gridCol w:w="632"/>
      </w:tblGrid>
      <w:tr w14:paraId="337BED79">
        <w:tc>
          <w:tcPr>
            <w:tcW w:w="8848" w:type="dxa"/>
            <w:gridSpan w:val="14"/>
            <w:vAlign w:val="center"/>
          </w:tcPr>
          <w:p w14:paraId="6AE76AEC">
            <w:pPr>
              <w:jc w:val="center"/>
            </w:pPr>
            <w:r>
              <w:rPr>
                <w:rFonts w:ascii="宋体" w:hAnsi="宋体" w:eastAsia="宋体"/>
                <w:sz w:val="24"/>
              </w:rPr>
              <w:t>项目支出绩效自评表</w:t>
            </w:r>
          </w:p>
        </w:tc>
      </w:tr>
      <w:tr w14:paraId="6C392426">
        <w:tblPrEx>
          <w:tblCellMar>
            <w:top w:w="0" w:type="dxa"/>
            <w:left w:w="108" w:type="dxa"/>
            <w:bottom w:w="0" w:type="dxa"/>
            <w:right w:w="108" w:type="dxa"/>
          </w:tblCellMar>
        </w:tblPrEx>
        <w:tc>
          <w:tcPr>
            <w:tcW w:w="8848" w:type="dxa"/>
            <w:gridSpan w:val="14"/>
            <w:vAlign w:val="center"/>
          </w:tcPr>
          <w:p w14:paraId="47F3B7F9">
            <w:pPr>
              <w:jc w:val="center"/>
            </w:pPr>
            <w:r>
              <w:rPr>
                <w:rFonts w:ascii="宋体" w:hAnsi="宋体" w:eastAsia="宋体"/>
                <w:sz w:val="24"/>
              </w:rPr>
              <w:t>(2024年度)</w:t>
            </w:r>
          </w:p>
        </w:tc>
      </w:tr>
      <w:tr w14:paraId="032AA7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18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F4DFFB">
            <w:pPr>
              <w:jc w:val="center"/>
            </w:pPr>
            <w:r>
              <w:rPr>
                <w:rFonts w:ascii="宋体" w:hAnsi="宋体" w:eastAsia="宋体"/>
                <w:sz w:val="16"/>
              </w:rPr>
              <w:t>土地资源调查项目</w:t>
            </w:r>
          </w:p>
        </w:tc>
      </w:tr>
      <w:tr w14:paraId="76426E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D0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D8F0B">
            <w:pPr>
              <w:jc w:val="center"/>
            </w:pPr>
            <w:r>
              <w:rPr>
                <w:rFonts w:ascii="宋体" w:hAnsi="宋体" w:eastAsia="宋体"/>
                <w:sz w:val="16"/>
              </w:rPr>
              <w:t>新疆维吾尔自治区喀什地区自然资源局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0F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206D58">
            <w:pPr>
              <w:jc w:val="center"/>
            </w:pPr>
            <w:r>
              <w:rPr>
                <w:rFonts w:ascii="宋体" w:hAnsi="宋体" w:eastAsia="宋体"/>
                <w:sz w:val="16"/>
              </w:rPr>
              <w:t>新疆维吾尔自治区喀什地区自然资源规划勘测院</w:t>
            </w:r>
          </w:p>
        </w:tc>
      </w:tr>
      <w:tr w14:paraId="5489C1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700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B24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967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FA7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506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7FD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4E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88B8">
            <w:pPr>
              <w:jc w:val="center"/>
            </w:pPr>
            <w:r>
              <w:rPr>
                <w:rFonts w:ascii="宋体" w:hAnsi="宋体" w:eastAsia="宋体"/>
                <w:sz w:val="16"/>
              </w:rPr>
              <w:t>得分</w:t>
            </w:r>
          </w:p>
        </w:tc>
      </w:tr>
      <w:tr w14:paraId="6948E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25D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4BE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6EC17">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9B517">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13D32">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0CA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022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454E">
            <w:pPr>
              <w:jc w:val="center"/>
            </w:pPr>
            <w:r>
              <w:rPr>
                <w:rFonts w:ascii="宋体" w:hAnsi="宋体" w:eastAsia="宋体"/>
                <w:sz w:val="16"/>
              </w:rPr>
              <w:t>10.00分</w:t>
            </w:r>
          </w:p>
        </w:tc>
      </w:tr>
      <w:tr w14:paraId="51BD9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F95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1C4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EC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34A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46E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99D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D1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BCFE">
            <w:pPr>
              <w:jc w:val="center"/>
            </w:pPr>
            <w:r>
              <w:rPr>
                <w:rFonts w:ascii="宋体" w:hAnsi="宋体" w:eastAsia="宋体"/>
                <w:sz w:val="16"/>
              </w:rPr>
              <w:t>—</w:t>
            </w:r>
          </w:p>
        </w:tc>
      </w:tr>
      <w:tr w14:paraId="0E1D0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B21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719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624E9">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47AC2">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4F4BD">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965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9A4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6A04">
            <w:pPr>
              <w:jc w:val="center"/>
            </w:pPr>
            <w:r>
              <w:rPr>
                <w:rFonts w:ascii="宋体" w:hAnsi="宋体" w:eastAsia="宋体"/>
                <w:sz w:val="16"/>
              </w:rPr>
              <w:t>—</w:t>
            </w:r>
          </w:p>
        </w:tc>
      </w:tr>
      <w:tr w14:paraId="4D5638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66B0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759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88BF98">
            <w:pPr>
              <w:jc w:val="center"/>
            </w:pPr>
            <w:r>
              <w:rPr>
                <w:rFonts w:ascii="宋体" w:hAnsi="宋体" w:eastAsia="宋体"/>
                <w:sz w:val="16"/>
              </w:rPr>
              <w:t>实际完成情况</w:t>
            </w:r>
          </w:p>
        </w:tc>
      </w:tr>
      <w:tr w14:paraId="78058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F21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574B4D">
            <w:pPr>
              <w:jc w:val="both"/>
            </w:pPr>
            <w:r>
              <w:rPr>
                <w:rFonts w:ascii="宋体" w:hAnsi="宋体" w:eastAsia="宋体"/>
                <w:sz w:val="16"/>
              </w:rPr>
              <w:t>土地资源调查项目资金250万元，主要用于支出办公费、差旅费、印刷费、其他交通费、劳务费、邮电费、委托业务费、其他商品服务支出等费用，用于保障我院建设</w:t>
            </w:r>
            <w:r>
              <w:rPr>
                <w:rFonts w:hint="eastAsia" w:ascii="宋体" w:hAnsi="宋体"/>
                <w:sz w:val="16"/>
                <w:lang w:eastAsia="zh-CN"/>
              </w:rPr>
              <w:t>塔什库尔干塔吉克自治县</w:t>
            </w:r>
            <w:r>
              <w:rPr>
                <w:rFonts w:ascii="宋体" w:hAnsi="宋体" w:eastAsia="宋体"/>
                <w:sz w:val="16"/>
              </w:rPr>
              <w:t>2023年度耕地资源质量分类年度更新数据库、</w:t>
            </w:r>
            <w:r>
              <w:rPr>
                <w:rFonts w:hint="eastAsia" w:ascii="宋体" w:hAnsi="宋体"/>
                <w:sz w:val="16"/>
                <w:lang w:eastAsia="zh-CN"/>
              </w:rPr>
              <w:t>塔什库尔干塔吉克自治县</w:t>
            </w:r>
            <w:r>
              <w:rPr>
                <w:rFonts w:ascii="宋体" w:hAnsi="宋体" w:eastAsia="宋体"/>
                <w:sz w:val="16"/>
              </w:rPr>
              <w:t>2023年度耕地资源质量分类年度更新监测样点进行外业采样工作、重大建设项目土地勘测定界、2024年度地区建设项目用地分析等业务工作的顺利开展。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1EE08E">
            <w:pPr>
              <w:jc w:val="both"/>
            </w:pPr>
            <w:r>
              <w:rPr>
                <w:rFonts w:ascii="宋体" w:hAnsi="宋体" w:eastAsia="宋体"/>
                <w:sz w:val="16"/>
              </w:rPr>
              <w:t>土地资源调查项目资金执行250万元，保障了我院完成各县市建设项目占用耕地实地踏勘、提供喀什地区2021年度全域地类图斑、完成地区2023年、2024年度变更工作、编制恰萨街道片区分布示意图、编制自然资源业务工作所需示意图、分布图等专业参考图件100幅、建设</w:t>
            </w:r>
            <w:r>
              <w:rPr>
                <w:rFonts w:hint="eastAsia" w:ascii="宋体" w:hAnsi="宋体"/>
                <w:sz w:val="16"/>
                <w:lang w:eastAsia="zh-CN"/>
              </w:rPr>
              <w:t>塔什库尔干塔吉克自治县</w:t>
            </w:r>
            <w:r>
              <w:rPr>
                <w:rFonts w:ascii="宋体" w:hAnsi="宋体" w:eastAsia="宋体"/>
                <w:sz w:val="16"/>
              </w:rPr>
              <w:t>2023年度耕地资源质量分类年度更新数据库1个、</w:t>
            </w:r>
            <w:r>
              <w:rPr>
                <w:rFonts w:hint="eastAsia" w:ascii="宋体" w:hAnsi="宋体"/>
                <w:sz w:val="16"/>
                <w:lang w:eastAsia="zh-CN"/>
              </w:rPr>
              <w:t>塔什库尔干塔吉克自治县</w:t>
            </w:r>
            <w:r>
              <w:rPr>
                <w:rFonts w:ascii="宋体" w:hAnsi="宋体" w:eastAsia="宋体"/>
                <w:sz w:val="16"/>
              </w:rPr>
              <w:t>2023年度耕地资源质量分类年度更新监测样点进行外业采样工作50个、重大建设项目土地勘测定界851宗、2024年度地区建设项目用地分析150宗地等业务工作。</w:t>
            </w:r>
          </w:p>
        </w:tc>
      </w:tr>
      <w:tr w14:paraId="5A3029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C12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F1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AC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7A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88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86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D1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7AC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19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D0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361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B0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765A1">
            <w:pPr>
              <w:jc w:val="center"/>
            </w:pPr>
            <w:r>
              <w:rPr>
                <w:rFonts w:ascii="宋体" w:hAnsi="宋体" w:eastAsia="宋体"/>
                <w:sz w:val="16"/>
              </w:rPr>
              <w:t>偏差原因分析及改进措施</w:t>
            </w:r>
          </w:p>
        </w:tc>
      </w:tr>
      <w:tr w14:paraId="5DF6F0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2E9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A0B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9A3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1272">
            <w:pPr>
              <w:jc w:val="center"/>
            </w:pPr>
            <w:r>
              <w:rPr>
                <w:rFonts w:hint="eastAsia" w:ascii="宋体" w:hAnsi="宋体"/>
                <w:sz w:val="16"/>
                <w:lang w:eastAsia="zh-CN"/>
              </w:rPr>
              <w:t>塔什库尔干塔吉克自治县</w:t>
            </w:r>
            <w:r>
              <w:rPr>
                <w:rFonts w:ascii="宋体" w:hAnsi="宋体" w:eastAsia="宋体"/>
                <w:sz w:val="16"/>
              </w:rPr>
              <w:t>2023年度耕地资源质量分类年度更新数据库建设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0D7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2B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3D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16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6D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A7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CD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32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F63E8">
            <w:pPr>
              <w:jc w:val="center"/>
            </w:pPr>
          </w:p>
        </w:tc>
      </w:tr>
      <w:tr w14:paraId="66CB37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88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85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2C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69C43">
            <w:pPr>
              <w:jc w:val="center"/>
            </w:pPr>
            <w:r>
              <w:rPr>
                <w:rFonts w:hint="eastAsia" w:ascii="宋体" w:hAnsi="宋体"/>
                <w:sz w:val="16"/>
                <w:lang w:eastAsia="zh-CN"/>
              </w:rPr>
              <w:t>塔什库尔干塔吉克自治县</w:t>
            </w:r>
            <w:r>
              <w:rPr>
                <w:rFonts w:ascii="宋体" w:hAnsi="宋体" w:eastAsia="宋体"/>
                <w:sz w:val="16"/>
              </w:rPr>
              <w:t>2023年度耕地资源质量分类年度更新监测样点进行外业采样工作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D618">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2A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865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5E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E0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60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E2FA">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51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438F2">
            <w:pPr>
              <w:jc w:val="center"/>
            </w:pPr>
          </w:p>
        </w:tc>
      </w:tr>
      <w:tr w14:paraId="31E6A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2A1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67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E3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D4FE">
            <w:pPr>
              <w:jc w:val="center"/>
            </w:pPr>
            <w:r>
              <w:rPr>
                <w:rFonts w:ascii="宋体" w:hAnsi="宋体" w:eastAsia="宋体"/>
                <w:sz w:val="16"/>
              </w:rPr>
              <w:t>重大建设项目土地勘测定界宗地数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FBD7">
            <w:pPr>
              <w:jc w:val="center"/>
            </w:pPr>
            <w:r>
              <w:rPr>
                <w:rFonts w:ascii="宋体" w:hAnsi="宋体" w:eastAsia="宋体"/>
                <w:sz w:val="16"/>
              </w:rPr>
              <w:t>&gt;=150宗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5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7D9B">
            <w:pPr>
              <w:jc w:val="center"/>
            </w:pPr>
            <w:r>
              <w:rPr>
                <w:rFonts w:ascii="宋体" w:hAnsi="宋体" w:eastAsia="宋体"/>
                <w:sz w:val="16"/>
              </w:rPr>
              <w:t>300宗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93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D9E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B4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23C0">
            <w:pPr>
              <w:jc w:val="center"/>
            </w:pPr>
            <w:r>
              <w:rPr>
                <w:rFonts w:ascii="宋体" w:hAnsi="宋体" w:eastAsia="宋体"/>
                <w:sz w:val="16"/>
              </w:rPr>
              <w:t>=152宗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C8E4">
            <w:pPr>
              <w:jc w:val="center"/>
            </w:pPr>
            <w:r>
              <w:rPr>
                <w:rFonts w:ascii="宋体" w:hAnsi="宋体" w:eastAsia="宋体"/>
                <w:sz w:val="16"/>
              </w:rPr>
              <w:t>4.93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11E01">
            <w:pPr>
              <w:jc w:val="center"/>
            </w:pPr>
            <w:r>
              <w:rPr>
                <w:rFonts w:ascii="宋体" w:hAnsi="宋体" w:eastAsia="宋体"/>
                <w:sz w:val="16"/>
              </w:rPr>
              <w:t>偏差原因：“2024年度地区建设项目用地分析”指标年初设置不够准确。改进措施：提高绩效意识，加强提升绩效工作能力。重大建设项目土地勘测定界宗地数</w:t>
            </w:r>
          </w:p>
        </w:tc>
      </w:tr>
      <w:tr w14:paraId="31B4F7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77B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77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0E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FB71">
            <w:pPr>
              <w:jc w:val="center"/>
            </w:pPr>
            <w:r>
              <w:rPr>
                <w:rFonts w:ascii="宋体" w:hAnsi="宋体" w:eastAsia="宋体"/>
                <w:sz w:val="16"/>
              </w:rPr>
              <w:t>编制自然资源业务专业参考图件数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E838">
            <w:pPr>
              <w:jc w:val="center"/>
            </w:pPr>
            <w:r>
              <w:rPr>
                <w:rFonts w:ascii="宋体" w:hAnsi="宋体" w:eastAsia="宋体"/>
                <w:sz w:val="16"/>
              </w:rPr>
              <w:t>&gt;=100幅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79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6E8A">
            <w:pPr>
              <w:jc w:val="center"/>
            </w:pPr>
            <w:r>
              <w:rPr>
                <w:rFonts w:ascii="宋体" w:hAnsi="宋体" w:eastAsia="宋体"/>
                <w:sz w:val="16"/>
              </w:rPr>
              <w:t>50幅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C0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E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5E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417D">
            <w:pPr>
              <w:jc w:val="center"/>
            </w:pPr>
            <w:r>
              <w:rPr>
                <w:rFonts w:ascii="宋体" w:hAnsi="宋体" w:eastAsia="宋体"/>
                <w:sz w:val="16"/>
              </w:rPr>
              <w:t>=100幅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B8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2BC4">
            <w:pPr>
              <w:jc w:val="center"/>
            </w:pPr>
          </w:p>
        </w:tc>
      </w:tr>
      <w:tr w14:paraId="06023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C0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0C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8D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EE51">
            <w:pPr>
              <w:jc w:val="center"/>
            </w:pPr>
            <w:r>
              <w:rPr>
                <w:rFonts w:ascii="宋体" w:hAnsi="宋体" w:eastAsia="宋体"/>
                <w:sz w:val="16"/>
              </w:rPr>
              <w:t>自然资源专题数据统计汇总分析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AFAC">
            <w:pPr>
              <w:jc w:val="center"/>
            </w:pPr>
            <w:r>
              <w:rPr>
                <w:rFonts w:ascii="宋体" w:hAnsi="宋体" w:eastAsia="宋体"/>
                <w:sz w:val="16"/>
              </w:rPr>
              <w:t>&gt;=50次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7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B226">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D7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3E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D8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22D9">
            <w:pPr>
              <w:jc w:val="center"/>
            </w:pPr>
            <w:r>
              <w:rPr>
                <w:rFonts w:ascii="宋体" w:hAnsi="宋体" w:eastAsia="宋体"/>
                <w:sz w:val="16"/>
              </w:rPr>
              <w:t>=50次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156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853BF">
            <w:pPr>
              <w:jc w:val="center"/>
            </w:pPr>
          </w:p>
        </w:tc>
      </w:tr>
      <w:tr w14:paraId="21B96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08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33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7C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5D2D">
            <w:pPr>
              <w:jc w:val="center"/>
            </w:pPr>
            <w:r>
              <w:rPr>
                <w:rFonts w:ascii="宋体" w:hAnsi="宋体" w:eastAsia="宋体"/>
                <w:sz w:val="16"/>
              </w:rPr>
              <w:t>2024年度地区建设项目用地分析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1BB6">
            <w:pPr>
              <w:jc w:val="center"/>
            </w:pPr>
            <w:r>
              <w:rPr>
                <w:rFonts w:ascii="宋体" w:hAnsi="宋体" w:eastAsia="宋体"/>
                <w:sz w:val="16"/>
              </w:rPr>
              <w:t>&gt;=800宗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96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D7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D0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C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0B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9D82">
            <w:pPr>
              <w:jc w:val="center"/>
            </w:pPr>
            <w:r>
              <w:rPr>
                <w:rFonts w:ascii="宋体" w:hAnsi="宋体" w:eastAsia="宋体"/>
                <w:sz w:val="16"/>
              </w:rPr>
              <w:t>=851宗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02E1">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D96CD">
            <w:pPr>
              <w:jc w:val="center"/>
            </w:pPr>
            <w:r>
              <w:rPr>
                <w:rFonts w:ascii="宋体" w:hAnsi="宋体" w:eastAsia="宋体"/>
                <w:sz w:val="16"/>
              </w:rPr>
              <w:t>偏差原因：“2024年度地区建设项目用地分析”指标年初设置不够准确。改进措施：提高绩效意识，加强提升绩效工作能力。</w:t>
            </w:r>
          </w:p>
        </w:tc>
      </w:tr>
      <w:tr w14:paraId="598CF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964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4E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372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A5C0">
            <w:pPr>
              <w:jc w:val="center"/>
            </w:pPr>
            <w:r>
              <w:rPr>
                <w:rFonts w:ascii="宋体" w:hAnsi="宋体" w:eastAsia="宋体"/>
                <w:sz w:val="16"/>
              </w:rPr>
              <w:t>成果有效利用率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BA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03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F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F2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E2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C4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D8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CDB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DC997">
            <w:pPr>
              <w:jc w:val="center"/>
            </w:pPr>
          </w:p>
        </w:tc>
      </w:tr>
      <w:tr w14:paraId="70F2A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6E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F67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BCD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B159">
            <w:pPr>
              <w:jc w:val="center"/>
            </w:pPr>
            <w:r>
              <w:rPr>
                <w:rFonts w:ascii="宋体" w:hAnsi="宋体" w:eastAsia="宋体"/>
                <w:sz w:val="16"/>
              </w:rPr>
              <w:t>各项工作完成及时率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8F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FE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B7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887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AA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2D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7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9A7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30247">
            <w:pPr>
              <w:jc w:val="center"/>
            </w:pPr>
          </w:p>
        </w:tc>
      </w:tr>
      <w:tr w14:paraId="494197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B2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2C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3A1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0D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CE6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B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B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82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72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12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25E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A7C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192D9">
            <w:pPr>
              <w:jc w:val="center"/>
            </w:pPr>
          </w:p>
        </w:tc>
      </w:tr>
      <w:tr w14:paraId="32881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E81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C268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BAB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F303">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182B">
            <w:pPr>
              <w:jc w:val="center"/>
            </w:pPr>
            <w:r>
              <w:rPr>
                <w:rFonts w:ascii="宋体" w:hAnsi="宋体" w:eastAsia="宋体"/>
                <w:sz w:val="16"/>
              </w:rPr>
              <w:t>&lt;=195.04万元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28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BDB8">
            <w:pPr>
              <w:jc w:val="center"/>
            </w:pPr>
            <w:r>
              <w:rPr>
                <w:rFonts w:ascii="宋体" w:hAnsi="宋体" w:eastAsia="宋体"/>
                <w:sz w:val="16"/>
              </w:rPr>
              <w:t>210.5万元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7E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45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8B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05B2">
            <w:pPr>
              <w:jc w:val="center"/>
            </w:pPr>
            <w:r>
              <w:rPr>
                <w:rFonts w:ascii="宋体" w:hAnsi="宋体" w:eastAsia="宋体"/>
                <w:sz w:val="16"/>
              </w:rPr>
              <w:t>=202.44万元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DCBB">
            <w:pPr>
              <w:jc w:val="center"/>
            </w:pPr>
            <w:r>
              <w:rPr>
                <w:rFonts w:ascii="宋体" w:hAnsi="宋体" w:eastAsia="宋体"/>
                <w:sz w:val="16"/>
              </w:rPr>
              <w:t>9.63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9A1A1">
            <w:pPr>
              <w:jc w:val="center"/>
            </w:pPr>
            <w:r>
              <w:rPr>
                <w:rFonts w:ascii="宋体" w:hAnsi="宋体" w:eastAsia="宋体"/>
                <w:sz w:val="16"/>
              </w:rPr>
              <w:t>偏差原因：年初预算编制不合理，委托业务费支出需求大，年中调整预算。改进措施：年初认真规划，细化项目预算，提高资金使用率。</w:t>
            </w:r>
          </w:p>
        </w:tc>
      </w:tr>
      <w:tr w14:paraId="598721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A0B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EE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E20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9FCC">
            <w:pPr>
              <w:jc w:val="center"/>
            </w:pPr>
            <w:r>
              <w:rPr>
                <w:rFonts w:ascii="宋体" w:hAnsi="宋体" w:eastAsia="宋体"/>
                <w:sz w:val="16"/>
              </w:rPr>
              <w:t>保障单位运转经费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8C2AA">
            <w:pPr>
              <w:jc w:val="center"/>
            </w:pPr>
            <w:r>
              <w:rPr>
                <w:rFonts w:ascii="宋体" w:hAnsi="宋体" w:eastAsia="宋体"/>
                <w:sz w:val="16"/>
              </w:rPr>
              <w:t>&lt;=54.96万元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A0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A8BA0">
            <w:pPr>
              <w:jc w:val="center"/>
            </w:pPr>
            <w:r>
              <w:rPr>
                <w:rFonts w:ascii="宋体" w:hAnsi="宋体" w:eastAsia="宋体"/>
                <w:sz w:val="16"/>
              </w:rPr>
              <w:t>78.38万元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DE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F8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EF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E4A9">
            <w:pPr>
              <w:jc w:val="center"/>
            </w:pPr>
            <w:r>
              <w:rPr>
                <w:rFonts w:ascii="宋体" w:hAnsi="宋体" w:eastAsia="宋体"/>
                <w:sz w:val="16"/>
              </w:rPr>
              <w:t>=47.56万元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BED2">
            <w:pPr>
              <w:jc w:val="center"/>
            </w:pPr>
            <w:r>
              <w:rPr>
                <w:rFonts w:ascii="宋体" w:hAnsi="宋体" w:eastAsia="宋体"/>
                <w:sz w:val="16"/>
              </w:rPr>
              <w:t>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D9800">
            <w:pPr>
              <w:jc w:val="center"/>
            </w:pPr>
            <w:r>
              <w:rPr>
                <w:rFonts w:ascii="宋体" w:hAnsi="宋体" w:eastAsia="宋体"/>
                <w:sz w:val="16"/>
              </w:rPr>
              <w:t>偏差原因：年初预算编制不合理，差旅费支出需求小，年中调整预算。改进措施：年初认真规划，细化项目预算，提高资金使用率。</w:t>
            </w:r>
          </w:p>
        </w:tc>
      </w:tr>
      <w:tr w14:paraId="36549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C0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F3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BE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A5AE">
            <w:pPr>
              <w:jc w:val="center"/>
            </w:pPr>
            <w:r>
              <w:rPr>
                <w:rFonts w:ascii="宋体" w:hAnsi="宋体" w:eastAsia="宋体"/>
                <w:sz w:val="16"/>
              </w:rPr>
              <w:t>保障业务能力提升情况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B16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C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395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3D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FA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B2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1B1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6D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4DA8">
            <w:pPr>
              <w:jc w:val="center"/>
            </w:pPr>
          </w:p>
        </w:tc>
      </w:tr>
      <w:tr w14:paraId="1B284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951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39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F9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75D9">
            <w:pPr>
              <w:jc w:val="center"/>
            </w:pPr>
            <w:r>
              <w:rPr>
                <w:rFonts w:ascii="宋体" w:hAnsi="宋体" w:eastAsia="宋体"/>
                <w:sz w:val="16"/>
              </w:rPr>
              <w:t>政府、社会用户满意度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B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3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8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31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09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34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0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92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80EEB">
            <w:pPr>
              <w:jc w:val="center"/>
            </w:pPr>
          </w:p>
        </w:tc>
      </w:tr>
      <w:tr w14:paraId="5C5987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0A03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E3F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D83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E5CD">
            <w:pPr>
              <w:jc w:val="center"/>
            </w:pPr>
            <w:r>
              <w:rPr>
                <w:rFonts w:ascii="宋体" w:hAnsi="宋体" w:eastAsia="宋体"/>
                <w:sz w:val="16"/>
              </w:rPr>
              <w:t>95.88分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9D678F"/>
        </w:tc>
      </w:tr>
    </w:tbl>
    <w:p w14:paraId="00CD9EF0">
      <w:r>
        <w:br w:type="page"/>
      </w:r>
    </w:p>
    <w:p w14:paraId="079D5483">
      <w:pPr>
        <w:spacing w:line="640" w:lineRule="exact"/>
        <w:ind w:firstLine="640"/>
        <w:jc w:val="both"/>
        <w:outlineLvl w:val="2"/>
      </w:pPr>
      <w:r>
        <w:rPr>
          <w:rFonts w:ascii="黑体" w:hAnsi="黑体" w:eastAsia="黑体"/>
          <w:sz w:val="32"/>
        </w:rPr>
        <w:t>十二、其他需说明的事项</w:t>
      </w:r>
    </w:p>
    <w:p w14:paraId="13609575">
      <w:pPr>
        <w:spacing w:line="580" w:lineRule="exact"/>
        <w:ind w:firstLine="640"/>
        <w:jc w:val="both"/>
      </w:pPr>
      <w:r>
        <w:rPr>
          <w:rFonts w:ascii="仿宋_GB2312" w:hAnsi="仿宋_GB2312" w:eastAsia="仿宋_GB2312"/>
          <w:b w:val="0"/>
          <w:sz w:val="32"/>
        </w:rPr>
        <w:t>本部门无其他需说明的事项。</w:t>
      </w:r>
    </w:p>
    <w:p w14:paraId="1FD2D58E">
      <w:r>
        <w:br w:type="page"/>
      </w:r>
    </w:p>
    <w:p w14:paraId="130E2A22">
      <w:pPr>
        <w:spacing w:line="240" w:lineRule="auto"/>
        <w:jc w:val="center"/>
        <w:outlineLvl w:val="1"/>
      </w:pPr>
      <w:r>
        <w:rPr>
          <w:rFonts w:ascii="黑体" w:hAnsi="黑体" w:eastAsia="黑体"/>
          <w:sz w:val="32"/>
        </w:rPr>
        <w:t>第三部分 专业名词解释</w:t>
      </w:r>
    </w:p>
    <w:p w14:paraId="1376FA0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8683A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54C265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43504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75B3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26864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55BD4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95993B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3E02E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7A63FD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F60C4D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1BC467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79680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E0D23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975A1D7">
      <w:r>
        <w:br w:type="page"/>
      </w:r>
    </w:p>
    <w:p w14:paraId="5B9771F2">
      <w:pPr>
        <w:spacing w:line="240" w:lineRule="auto"/>
        <w:jc w:val="center"/>
        <w:outlineLvl w:val="1"/>
      </w:pPr>
      <w:r>
        <w:rPr>
          <w:rFonts w:ascii="黑体" w:hAnsi="黑体" w:eastAsia="黑体"/>
          <w:sz w:val="32"/>
        </w:rPr>
        <w:t>第四部分 部门决算报表（见附表）</w:t>
      </w:r>
    </w:p>
    <w:p w14:paraId="69AE21F3">
      <w:pPr>
        <w:spacing w:line="240" w:lineRule="auto"/>
        <w:ind w:firstLine="640"/>
        <w:jc w:val="both"/>
      </w:pPr>
      <w:r>
        <w:rPr>
          <w:rFonts w:ascii="仿宋_GB2312" w:hAnsi="仿宋_GB2312" w:eastAsia="仿宋_GB2312"/>
          <w:b w:val="0"/>
          <w:sz w:val="32"/>
        </w:rPr>
        <w:t>一、《收入支出决算总表》</w:t>
      </w:r>
    </w:p>
    <w:p w14:paraId="358894FB">
      <w:pPr>
        <w:spacing w:line="240" w:lineRule="auto"/>
        <w:ind w:firstLine="640"/>
        <w:jc w:val="both"/>
      </w:pPr>
      <w:r>
        <w:rPr>
          <w:rFonts w:ascii="仿宋_GB2312" w:hAnsi="仿宋_GB2312" w:eastAsia="仿宋_GB2312"/>
          <w:b w:val="0"/>
          <w:sz w:val="32"/>
        </w:rPr>
        <w:t>二、《收入决算表》</w:t>
      </w:r>
    </w:p>
    <w:p w14:paraId="2DC237C9">
      <w:pPr>
        <w:spacing w:line="240" w:lineRule="auto"/>
        <w:ind w:firstLine="640"/>
        <w:jc w:val="both"/>
      </w:pPr>
      <w:r>
        <w:rPr>
          <w:rFonts w:ascii="仿宋_GB2312" w:hAnsi="仿宋_GB2312" w:eastAsia="仿宋_GB2312"/>
          <w:b w:val="0"/>
          <w:sz w:val="32"/>
        </w:rPr>
        <w:t>三、《支出决算表》</w:t>
      </w:r>
    </w:p>
    <w:p w14:paraId="47093AB8">
      <w:pPr>
        <w:spacing w:line="240" w:lineRule="auto"/>
        <w:ind w:firstLine="640"/>
        <w:jc w:val="both"/>
      </w:pPr>
      <w:r>
        <w:rPr>
          <w:rFonts w:ascii="仿宋_GB2312" w:hAnsi="仿宋_GB2312" w:eastAsia="仿宋_GB2312"/>
          <w:b w:val="0"/>
          <w:sz w:val="32"/>
        </w:rPr>
        <w:t>四、《财政拨款收入支出决算总表》</w:t>
      </w:r>
    </w:p>
    <w:p w14:paraId="147A20D5">
      <w:pPr>
        <w:spacing w:line="240" w:lineRule="auto"/>
        <w:ind w:firstLine="640"/>
        <w:jc w:val="both"/>
      </w:pPr>
      <w:r>
        <w:rPr>
          <w:rFonts w:ascii="仿宋_GB2312" w:hAnsi="仿宋_GB2312" w:eastAsia="仿宋_GB2312"/>
          <w:b w:val="0"/>
          <w:sz w:val="32"/>
        </w:rPr>
        <w:t>五、《一般公共预算财政拨款支出决算表》</w:t>
      </w:r>
    </w:p>
    <w:p w14:paraId="67E88346">
      <w:pPr>
        <w:spacing w:line="240" w:lineRule="auto"/>
        <w:ind w:firstLine="640"/>
        <w:jc w:val="both"/>
      </w:pPr>
      <w:r>
        <w:rPr>
          <w:rFonts w:ascii="仿宋_GB2312" w:hAnsi="仿宋_GB2312" w:eastAsia="仿宋_GB2312"/>
          <w:b w:val="0"/>
          <w:sz w:val="32"/>
        </w:rPr>
        <w:t>六、《一般公共预算财政拨款基本支出决算表》</w:t>
      </w:r>
    </w:p>
    <w:p w14:paraId="6690ECA6">
      <w:pPr>
        <w:spacing w:line="240" w:lineRule="auto"/>
        <w:ind w:firstLine="640"/>
        <w:jc w:val="both"/>
      </w:pPr>
      <w:r>
        <w:rPr>
          <w:rFonts w:ascii="仿宋_GB2312" w:hAnsi="仿宋_GB2312" w:eastAsia="仿宋_GB2312"/>
          <w:b w:val="0"/>
          <w:sz w:val="32"/>
        </w:rPr>
        <w:t>七、《政府性基金预算财政拨款收入支出决算表》</w:t>
      </w:r>
    </w:p>
    <w:p w14:paraId="0B8014BE">
      <w:pPr>
        <w:spacing w:line="240" w:lineRule="auto"/>
        <w:ind w:firstLine="640"/>
        <w:jc w:val="both"/>
      </w:pPr>
      <w:r>
        <w:rPr>
          <w:rFonts w:ascii="仿宋_GB2312" w:hAnsi="仿宋_GB2312" w:eastAsia="仿宋_GB2312"/>
          <w:b w:val="0"/>
          <w:sz w:val="32"/>
        </w:rPr>
        <w:t>八、《国有资本经营预算财政拨款收入支出决算表》</w:t>
      </w:r>
    </w:p>
    <w:p w14:paraId="67EF1854">
      <w:pPr>
        <w:spacing w:line="240" w:lineRule="auto"/>
        <w:ind w:firstLine="640"/>
        <w:jc w:val="both"/>
      </w:pPr>
      <w:r>
        <w:rPr>
          <w:rFonts w:ascii="仿宋_GB2312" w:hAnsi="仿宋_GB2312" w:eastAsia="仿宋_GB2312"/>
          <w:b w:val="0"/>
          <w:sz w:val="32"/>
        </w:rPr>
        <w:t>九、《财政拨款“三公”经费支出决算表》</w:t>
      </w:r>
    </w:p>
    <w:p w14:paraId="2F7CD947">
      <w:pPr>
        <w:spacing w:line="240" w:lineRule="auto"/>
        <w:ind w:firstLine="640"/>
        <w:jc w:val="both"/>
      </w:pPr>
    </w:p>
    <w:p w14:paraId="77F060F5">
      <w:pPr>
        <w:spacing w:line="240" w:lineRule="auto"/>
        <w:ind w:firstLine="640"/>
        <w:jc w:val="both"/>
      </w:pPr>
    </w:p>
    <w:p w14:paraId="09569B4F">
      <w:pPr>
        <w:spacing w:line="240" w:lineRule="auto"/>
        <w:ind w:firstLine="640"/>
        <w:jc w:val="both"/>
      </w:pPr>
    </w:p>
    <w:p w14:paraId="0D50C9D4">
      <w:pPr>
        <w:spacing w:line="240" w:lineRule="auto"/>
        <w:ind w:firstLine="640"/>
        <w:jc w:val="both"/>
      </w:pPr>
    </w:p>
    <w:p w14:paraId="127343A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5B0B0A"/>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902B95"/>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4482</Words>
  <Characters>5130</Characters>
  <Lines>0</Lines>
  <Paragraphs>0</Paragraphs>
  <TotalTime>9</TotalTime>
  <ScaleCrop>false</ScaleCrop>
  <LinksUpToDate>false</LinksUpToDate>
  <CharactersWithSpaces>5138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2025-09-04T06:01:19Z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