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土地资源调查项目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新疆维吾尔自治区喀什地区自然资源规划勘测院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新疆维吾尔自治区喀什地区自然资源局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阿肯·吐生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2025年03月01日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受地区国土资源局委托，承担地区土地利用总体规划、矿产资源总体规划和土地整治工作；承担地区土地调查、1:1万基础测绘数据管理、国土资源数据库建设等工作；承担喀什地区土地、矿产资源窗口办文工作；承担国家、及自治区项目的土地确权划界变更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完成各县市17宗建设项目占用耕地的项目位置、规模、现状进行实地踏勘，联合完成项目占用耕地的必要性、合理性论证并出具论证意见，其中通过论证15个，未通过2个。为规范国有未利用土地开发审查管理工作，根据喀什地区耕地后备资源开发报件审核专班职责分工，对申请资料齐全、符合受理的各县市75个耕地后备资源开发项目进行实地踏勘，审查勘界报告、现状图内容等技术服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提供喀什地区2021年度全域地类图斑；根据不动产登记中心需要，提供喀什地区县、乡、村行政界线，地籍区与地籍子区、集体土地所有权确权登记成果、伽师总场、四十一团、四十九团、五十团、五十一团、五十三团、经济开发区确权划界范围；根据地区局安排，领取储存喀什地区1:1万地形图、“三区三线”划定成果和各县市1:5000地形图登记入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完成地区2023年、2024年度变更，各作业单位2024年1月中旬完成首轮变更，成果通过自治区调查监测处核查，并汇总上报相关数据，负责统计工作进度，处理水利局提供的45条河流岸线，分析占用2022年耕地、永久基本农田、一般农田、图斑数量等。编制恰萨街道片区分布示意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编制自然资源业务工作所需的示意图、分布图等专业参考图件100幅1500多余份，各类统计、汇总提供数据50次。套合2022年度监测图班、存量建设用地、推土区、临时用地、永久基本农田、生态红线、影像等数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配合测绘地理信息科，对喀什辖区5座“北斗”CORS基准站（喀什站、英吉沙站、莎车站、塔县站、麦盖提站）进行实地查看、掌握CORS站的电力、网络、运行环境、信号强度等情况，并形成记录，对其发现的问题，与所在县市自然资源局一起给予解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地区自然资源规划勘测院为全额事业单位，纳入2023年部门决算编制范围的有7个办公室：办公室、总工办、院长办公室、财务室、确权勘界室、地理信息室、规划室。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编制人数25人，其中：事业编制25人。实有在职人数24人，其中：事业在职24人。离退休人员12人，其中：事业退休12人。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喀地财发【2024】1号共安排下达资金250万元，为项目资金，最终确定项目资金总数为250万元。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截至2024年12月31日，实际支出250万元，预算执行率100%。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喀什地区十二县（市）开展土地利用和管理情况评价分析，为喀什地区开展建设用地报批提供了技术保障与数据支撑，保证了喀什地区各单位（个人）建设项目用地报批手续的正常开展。为用地审批和地籍管理等提供科学、准确的基础资料而进行技术服务性工作，承担国家、自治区、地区重大建设项目的土地勘测定界和建设项目用地占用耕地踏勘论证；为落实数据安全和规范数据处理活动，成立保密安全领导小组，制定管理制度，确保涉密数据的安全性和完整性，防止涉密数据泄露、遗失或者被非法获取，保障涉密数据的合法使用和共享，做好国土资源调查等涉密数据的存储、管理等工作；为掌握年度土地利用的变化情况，满足当前自然资源管理工作的需要，更新国土调查数据库，保障全国国土调查成果的现势性和准确性，参与和协助国土变更调查工作，完成塔什库尔干县2023年度变更调查图斑外业举证工作、内业填报、数据库建设并提交国家，完成塔什库尔干县2023年耕地资源质量分类年度更新；根据需要，为领导决策提供权威、标准、连续的地理信息参考依据，为经济社会发展，提供技术服务保障，做好自然资源业务工作所需专业参考图件、测绘和制图、数据汇总等服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各县土地利用和管理情况评价分析，完成塔什库尔干县2023年度耕地资源质量分类年度更新数据库建设1个，塔什库尔干县2023年度耕地资源质量分类年度更新监测样点进行外业采样工作50个，重大建设项目土地勘测定界宗地数150宗，编制自然资源业务专业参考图件数100幅，自然资源专题数据统计汇总分析50次，2024年度地区建设项目用地分析800宗，提升土地参与宏观调控能力，适应把握引领经济发展新常态，实现土地变更调查成果在生态文明建设，促进最严格的耕地保护制度和最严格的节约用地制度进一步落到实地。</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8"/>
          <w:rFonts w:hint="eastAsia" w:ascii="仿宋" w:hAnsi="仿宋" w:eastAsia="仿宋" w:cs="仿宋"/>
          <w:b w:val="0"/>
          <w:bCs w:val="0"/>
          <w:spacing w:val="-4"/>
          <w:sz w:val="32"/>
          <w:szCs w:val="32"/>
        </w:rPr>
        <w:t>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土地资源调查项目为评价对象，对该项目资金决策、项目实施过程，以及项目实施所带来的产出和效果为主要内容，促进预算单位完成特定工作任务目标而组织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土地资源调查项目评分表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二级指标</w:t>
      </w:r>
      <w:r>
        <w:rPr>
          <w:rStyle w:val="18"/>
          <w:rFonts w:hint="eastAsia" w:ascii="仿宋" w:hAnsi="仿宋" w:eastAsia="仿宋" w:cs="仿宋"/>
          <w:b w:val="0"/>
          <w:bCs w:val="0"/>
          <w:spacing w:val="-4"/>
          <w:sz w:val="32"/>
          <w:szCs w:val="32"/>
        </w:rPr>
        <w:tab/>
        <w:t xml:space="preserve">  三级指标</w:t>
      </w:r>
      <w:r>
        <w:rPr>
          <w:rStyle w:val="18"/>
          <w:rFonts w:hint="eastAsia" w:ascii="仿宋" w:hAnsi="仿宋" w:eastAsia="仿宋" w:cs="仿宋"/>
          <w:b w:val="0"/>
          <w:bCs w:val="0"/>
          <w:spacing w:val="-4"/>
          <w:sz w:val="32"/>
          <w:szCs w:val="32"/>
        </w:rPr>
        <w:tab/>
        <w:t xml:space="preserve">              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决策（15分）</w:t>
      </w:r>
      <w:r>
        <w:rPr>
          <w:rStyle w:val="18"/>
          <w:rFonts w:hint="eastAsia" w:ascii="仿宋" w:hAnsi="仿宋" w:eastAsia="仿宋" w:cs="仿宋"/>
          <w:b w:val="0"/>
          <w:bCs w:val="0"/>
          <w:spacing w:val="-4"/>
          <w:sz w:val="32"/>
          <w:szCs w:val="32"/>
        </w:rPr>
        <w:tab/>
        <w:t>项目立项（5分）</w:t>
      </w:r>
      <w:r>
        <w:rPr>
          <w:rStyle w:val="18"/>
          <w:rFonts w:hint="eastAsia" w:ascii="仿宋" w:hAnsi="仿宋" w:eastAsia="仿宋" w:cs="仿宋"/>
          <w:b w:val="0"/>
          <w:bCs w:val="0"/>
          <w:spacing w:val="-4"/>
          <w:sz w:val="32"/>
          <w:szCs w:val="32"/>
        </w:rPr>
        <w:tab/>
        <w:t xml:space="preserve">  立项依据充分性（3分）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立项程序（2分）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绩效目标（5分）   绩效目标合理性（3分）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绩效指标明确性（2分）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资金投入（5分）</w:t>
      </w:r>
      <w:r>
        <w:rPr>
          <w:rStyle w:val="18"/>
          <w:rFonts w:hint="eastAsia" w:ascii="仿宋" w:hAnsi="仿宋" w:eastAsia="仿宋" w:cs="仿宋"/>
          <w:b w:val="0"/>
          <w:bCs w:val="0"/>
          <w:spacing w:val="-4"/>
          <w:sz w:val="32"/>
          <w:szCs w:val="32"/>
        </w:rPr>
        <w:tab/>
        <w:t xml:space="preserve">  预算编制（3分）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资金分配合理性（2分）         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过程（20分）</w:t>
      </w:r>
      <w:r>
        <w:rPr>
          <w:rStyle w:val="18"/>
          <w:rFonts w:hint="eastAsia" w:ascii="仿宋" w:hAnsi="仿宋" w:eastAsia="仿宋" w:cs="仿宋"/>
          <w:b w:val="0"/>
          <w:bCs w:val="0"/>
          <w:spacing w:val="-4"/>
          <w:sz w:val="32"/>
          <w:szCs w:val="32"/>
        </w:rPr>
        <w:tab/>
        <w:t>资金管理（10分）  资金到位率（3分）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预算执行率（3分）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资金使用合规性（4分）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组织实施（10分）  管理制度健全性（5分）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制度执行（5分）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产出（45分）</w:t>
      </w:r>
      <w:r>
        <w:rPr>
          <w:rStyle w:val="18"/>
          <w:rFonts w:hint="eastAsia" w:ascii="仿宋" w:hAnsi="仿宋" w:eastAsia="仿宋" w:cs="仿宋"/>
          <w:b w:val="0"/>
          <w:bCs w:val="0"/>
          <w:spacing w:val="-4"/>
          <w:sz w:val="32"/>
          <w:szCs w:val="32"/>
        </w:rPr>
        <w:tab/>
        <w:t>产出数量（10分）  实际完成率（10分）</w:t>
      </w:r>
      <w:r>
        <w:rPr>
          <w:rStyle w:val="18"/>
          <w:rFonts w:hint="eastAsia" w:ascii="仿宋" w:hAnsi="仿宋" w:eastAsia="仿宋" w:cs="仿宋"/>
          <w:b w:val="0"/>
          <w:bCs w:val="0"/>
          <w:spacing w:val="-4"/>
          <w:sz w:val="32"/>
          <w:szCs w:val="32"/>
        </w:rPr>
        <w:tab/>
        <w:t xml:space="preserve">        9.9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产出质量（10分）  质量达标率（10分）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产出时效（10分）  完成及时性（10分）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产出成本（15分）  成本节约率（15分）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12.34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效益（10分）</w:t>
      </w:r>
      <w:r>
        <w:rPr>
          <w:rStyle w:val="18"/>
          <w:rFonts w:hint="eastAsia" w:ascii="仿宋" w:hAnsi="仿宋" w:eastAsia="仿宋" w:cs="仿宋"/>
          <w:b w:val="0"/>
          <w:bCs w:val="0"/>
          <w:spacing w:val="-4"/>
          <w:sz w:val="32"/>
          <w:szCs w:val="32"/>
        </w:rPr>
        <w:tab/>
        <w:t>项目效益（10分）  实施效益（10分）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t>满意度（10分）</w:t>
      </w:r>
      <w:r>
        <w:rPr>
          <w:rStyle w:val="18"/>
          <w:rFonts w:hint="eastAsia" w:ascii="仿宋" w:hAnsi="仿宋" w:eastAsia="仿宋" w:cs="仿宋"/>
          <w:b w:val="0"/>
          <w:bCs w:val="0"/>
          <w:spacing w:val="-4"/>
          <w:sz w:val="32"/>
          <w:szCs w:val="32"/>
        </w:rPr>
        <w:tab/>
        <w:t xml:space="preserve">  满意度（10分）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权重分值：100分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总得分    </w:t>
      </w:r>
      <w:r>
        <w:rPr>
          <w:rStyle w:val="18"/>
          <w:rFonts w:hint="eastAsia" w:ascii="仿宋" w:hAnsi="仿宋" w:eastAsia="仿宋" w:cs="仿宋"/>
          <w:b w:val="0"/>
          <w:bCs w:val="0"/>
          <w:spacing w:val="-4"/>
          <w:sz w:val="32"/>
          <w:szCs w:val="32"/>
        </w:rPr>
        <w:tab/>
        <w:t>96.74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绩效评价标准通常包括计划标准、历史标准等，用于对绩效指标完成情况进行比较、分析、评价。本次评价主要采用了计划标准、历史标准。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阿肯？吐生任评价组组长，绩效评价工作职责为负责全盘工作。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李秀哲任评价组副组长，绩效评价工作职责为为对项目实施情况进行实地调查。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田季红任评价组成员，绩效评价工作职责为负责资料审核等工作。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土地资源调查项目产生了为用地审批和地籍管理等提供科学、准确的基础资料；确保了涉密数据的安全性和完整性，防止涉密数据泄露、遗失或者被非法获取，保障涉密数据的合法使用和共享；有效掌握了年度土地利用的变化情况，满足当前自然资源管理工作的需要，更新国土调查数据库，保障了全国国土调查成果的现势性和准确性等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项目决策：该项目主要通过喀党委编【2021】70号文件立项，项目实施符合喀什地区自然资源规划勘测院主要职责任务的要求，项目立项依据充分，立项程序规范。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土地资源调查项目预算安排250万元，实际支出250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项目实施完成塔什库尔干县2023年度耕地资源质量分类年度更新数据库建设1个，塔什库尔干县2023年度耕地资源质量分类年度更新监测样点进行外业采样工作50个，重大建设项目土地勘测定界宗地数152宗，编制自然资源业务专业参考图件数100幅，自然资源专题数据统计汇总分析50次，2024年度地区建设项目用地分析851宗，及时有效的保障了成果资料的利用率及工作完成及时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有效掌握了年度土地利用的变化情况，满足了当前自然资源管理工作的需要，更新国土调查数据库，保障了全国国土调查成果的现势性和准确性；为用地审批和地籍管理等提供科学、准确的基础资料；为领导决策提供权威、标准、连续的地理信息参考依据，为经济社会发展，提供技术服务保障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土地资源调查项目进行客观评价，最终评分结果：评价总分96.74分，绩效等级为“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土地资源调查项目绩效评价评分汇总表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标准分值</w:t>
      </w:r>
      <w:r>
        <w:rPr>
          <w:rStyle w:val="18"/>
          <w:rFonts w:hint="eastAsia" w:ascii="仿宋" w:hAnsi="仿宋" w:eastAsia="仿宋" w:cs="仿宋"/>
          <w:b w:val="0"/>
          <w:bCs w:val="0"/>
          <w:spacing w:val="-4"/>
          <w:sz w:val="32"/>
          <w:szCs w:val="32"/>
        </w:rPr>
        <w:tab/>
        <w:t>得分</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决策指标</w:t>
      </w:r>
      <w:r>
        <w:rPr>
          <w:rStyle w:val="18"/>
          <w:rFonts w:hint="eastAsia" w:ascii="仿宋" w:hAnsi="仿宋" w:eastAsia="仿宋" w:cs="仿宋"/>
          <w:b w:val="0"/>
          <w:bCs w:val="0"/>
          <w:spacing w:val="-4"/>
          <w:sz w:val="32"/>
          <w:szCs w:val="32"/>
        </w:rPr>
        <w:tab/>
        <w:t>15.00</w:t>
      </w:r>
      <w:r>
        <w:rPr>
          <w:rStyle w:val="18"/>
          <w:rFonts w:hint="eastAsia" w:ascii="仿宋" w:hAnsi="仿宋" w:eastAsia="仿宋" w:cs="仿宋"/>
          <w:b w:val="0"/>
          <w:bCs w:val="0"/>
          <w:spacing w:val="-4"/>
          <w:sz w:val="32"/>
          <w:szCs w:val="32"/>
        </w:rPr>
        <w:tab/>
        <w:t>15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过程指标</w:t>
      </w:r>
      <w:r>
        <w:rPr>
          <w:rStyle w:val="18"/>
          <w:rFonts w:hint="eastAsia" w:ascii="仿宋" w:hAnsi="仿宋" w:eastAsia="仿宋" w:cs="仿宋"/>
          <w:b w:val="0"/>
          <w:bCs w:val="0"/>
          <w:spacing w:val="-4"/>
          <w:sz w:val="32"/>
          <w:szCs w:val="32"/>
        </w:rPr>
        <w:tab/>
        <w:t>20.00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产出指标</w:t>
      </w:r>
      <w:r>
        <w:rPr>
          <w:rStyle w:val="18"/>
          <w:rFonts w:hint="eastAsia" w:ascii="仿宋" w:hAnsi="仿宋" w:eastAsia="仿宋" w:cs="仿宋"/>
          <w:b w:val="0"/>
          <w:bCs w:val="0"/>
          <w:spacing w:val="-4"/>
          <w:sz w:val="32"/>
          <w:szCs w:val="32"/>
        </w:rPr>
        <w:tab/>
        <w:t>45.00</w:t>
      </w:r>
      <w:r>
        <w:rPr>
          <w:rStyle w:val="18"/>
          <w:rFonts w:hint="eastAsia" w:ascii="仿宋" w:hAnsi="仿宋" w:eastAsia="仿宋" w:cs="仿宋"/>
          <w:b w:val="0"/>
          <w:bCs w:val="0"/>
          <w:spacing w:val="-4"/>
          <w:sz w:val="32"/>
          <w:szCs w:val="32"/>
        </w:rPr>
        <w:tab/>
        <w:t>42.24</w:t>
      </w:r>
      <w:r>
        <w:rPr>
          <w:rStyle w:val="18"/>
          <w:rFonts w:hint="eastAsia" w:ascii="仿宋" w:hAnsi="仿宋" w:eastAsia="仿宋" w:cs="仿宋"/>
          <w:b w:val="0"/>
          <w:bCs w:val="0"/>
          <w:spacing w:val="-4"/>
          <w:sz w:val="32"/>
          <w:szCs w:val="32"/>
        </w:rPr>
        <w:tab/>
        <w:t>93.87%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效益、满意度指标</w:t>
      </w:r>
      <w:r>
        <w:rPr>
          <w:rStyle w:val="18"/>
          <w:rFonts w:hint="eastAsia" w:ascii="仿宋" w:hAnsi="仿宋" w:eastAsia="仿宋" w:cs="仿宋"/>
          <w:b w:val="0"/>
          <w:bCs w:val="0"/>
          <w:spacing w:val="-4"/>
          <w:sz w:val="32"/>
          <w:szCs w:val="32"/>
        </w:rPr>
        <w:tab/>
        <w:t>20.00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 xml:space="preserve">       100.00</w:t>
      </w:r>
      <w:r>
        <w:rPr>
          <w:rStyle w:val="18"/>
          <w:rFonts w:hint="eastAsia" w:ascii="仿宋" w:hAnsi="仿宋" w:eastAsia="仿宋" w:cs="仿宋"/>
          <w:b w:val="0"/>
          <w:bCs w:val="0"/>
          <w:spacing w:val="-4"/>
          <w:sz w:val="32"/>
          <w:szCs w:val="32"/>
        </w:rPr>
        <w:tab/>
        <w:t>96.74</w:t>
      </w:r>
      <w:r>
        <w:rPr>
          <w:rStyle w:val="18"/>
          <w:rFonts w:hint="eastAsia" w:ascii="仿宋" w:hAnsi="仿宋" w:eastAsia="仿宋" w:cs="仿宋"/>
          <w:b w:val="0"/>
          <w:bCs w:val="0"/>
          <w:spacing w:val="-4"/>
          <w:sz w:val="32"/>
          <w:szCs w:val="32"/>
        </w:rPr>
        <w:tab/>
        <w:t>96.74%</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项目决策类指标包括项目立项、绩效目标和资金投入三方面的内容，由6个三级指标构成，权重分为15分，实际得分14.5分，得分率为96.67%。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根据《关于喀什地区自然资源局所属事业单位机构编制调整的通知》喀党编委【2021】70号文件中制定的喀什地区自然资源规划勘测院主要职责任务组织实施。，根据《财政资金直接支付申请书》，本项目资金性质为“事业收入资金”，功能分类为“自然资源调查与确权登记”，经济分类为“商品和服务支出”属于公共财政支持范围，符合中央、地方事权支出责任划分原则；经检查我单位财政管理一体化信息系统，本项目不存在重复。结合: 我院受地区国土资源局委托，承担地区土地利用总体规划、矿产资源总体规划和土地整治工作；承担地区土地调查、1:1万基础测绘数据管理、国土资源数据库建设等工作；承担喀什地区土地、矿产资源窗口办文工作；承担国家、及自治区项目的土地确权划界变更等工作职责，并组织实施该项目。围绕2024年度工作重点和工作计划制定项目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（2）立项程序规范性：根据决策依据编制工作计划和经费预算，经过与地区自然资源局分管领导进行沟通、筛选确定经费预算计划，上党支部会议研究确定最终预算方案，根据评分标准，该指标不扣分，得2分。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该项目已设置年度绩效目标，具体内容为“土地资源调查项目资金250万元，主要用于支出办公费、差旅费、印刷费、其他交通费、劳务费、邮电费、委托业务费、其他商品服务支出等费用，用于保障我院建设塔什库尔干县2023年度耕地资源质量分类年度更新数据库、塔什库尔干县2023年度耕地资源质量分类年度更新监测样点进行外业采样工作、重大建设项目土地勘测定界、2024年度地区建设项目用地分析等业务工作的顺利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该项目实际工作内容为：完成塔什库尔干县2023年度耕地资源质量分类年度更新数据库建设1个，塔什库尔干县2023年度耕地资源质量分类年度更新监测样点进行外业采样工作50个，重大建设项目土地勘测定界宗地数152宗，编制自然资源业务专业参考图件数100幅，自然资源专题数据统计汇总分析50次，2024年度地区建设项目用地分析851宗，及时有效的保障了成果资料的利用率及工作完成及时率。绩效目标与实际工作内容一致，两者具有相关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按照绩效目标完成数量指标、质量指标、时效指标、成本指标，完成了完成塔什库尔干县2023年度耕地资源质量分类年度更新数据库建设1个，塔什库尔干县2023年度耕地资源质量分类年度更新监测样点进行外业采样工作50个，重大建设项目土地勘测定界宗地数152宗，编制自然资源业务专业参考图件数100幅，自然资源专题数据统计汇总分析50次，2024年度地区建设项目用地分析851宗，及时有效的保障了成果资料的利用率及工作完成及时率，达到为领导决策提供权威、标准、连续的地理信息参考依据，为经济社会发展，提供技术服务保障，掌握年度土地利用的变化情况，满足当前自然资源管理工作的需要，更新国土调查数据库，保障全国国土调查成果的现势性和准确性等社会效益，有效保障业务能力提升，预期产出效益和效果是否符合正常的业绩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④该项目批复的预算金额为250万元，《项目支出绩效目标表》中预算金额为250万元，预算确定的项目资金与预算确定的项目投资额相匹配。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3个，二级指标6个，三级指标13个，定量指标12个，定性指标1个，指标量化率为92.3%，量化率达70.0%以上，将项目绩效目标细化分解为具体的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绩效目标申报表》中，数量指标指标值为①塔什库尔干县2023年度耕地资源质量分类年度更新数据库建设1个，②塔什库尔干县2023年度耕地资源质量分类年度更新监测样点进行外业采样工作≥50个，③重大建设项目土地勘测定界宗地数≥150宗，④编制自然资源业务专业参考图件数≥100幅，⑤自然资源专题数据统计汇总分析≥50次，⑥2024年度地区建设项目用地分析≥800宗，三级指标的年度指标值与年度绩效目标中任务数不一致， 已设置时效指标“①成果有效利用率100%，②各项工作完成及时率100%”。已设置的绩效目标具备明确性、可衡量性、可实现性、相关性、时限性。根据评分标准，该指标扣0.5分，得1.5分。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（5）预算编制科学性：本项目土地资源调查项目经过科学论证，即预算编制较科学且经过论证；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申请内容为土地资源调查项目资金250万元，主要用于支出办公费、差旅费、印刷费、其他交通费、劳务费、邮电费、委托业务费、其他商品服务支出等费用，用于保障我院建设塔什库尔干县2023年度耕地资源质量分类年度更新数据库、塔什库尔干县2023年度耕地资源质量分类年度更新监测样点进行外业采样工作、重大建设项目土地勘测定界、2024年度地区建设项目用地分析等业务工作的顺利开展，项目实际内容为完成塔什库尔干县2023年度耕地资源质量分类年度更新数据库建设1个，塔什库尔干县2023年度耕地资源质量分类年度更新监测样点进行外业采样工作50个，重大建设项目土地勘测定界宗地数152宗，编制自然资源业务专业参考图件数100幅，自然资源专题数据统计汇总分析50次，2024年度地区建设项目用地分析851宗，预算申请与《土地资源调查项目实施方案》中涉及的项目内容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申请资金250万元，我单位在预算申请中严格按照项目实施内容及测算标准进行核算，其中：办公费2万元、印刷费0.1万元、电费1万元、邮电费0.4万元、差旅费9.5万元、劳务费26.2万元、委托业务费202.44万元、其他交通费6.36万元、其他商品服务支出2万元。预算万元确定资金量与实际工作任务相匹配。本项目预算额度测算依据充分，严格按照标准编制，预算确定资金量与实际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本项目实际分配资金以《土地资源调查项目实施方案》为依据进行资金分配，预算资金分配依据充分。根据《关于批复2024年喀什地区本级部门预算的通知》（喀地财发〔2024〕1号），本项目实际到位资金250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本项目预算资金为250万元，其中：财政安排资金0万元，其他资金250万元，实际到位资金250万元，资金到位率=100%；通过分析可知，该项目财政资金足额拨付到位，能够及时足额支付给实施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（2）预算执行率：本项目实际支出资金250万元，预算执行率=（250/250）×100.0%=100%；通过分析可知，该项目预算编制较为详细，项目资金支出总体能够按照预算执行，根据评分标准，该指标不扣分，得3分。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喀什地区自然资源规划勘测院资金管理办法》《土地资源调查项目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我单位已制定《喀什地区自然资源规划勘测院资金管理办法》《财政收支业务管理制度》《喀什地区自然资源规划勘测院政府采购业务管理制度》《喀什地区自然资源规划勘测院合同管理制度》，相关制度均符合行政事业单位内控管理要求，财务和业务管理制度合法、合规、完整，本项目执行符合上述制度规定。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①该项目的实施符合《喀什地区自然资源规划勘测院管理制度》《喀什地区自然资源规划勘测院采购业务管理制度》《喀什地区自然资源规划勘测院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②经现场查证项目合同书、验收评审表、财务支付凭证等资料齐全并及时归档。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③该项目实施过程中不存在调整事项。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土地资源调查项目工作领导小组，由阿肯？吐生任组长，负责项目的组织工作；李秀哲任副组长，负责项目的实施工作；组员包括：穆拉迪力？佧米力和田季红，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项目产出类指标包括产出数量、产出质量、产出时效、产出成本四方面的内容，由11个三级指标构成，权重分为45分，实际得分42.24分，得分率为93.87%。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塔什库尔干县2023年度耕地资源质量分类年度更新数据库建设指标，预期指标值为等于1个，实际完成值为1个，指标完成率为100%，与预期目标一致，根据评分标准，该指标不扣分，得2分。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塔什库尔干县2023年度耕地资源质量分类年度更新监测样点进行外业采样工作指标，预期指标值为大于等于50个，实际完成值为50个，指标完成率为100%，与预期目标一致，根据评分标准，该指标不扣分，得2分。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重大建设项目土地勘测定界宗地数指标，预期指标值为大于等于150宗，实际完成值为152个，指标完成率为101.3%，与预期目标不一致，偏差原因：年初设置的指标不够精准，改进措施：提高绩效意识，加强提升绩效工作能力。根据评分标准，该指标扣分，该指标扣0.01分，得0.99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编制自然资源业务专业参考图件数指标，预期指标值为大于等于100幅，实际完成值为100幅，指标完成率为100%，与预期目标一致，根据评分标准，该指标不扣分，得2分。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自然资源专题数据统计汇总分析指标，预期指标值为大于等于50次，实际完成值为50次，指标完成率为100%，与预期目标一致，根据评分标准，该指标不扣分，得2分。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度地区建设项目用地分析指标，预期指标值为大于等于800宗，实际完成值为851宗，指标完成率为106.3%，与预期目标不一致，偏差原因：年中用地分析需求增加，工作任务增加，改进措施：年初设置指标值时加强摸底提高设置指标准确性。根据评分标准，该指标扣分，该指标扣0.06分，得0.94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成果有效利用率指标，预期指标值为等于100%，实际完成值为100%，指标完成率为100%，与预期目标一致，根据评分标准，该指标不扣分，得10分。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各项工作完成及时率指标，预期指标值为等于100%，实际完成值为100%，指标完成率为100%，与预期目标一致，根据评分标准，该指标不扣分，得5分。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项目完成时间指标，预期指标值为等于2024年12月25日，实际完成值为2024年12月25日，指标完成率为100%，与预期目标一致，根据评分标准，该指标不扣分，得5分。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委托业务费指标，预期指标值为小于等于195.04万元，实际完成值为202.44万元，指标完成率为103.7%，与预期目标不一致，偏差原因：年初预算分配不够精准，年中调整预算，委托业务费用增加。改进措施：年初认真规划，细化项目预算，提高资金执行率。根据评分标准，该指标扣分，该指标扣0.3分，得7.7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单位运转经费指标，预期指标值为小于等于54.96万元，实际完成值为47.56万元，指标完成率为86.5%，与预期目标不一致，偏差原因：年初预算分配不够精准，年中调整预算，资金执行率较低。改进措施：年初认真规划，细化项目预算，提高资金执行率。根据评分标准，该指标扣2.36分，得4.64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合计得12.34分。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保障业务能力提升情况指标，该指标预期指标值为保障，实际完成值为保障，指标完成率为100，与预期指标一致，根据评分标准，该指标不扣分，得10分。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政府、社会用户满意度指标：该指标预期指标值为等于100%，实际完成值为100%，指标完成率为100%，与预期目标一致，根据评分标准，该指标不扣分,得10分。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土地资源调查项目预算250万元，到位250万元，实际支出250万元，预算执行率为100%，项目绩效指标总体完成率为99.8%，偏差率为0.2%,偏差原因年中工作任务增加，2024年度地区建设项目用地分析工作任务加重，采取的措施年初设置指标值时加强摸底提高设置指标准确性。</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一是土地资源调查项目能够严格按照《土地资源调查项目实施方案》执行，项目执行情况较好。二是地区自然资源规划勘测院能够组织重视土地资源调查项目的绩效评价工作，由院主要领导亲自挂帅，业务骨干具体负责，从项目到资金，均能后很好的执行。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年初分配项目预算时，不够细化，设置指标值设置前的摸底工作不到位，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（三）下一步措施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科学合理设置绩效评价指标，夯实绩效评价基础，加大对指标设计的重视程度，应组织院中级工程师及以上人员对上报的绩效目标进行审核论证。二是树立全员绩效管理意识，健全我单位绩效管理制度，积极倡导业务部门积极参与绩效评价工作。三是强化绩效评价结果应用，提高对计较评价结果的重视程度，对评价过程中发现的问题及时研究制定整改方案，积极向财政部门报送相关材料，落实整改意见，避免后期出现相同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加强项目前期准备工作，编制更加细化的实施方案，严格按照预算批复内容设置产出成本的预期目标值，严格按照绩效工作要求及时调整与实际情况不相符的目标值，严格地区自然资源规划勘测院的“内部管理控制手册”执行预算资金，严格按照项目实施方案、政府采购法、招投标管理办法等稳步推进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r>
        <w:rPr>
          <w:rStyle w:val="18"/>
          <w:rFonts w:hint="eastAsia" w:ascii="仿宋" w:hAnsi="仿宋" w:eastAsia="仿宋" w:cs="仿宋"/>
          <w:b w:val="0"/>
          <w:bCs w:val="0"/>
          <w:spacing w:val="-4"/>
          <w:sz w:val="32"/>
          <w:szCs w:val="32"/>
        </w:rPr>
        <w:cr/>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 w:val="7EA17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2025-11-20T09:29:09Z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299A846E7742483FADE25949A45A48D3_12</vt:lpwstr>
  </property>
</Properties>
</file>