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新疆维吾尔自治区总工会喀什地区办事处2024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C76001">
      <w:r>
        <w:br w:type="page"/>
      </w:r>
    </w:p>
    <w:p w14:paraId="4159C77F">
      <w:pPr>
        <w:spacing w:line="640" w:lineRule="exact"/>
        <w:jc w:val="center"/>
        <w:outlineLvl w:val="1"/>
      </w:pPr>
      <w:r>
        <w:rPr>
          <w:rFonts w:ascii="黑体" w:hAnsi="黑体" w:eastAsia="黑体"/>
          <w:sz w:val="32"/>
        </w:rPr>
        <w:t>第一部分 部门概况</w:t>
      </w:r>
    </w:p>
    <w:p w14:paraId="1DE99380">
      <w:pPr>
        <w:spacing w:line="640" w:lineRule="exact"/>
        <w:ind w:firstLine="640"/>
        <w:jc w:val="both"/>
        <w:outlineLvl w:val="2"/>
      </w:pPr>
      <w:r>
        <w:rPr>
          <w:rFonts w:ascii="黑体" w:hAnsi="黑体" w:eastAsia="黑体"/>
          <w:sz w:val="32"/>
        </w:rPr>
        <w:t>一、主要职能</w:t>
      </w:r>
    </w:p>
    <w:p w14:paraId="4D641A4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维护职能。工会动员和组织职工积极参加建设和改革，努力完成经济和发展任务。</w:t>
      </w:r>
    </w:p>
    <w:p w14:paraId="0538AF0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参与职能。代表和组织职工参与国家和社会事务管理，参与企业、事业和机关的民主管理。</w:t>
      </w:r>
    </w:p>
    <w:p w14:paraId="7919736A">
      <w:pPr>
        <w:spacing w:line="580" w:lineRule="exact"/>
        <w:ind w:firstLine="640"/>
        <w:jc w:val="both"/>
        <w:rPr>
          <w:rFonts w:ascii="仿宋_GB2312" w:hAnsi="仿宋_GB2312" w:eastAsia="仿宋_GB2312"/>
          <w:sz w:val="32"/>
        </w:rPr>
      </w:pPr>
      <w:r>
        <w:rPr>
          <w:rFonts w:hint="eastAsia" w:ascii="仿宋_GB2312" w:hAnsi="仿宋_GB2312" w:eastAsia="仿宋_GB2312"/>
          <w:sz w:val="32"/>
          <w:lang w:eastAsia="zh-CN"/>
        </w:rPr>
        <w:t>3.</w:t>
      </w:r>
      <w:r>
        <w:rPr>
          <w:rFonts w:ascii="仿宋_GB2312" w:hAnsi="仿宋_GB2312" w:eastAsia="仿宋_GB2312"/>
          <w:sz w:val="32"/>
        </w:rPr>
        <w:t>教育职能。教育职工不断提高思想道德素质和科学文化素质。</w:t>
      </w:r>
    </w:p>
    <w:p w14:paraId="210D566A">
      <w:pPr>
        <w:spacing w:line="580" w:lineRule="exact"/>
        <w:ind w:firstLine="640"/>
        <w:jc w:val="both"/>
        <w:rPr>
          <w:rFonts w:ascii="仿宋_GB2312" w:hAnsi="仿宋_GB2312" w:eastAsia="仿宋_GB2312"/>
          <w:sz w:val="32"/>
        </w:rPr>
      </w:pPr>
      <w:r>
        <w:rPr>
          <w:rFonts w:hint="eastAsia" w:ascii="仿宋_GB2312" w:hAnsi="仿宋_GB2312" w:eastAsia="仿宋_GB2312"/>
          <w:sz w:val="32"/>
          <w:lang w:eastAsia="zh-CN"/>
        </w:rPr>
        <w:t>4.</w:t>
      </w:r>
      <w:r>
        <w:rPr>
          <w:rFonts w:ascii="仿宋_GB2312" w:hAnsi="仿宋_GB2312" w:eastAsia="仿宋_GB2312"/>
          <w:sz w:val="32"/>
        </w:rPr>
        <w:t>建设职能。建设有理想、有道德、有文化、有纪律的职工队伍。</w:t>
      </w:r>
    </w:p>
    <w:p w14:paraId="599819C8">
      <w:pPr>
        <w:spacing w:line="640" w:lineRule="exact"/>
        <w:ind w:firstLine="640"/>
        <w:jc w:val="both"/>
        <w:outlineLvl w:val="2"/>
      </w:pPr>
      <w:r>
        <w:rPr>
          <w:rFonts w:ascii="黑体" w:hAnsi="黑体" w:eastAsia="黑体"/>
          <w:sz w:val="32"/>
        </w:rPr>
        <w:t>二、机构设置及人员情况</w:t>
      </w:r>
    </w:p>
    <w:p w14:paraId="7C076834">
      <w:pPr>
        <w:spacing w:line="580" w:lineRule="exact"/>
        <w:ind w:firstLine="640"/>
        <w:jc w:val="both"/>
      </w:pPr>
      <w:r>
        <w:rPr>
          <w:rFonts w:ascii="仿宋_GB2312" w:hAnsi="仿宋_GB2312" w:eastAsia="仿宋_GB2312"/>
          <w:sz w:val="32"/>
        </w:rPr>
        <w:t>新疆维吾尔自治区总工会喀什地区办事处2024年度，实有人数18人，其中：在职人员0人，增加0人；离休人员0人，增加0人；退休人员18人,增加0人。</w:t>
      </w:r>
    </w:p>
    <w:p w14:paraId="4419BC33">
      <w:pPr>
        <w:spacing w:line="580" w:lineRule="exact"/>
        <w:ind w:firstLine="640"/>
        <w:jc w:val="both"/>
      </w:pPr>
      <w:r>
        <w:rPr>
          <w:rFonts w:ascii="仿宋_GB2312" w:hAnsi="仿宋_GB2312" w:eastAsia="仿宋_GB2312"/>
          <w:sz w:val="32"/>
        </w:rPr>
        <w:t>新疆维吾尔自治区总工会喀什地区办事处无下属预算单位，下设4个科室，分别是：办公室、组宣科、经保科、教育工会。</w:t>
      </w:r>
    </w:p>
    <w:p w14:paraId="78B17667">
      <w:r>
        <w:br w:type="page"/>
      </w:r>
    </w:p>
    <w:p w14:paraId="266DD105">
      <w:pPr>
        <w:spacing w:line="240" w:lineRule="auto"/>
        <w:jc w:val="center"/>
        <w:outlineLvl w:val="1"/>
      </w:pPr>
      <w:r>
        <w:rPr>
          <w:rFonts w:ascii="黑体" w:hAnsi="黑体" w:eastAsia="黑体"/>
          <w:sz w:val="32"/>
        </w:rPr>
        <w:t>第二部分 部门决算情况说明</w:t>
      </w:r>
    </w:p>
    <w:p w14:paraId="03457AC6">
      <w:pPr>
        <w:spacing w:line="640" w:lineRule="exact"/>
        <w:ind w:firstLine="640"/>
        <w:jc w:val="both"/>
        <w:outlineLvl w:val="2"/>
      </w:pPr>
      <w:r>
        <w:rPr>
          <w:rFonts w:ascii="黑体" w:hAnsi="黑体" w:eastAsia="黑体"/>
          <w:sz w:val="32"/>
        </w:rPr>
        <w:t>一、收入支出决算总体情况说明</w:t>
      </w:r>
    </w:p>
    <w:p w14:paraId="44DAFCC6">
      <w:pPr>
        <w:spacing w:line="580" w:lineRule="exact"/>
        <w:ind w:firstLine="640"/>
        <w:jc w:val="both"/>
      </w:pPr>
      <w:r>
        <w:rPr>
          <w:rFonts w:ascii="仿宋_GB2312" w:hAnsi="仿宋_GB2312" w:eastAsia="仿宋_GB2312"/>
          <w:b/>
          <w:sz w:val="32"/>
        </w:rPr>
        <w:t>2024年度收入总计150.66万元，</w:t>
      </w:r>
      <w:r>
        <w:rPr>
          <w:rFonts w:ascii="仿宋_GB2312" w:hAnsi="仿宋_GB2312" w:eastAsia="仿宋_GB2312"/>
          <w:b w:val="0"/>
          <w:sz w:val="32"/>
        </w:rPr>
        <w:t>其中：本年收入合计150.66万元，使用非财政拨款结余（含专用结余）0.00万元，年初结转和结余0.00万元。</w:t>
      </w:r>
    </w:p>
    <w:p w14:paraId="178CC4D1">
      <w:pPr>
        <w:spacing w:line="580" w:lineRule="exact"/>
        <w:ind w:firstLine="640"/>
        <w:jc w:val="both"/>
      </w:pPr>
      <w:r>
        <w:rPr>
          <w:rFonts w:ascii="仿宋_GB2312" w:hAnsi="仿宋_GB2312" w:eastAsia="仿宋_GB2312"/>
          <w:b/>
          <w:sz w:val="32"/>
        </w:rPr>
        <w:t>2024年度支出总计150.66万元，</w:t>
      </w:r>
      <w:r>
        <w:rPr>
          <w:rFonts w:ascii="仿宋_GB2312" w:hAnsi="仿宋_GB2312" w:eastAsia="仿宋_GB2312"/>
          <w:b w:val="0"/>
          <w:sz w:val="32"/>
        </w:rPr>
        <w:t>其中：本年支出合计150.66万元，结余分配0.00万元，年末结转和结余0.00万元。</w:t>
      </w:r>
    </w:p>
    <w:p w14:paraId="5AF05587">
      <w:pPr>
        <w:spacing w:line="580" w:lineRule="exact"/>
        <w:ind w:firstLine="640"/>
        <w:jc w:val="both"/>
      </w:pPr>
      <w:r>
        <w:rPr>
          <w:rFonts w:ascii="仿宋_GB2312" w:hAnsi="仿宋_GB2312" w:eastAsia="仿宋_GB2312"/>
          <w:b w:val="0"/>
          <w:sz w:val="32"/>
        </w:rPr>
        <w:t>收入支出总体与上年相比，增加57.52万元，增长61.76%，主要原因是：本年增加2024年粤喀劳模先进职工代表互访交流项目。</w:t>
      </w:r>
    </w:p>
    <w:p w14:paraId="27F1A4A5">
      <w:pPr>
        <w:spacing w:line="640" w:lineRule="exact"/>
        <w:ind w:firstLine="640"/>
        <w:jc w:val="both"/>
        <w:outlineLvl w:val="2"/>
      </w:pPr>
      <w:r>
        <w:rPr>
          <w:rFonts w:ascii="黑体" w:hAnsi="黑体" w:eastAsia="黑体"/>
          <w:sz w:val="32"/>
        </w:rPr>
        <w:t>二、收入决算情况说明</w:t>
      </w:r>
    </w:p>
    <w:p w14:paraId="3438D999">
      <w:pPr>
        <w:spacing w:line="580" w:lineRule="exact"/>
        <w:ind w:firstLine="640"/>
        <w:jc w:val="both"/>
      </w:pPr>
      <w:r>
        <w:rPr>
          <w:rFonts w:ascii="仿宋_GB2312" w:hAnsi="仿宋_GB2312" w:eastAsia="仿宋_GB2312"/>
          <w:b/>
          <w:sz w:val="32"/>
        </w:rPr>
        <w:t>本年收入150.66万元，</w:t>
      </w:r>
      <w:r>
        <w:rPr>
          <w:rFonts w:ascii="仿宋_GB2312" w:hAnsi="仿宋_GB2312" w:eastAsia="仿宋_GB2312"/>
          <w:b w:val="0"/>
          <w:sz w:val="32"/>
        </w:rPr>
        <w:t>其中：财政拨款收入90.66万元，占60.18%；上级补助收入0.00万元，占0.00%；事业收入0.00万元，占0.00%；经营收入0.00万元，占0.00%；附属单位上缴收入0.00万元，占0.00%；其他收入60.00万元，占39.82%。</w:t>
      </w:r>
    </w:p>
    <w:p w14:paraId="7B29080D">
      <w:pPr>
        <w:spacing w:line="640" w:lineRule="exact"/>
        <w:ind w:firstLine="640"/>
        <w:jc w:val="both"/>
        <w:outlineLvl w:val="2"/>
      </w:pPr>
      <w:r>
        <w:rPr>
          <w:rFonts w:ascii="黑体" w:hAnsi="黑体" w:eastAsia="黑体"/>
          <w:sz w:val="32"/>
        </w:rPr>
        <w:t>三、支出决算情况说明</w:t>
      </w:r>
    </w:p>
    <w:p w14:paraId="0D439703">
      <w:pPr>
        <w:spacing w:line="580" w:lineRule="exact"/>
        <w:ind w:firstLine="640"/>
        <w:jc w:val="both"/>
      </w:pPr>
      <w:r>
        <w:rPr>
          <w:rFonts w:ascii="仿宋_GB2312" w:hAnsi="仿宋_GB2312" w:eastAsia="仿宋_GB2312"/>
          <w:b/>
          <w:sz w:val="32"/>
        </w:rPr>
        <w:t>本年支出150.66万元，</w:t>
      </w:r>
      <w:r>
        <w:rPr>
          <w:rFonts w:ascii="仿宋_GB2312" w:hAnsi="仿宋_GB2312" w:eastAsia="仿宋_GB2312"/>
          <w:b w:val="0"/>
          <w:sz w:val="32"/>
        </w:rPr>
        <w:t>其中：基本支出78.60万元，占52.17%；项目支出72.06万元，占47.83%；上缴上级支出0.00万元，占0.00%；经营支出0.00万元，占0.00%；对附属单位补助支出0.00万元，占0.00%。</w:t>
      </w:r>
    </w:p>
    <w:p w14:paraId="0E8BE0B7">
      <w:pPr>
        <w:spacing w:line="640" w:lineRule="exact"/>
        <w:ind w:firstLine="640"/>
        <w:jc w:val="both"/>
        <w:outlineLvl w:val="2"/>
      </w:pPr>
      <w:r>
        <w:rPr>
          <w:rFonts w:ascii="黑体" w:hAnsi="黑体" w:eastAsia="黑体"/>
          <w:sz w:val="32"/>
        </w:rPr>
        <w:t>四、财政拨款收入支出决算总体情况说明</w:t>
      </w:r>
    </w:p>
    <w:p w14:paraId="0808226D">
      <w:pPr>
        <w:spacing w:line="580" w:lineRule="exact"/>
        <w:ind w:firstLine="640"/>
        <w:jc w:val="both"/>
      </w:pPr>
      <w:r>
        <w:rPr>
          <w:rFonts w:ascii="仿宋_GB2312" w:hAnsi="仿宋_GB2312" w:eastAsia="仿宋_GB2312"/>
          <w:b/>
          <w:sz w:val="32"/>
        </w:rPr>
        <w:t>2024年度财政拨款收入总计90.66万元，</w:t>
      </w:r>
      <w:r>
        <w:rPr>
          <w:rFonts w:ascii="仿宋_GB2312" w:hAnsi="仿宋_GB2312" w:eastAsia="仿宋_GB2312"/>
          <w:b w:val="0"/>
          <w:sz w:val="32"/>
        </w:rPr>
        <w:t>其中：年初财政拨款结转和结余0.00万元，本年财政拨款收入90.66万元。</w:t>
      </w:r>
      <w:r>
        <w:rPr>
          <w:rFonts w:ascii="仿宋_GB2312" w:hAnsi="仿宋_GB2312" w:eastAsia="仿宋_GB2312"/>
          <w:b/>
          <w:sz w:val="32"/>
        </w:rPr>
        <w:t>财政拨款支出总计90.66万元，</w:t>
      </w:r>
      <w:r>
        <w:rPr>
          <w:rFonts w:ascii="仿宋_GB2312" w:hAnsi="仿宋_GB2312" w:eastAsia="仿宋_GB2312"/>
          <w:b w:val="0"/>
          <w:sz w:val="32"/>
        </w:rPr>
        <w:t>其中：年末财政拨款结转和结余0.00万元，本年财政拨款支出90.66万元。</w:t>
      </w:r>
    </w:p>
    <w:p w14:paraId="3C668E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减少2.48万元，下降2.66%，主要原因是：本年聘用人员减少，相关人员经费减少。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年初预算数54.05万元，决算数90.66万元，预决算差异率67.73%，主要原因是：一是年中追加退休人员基础绩效调整，相关退休人员经费增加；二是年中追加2024年工作专项经费项目和</w:t>
      </w:r>
      <w:r>
        <w:rPr>
          <w:rFonts w:hint="eastAsia" w:ascii="仿宋_GB2312" w:hAnsi="仿宋_GB2312" w:eastAsia="仿宋_GB2312"/>
          <w:b w:val="0"/>
          <w:sz w:val="32"/>
          <w:lang w:val="en-US" w:eastAsia="zh-CN"/>
        </w:rPr>
        <w:t>信息</w:t>
      </w:r>
      <w:r>
        <w:rPr>
          <w:rFonts w:ascii="仿宋_GB2312" w:hAnsi="仿宋_GB2312" w:eastAsia="仿宋_GB2312"/>
          <w:b w:val="0"/>
          <w:sz w:val="32"/>
        </w:rPr>
        <w:t>建设项目资金（2021年项目质保金）经费，导致预决算存在差异。</w:t>
      </w:r>
    </w:p>
    <w:p w14:paraId="53423574">
      <w:pPr>
        <w:spacing w:line="640" w:lineRule="exact"/>
        <w:ind w:firstLine="640"/>
        <w:jc w:val="both"/>
        <w:outlineLvl w:val="2"/>
      </w:pPr>
      <w:r>
        <w:rPr>
          <w:rFonts w:ascii="黑体" w:hAnsi="黑体" w:eastAsia="黑体"/>
          <w:sz w:val="32"/>
        </w:rPr>
        <w:t>五、一般公共预算财政拨款支出决算情况说明</w:t>
      </w:r>
    </w:p>
    <w:p w14:paraId="6D52B019">
      <w:pPr>
        <w:spacing w:line="640" w:lineRule="exact"/>
        <w:ind w:firstLine="640"/>
        <w:jc w:val="both"/>
        <w:outlineLvl w:val="3"/>
      </w:pPr>
      <w:r>
        <w:rPr>
          <w:rFonts w:ascii="楷体_GB2312" w:hAnsi="楷体_GB2312" w:eastAsia="楷体_GB2312"/>
          <w:b/>
          <w:sz w:val="32"/>
        </w:rPr>
        <w:t>（一）一般公共预算财政拨款支出决算总体情况</w:t>
      </w:r>
    </w:p>
    <w:p w14:paraId="6851148E">
      <w:pPr>
        <w:spacing w:line="580" w:lineRule="exact"/>
        <w:ind w:firstLine="640"/>
        <w:jc w:val="both"/>
      </w:pPr>
      <w:r>
        <w:rPr>
          <w:rFonts w:ascii="仿宋_GB2312" w:hAnsi="仿宋_GB2312" w:eastAsia="仿宋_GB2312"/>
          <w:b/>
          <w:sz w:val="32"/>
        </w:rPr>
        <w:t>2024年度一般公共预算财政拨款支出90.66万元，</w:t>
      </w:r>
      <w:r>
        <w:rPr>
          <w:rFonts w:ascii="仿宋_GB2312" w:hAnsi="仿宋_GB2312" w:eastAsia="仿宋_GB2312"/>
          <w:b w:val="0"/>
          <w:sz w:val="32"/>
        </w:rPr>
        <w:t>占本年支出合计的60.18%。</w:t>
      </w:r>
      <w:r>
        <w:rPr>
          <w:rFonts w:ascii="仿宋_GB2312" w:hAnsi="仿宋_GB2312" w:eastAsia="仿宋_GB2312"/>
          <w:b/>
          <w:sz w:val="32"/>
        </w:rPr>
        <w:t>与上年相比，</w:t>
      </w:r>
      <w:r>
        <w:rPr>
          <w:rFonts w:ascii="仿宋_GB2312" w:hAnsi="仿宋_GB2312" w:eastAsia="仿宋_GB2312"/>
          <w:b w:val="0"/>
          <w:sz w:val="32"/>
        </w:rPr>
        <w:t>减少2.48万元，下降2.66%，主要原因是：本年聘用人员减少，相关人员经费减少。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年初预算数54.05万元，决算数90.66万元，预决算差异率67.73%，主要原因是：一是年中追加退休人员基础绩效调整，相关退休人员经费增加；</w:t>
      </w:r>
      <w:bookmarkStart w:id="0" w:name="_GoBack"/>
      <w:bookmarkEnd w:id="0"/>
      <w:r>
        <w:rPr>
          <w:rFonts w:ascii="仿宋_GB2312" w:hAnsi="仿宋_GB2312" w:eastAsia="仿宋_GB2312"/>
          <w:b w:val="0"/>
          <w:sz w:val="32"/>
        </w:rPr>
        <w:t>二是年中追加2024年工作专项经费项目和</w:t>
      </w:r>
      <w:r>
        <w:rPr>
          <w:rFonts w:hint="eastAsia" w:ascii="仿宋_GB2312" w:hAnsi="仿宋_GB2312" w:eastAsia="仿宋_GB2312"/>
          <w:b w:val="0"/>
          <w:sz w:val="32"/>
          <w:lang w:val="en-US" w:eastAsia="zh-CN"/>
        </w:rPr>
        <w:t>信息</w:t>
      </w:r>
      <w:r>
        <w:rPr>
          <w:rFonts w:ascii="仿宋_GB2312" w:hAnsi="仿宋_GB2312" w:eastAsia="仿宋_GB2312"/>
          <w:b w:val="0"/>
          <w:sz w:val="32"/>
        </w:rPr>
        <w:t>建设项目资金（2021年项目质保金）经费，导致预决算存在差异。</w:t>
      </w:r>
    </w:p>
    <w:p w14:paraId="53B67779">
      <w:pPr>
        <w:spacing w:line="640" w:lineRule="exact"/>
        <w:ind w:firstLine="640"/>
        <w:jc w:val="both"/>
        <w:outlineLvl w:val="3"/>
      </w:pPr>
      <w:r>
        <w:rPr>
          <w:rFonts w:ascii="楷体_GB2312" w:hAnsi="楷体_GB2312" w:eastAsia="楷体_GB2312"/>
          <w:b/>
          <w:sz w:val="32"/>
        </w:rPr>
        <w:t>（二）一般公共预算财政拨款支出决算结构情况</w:t>
      </w:r>
    </w:p>
    <w:p w14:paraId="3E991BA8">
      <w:pPr>
        <w:spacing w:line="580" w:lineRule="exact"/>
        <w:ind w:firstLine="640"/>
        <w:jc w:val="both"/>
      </w:pPr>
      <w:r>
        <w:rPr>
          <w:rFonts w:ascii="仿宋_GB2312" w:hAnsi="仿宋_GB2312" w:eastAsia="仿宋_GB2312"/>
          <w:b w:val="0"/>
          <w:sz w:val="32"/>
        </w:rPr>
        <w:t>1.一般公共服务支出(类)1.48万元,占1.63%。</w:t>
      </w:r>
    </w:p>
    <w:p w14:paraId="0DD50615">
      <w:pPr>
        <w:spacing w:line="580" w:lineRule="exact"/>
        <w:ind w:firstLine="640"/>
        <w:jc w:val="both"/>
      </w:pPr>
      <w:r>
        <w:rPr>
          <w:rFonts w:ascii="仿宋_GB2312" w:hAnsi="仿宋_GB2312" w:eastAsia="仿宋_GB2312"/>
          <w:b w:val="0"/>
          <w:sz w:val="32"/>
        </w:rPr>
        <w:t>2.社会保障和就业支出(类)77.12万元,占85.07%。</w:t>
      </w:r>
    </w:p>
    <w:p w14:paraId="5F60B638">
      <w:pPr>
        <w:spacing w:line="580" w:lineRule="exact"/>
        <w:ind w:firstLine="640"/>
        <w:jc w:val="both"/>
      </w:pPr>
      <w:r>
        <w:rPr>
          <w:rFonts w:ascii="仿宋_GB2312" w:hAnsi="仿宋_GB2312" w:eastAsia="仿宋_GB2312"/>
          <w:b w:val="0"/>
          <w:sz w:val="32"/>
        </w:rPr>
        <w:t>3.其他支出(类)12.06万元,占13.30%。</w:t>
      </w:r>
    </w:p>
    <w:p w14:paraId="7EDABFC9">
      <w:pPr>
        <w:spacing w:line="640" w:lineRule="exact"/>
        <w:ind w:firstLine="640"/>
        <w:jc w:val="both"/>
        <w:outlineLvl w:val="3"/>
      </w:pPr>
      <w:r>
        <w:rPr>
          <w:rFonts w:ascii="楷体_GB2312" w:hAnsi="楷体_GB2312" w:eastAsia="楷体_GB2312"/>
          <w:b/>
          <w:sz w:val="32"/>
        </w:rPr>
        <w:t>（三）一般公共预算财政拨款支出决算具体情况</w:t>
      </w:r>
    </w:p>
    <w:p w14:paraId="572A019F">
      <w:pPr>
        <w:spacing w:line="580" w:lineRule="exact"/>
        <w:ind w:firstLine="640"/>
        <w:jc w:val="both"/>
      </w:pPr>
      <w:r>
        <w:rPr>
          <w:rFonts w:ascii="仿宋_GB2312" w:hAnsi="仿宋_GB2312" w:eastAsia="仿宋_GB2312"/>
          <w:b w:val="0"/>
          <w:sz w:val="32"/>
        </w:rPr>
        <w:t>1.一般公共服务支出(类)统战事务(款)宗教事务(项):支出决算数为1.48万元，比上年决算增加0.99万元，增长202.04%,主要原因是：本年增加人员生活补助，导致经费较上年增加。</w:t>
      </w:r>
    </w:p>
    <w:p w14:paraId="465FFB28">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2.社会保障和就业支出(类)行政事业单位养老支出(款)行政单位离退休(项):支出决算数为28.91万元，比上年决算增加5.38万元，增长22.86%,主要原因是：本年增加退休人员基础绩效奖，退休费支出增加。</w:t>
      </w:r>
    </w:p>
    <w:p w14:paraId="36046245">
      <w:pPr>
        <w:spacing w:line="580" w:lineRule="exact"/>
        <w:ind w:firstLine="640"/>
        <w:jc w:val="both"/>
      </w:pPr>
      <w:r>
        <w:rPr>
          <w:rFonts w:ascii="仿宋_GB2312" w:hAnsi="仿宋_GB2312" w:eastAsia="仿宋_GB2312"/>
          <w:b w:val="0"/>
          <w:sz w:val="32"/>
        </w:rPr>
        <w:t>3.社会保障和就业支出(类)行政事业单位养老支出(款)其他行政事业单位养老支出(项):支出决算数为26.11万元，比上年决算减少0.31万元，下降1.17%,主要原因是：本年聘用人员减少，相关人员经费减少。</w:t>
      </w:r>
    </w:p>
    <w:p w14:paraId="33ED9D48">
      <w:pPr>
        <w:spacing w:line="580" w:lineRule="exact"/>
        <w:ind w:firstLine="640"/>
        <w:jc w:val="both"/>
      </w:pPr>
      <w:r>
        <w:rPr>
          <w:rFonts w:ascii="仿宋_GB2312" w:hAnsi="仿宋_GB2312" w:eastAsia="仿宋_GB2312"/>
          <w:b w:val="0"/>
          <w:sz w:val="32"/>
        </w:rPr>
        <w:t>4.社会保障和就业支出(类)抚恤(款)死亡抚恤(项):支出决算数为22.10万元，比上年决算减少6.06万元，下降21.52%,主要原因是：本年新增死亡人员较上年减少，死亡抚恤支出较上年减少。</w:t>
      </w:r>
    </w:p>
    <w:p w14:paraId="52D47914">
      <w:pPr>
        <w:spacing w:line="580" w:lineRule="exact"/>
        <w:ind w:firstLine="640"/>
        <w:jc w:val="both"/>
      </w:pPr>
      <w:r>
        <w:rPr>
          <w:rFonts w:ascii="仿宋_GB2312" w:hAnsi="仿宋_GB2312" w:eastAsia="仿宋_GB2312"/>
          <w:b w:val="0"/>
          <w:sz w:val="32"/>
        </w:rPr>
        <w:t>5.卫生健康支出(类)行政事业单位医疗(款)行政单位医疗(项):支出决算数为0.00万元，比上年决算减少0.62万元，下降100.00%,主要原因是：因退休人员医疗保险制度改革，退休人员基本医疗不再由单位缴纳，导致经费较上年减少。</w:t>
      </w:r>
    </w:p>
    <w:p w14:paraId="222B4592">
      <w:pPr>
        <w:spacing w:line="580" w:lineRule="exact"/>
        <w:ind w:firstLine="640"/>
        <w:jc w:val="both"/>
      </w:pPr>
      <w:r>
        <w:rPr>
          <w:rFonts w:ascii="仿宋_GB2312" w:hAnsi="仿宋_GB2312" w:eastAsia="仿宋_GB2312"/>
          <w:b w:val="0"/>
          <w:sz w:val="32"/>
        </w:rPr>
        <w:t>6.卫生健康支出(类)行政事业单位医疗(款)公务员医疗补助(项):支出决算数为0.00万元，比上年决算减少0.21万元，下降100.00%,主要原因是：因退休人员医疗保险制度改革，退休人员基本医疗不再由单位缴纳，导致经费较上年减少。</w:t>
      </w:r>
    </w:p>
    <w:p w14:paraId="54031BA4">
      <w:pPr>
        <w:spacing w:line="580" w:lineRule="exact"/>
        <w:ind w:firstLine="640"/>
        <w:jc w:val="both"/>
      </w:pPr>
      <w:r>
        <w:rPr>
          <w:rFonts w:ascii="仿宋_GB2312" w:hAnsi="仿宋_GB2312" w:eastAsia="仿宋_GB2312"/>
          <w:b w:val="0"/>
          <w:sz w:val="32"/>
        </w:rPr>
        <w:t>7.其他支出(类)其他支出(款)其他支出(项):支出决算数为12.06万元，比上年决算减少1.65万元，下降12.04%,主要原因是：本年减少原深度贫困村第一书记一次性安置项目，导致经费较上年减少。</w:t>
      </w:r>
    </w:p>
    <w:p w14:paraId="2AA25CD4">
      <w:pPr>
        <w:spacing w:line="640" w:lineRule="exact"/>
        <w:ind w:firstLine="640"/>
        <w:jc w:val="both"/>
        <w:outlineLvl w:val="2"/>
      </w:pPr>
      <w:r>
        <w:rPr>
          <w:rFonts w:ascii="黑体" w:hAnsi="黑体" w:eastAsia="黑体"/>
          <w:sz w:val="32"/>
        </w:rPr>
        <w:t>六、一般公共预算财政拨款基本支出决算情况说明</w:t>
      </w:r>
    </w:p>
    <w:p w14:paraId="388E0918">
      <w:pPr>
        <w:spacing w:line="580" w:lineRule="exact"/>
        <w:ind w:firstLine="640"/>
        <w:jc w:val="both"/>
      </w:pPr>
      <w:r>
        <w:rPr>
          <w:rFonts w:ascii="仿宋_GB2312" w:hAnsi="仿宋_GB2312" w:eastAsia="仿宋_GB2312"/>
          <w:b w:val="0"/>
          <w:sz w:val="32"/>
        </w:rPr>
        <w:t>2024年度一般公共预算财政拨款基本支出78.60万元，其中：</w:t>
      </w:r>
      <w:r>
        <w:rPr>
          <w:rFonts w:ascii="仿宋_GB2312" w:hAnsi="仿宋_GB2312" w:eastAsia="仿宋_GB2312"/>
          <w:b/>
          <w:sz w:val="32"/>
        </w:rPr>
        <w:t>人员经费76.37万元，</w:t>
      </w:r>
      <w:r>
        <w:rPr>
          <w:rFonts w:ascii="仿宋_GB2312" w:hAnsi="仿宋_GB2312" w:eastAsia="仿宋_GB2312"/>
          <w:b w:val="0"/>
          <w:sz w:val="32"/>
        </w:rPr>
        <w:t>包括：退休费、抚恤金、生活补助、其他对个人和家庭的补助。</w:t>
      </w:r>
    </w:p>
    <w:p w14:paraId="20A8AC1C">
      <w:pPr>
        <w:spacing w:line="580" w:lineRule="exact"/>
        <w:ind w:firstLine="640"/>
        <w:jc w:val="both"/>
      </w:pPr>
      <w:r>
        <w:rPr>
          <w:rFonts w:ascii="仿宋_GB2312" w:hAnsi="仿宋_GB2312" w:eastAsia="仿宋_GB2312"/>
          <w:b/>
          <w:sz w:val="32"/>
        </w:rPr>
        <w:t>公用经费2.23万元，</w:t>
      </w:r>
      <w:r>
        <w:rPr>
          <w:rFonts w:ascii="仿宋_GB2312" w:hAnsi="仿宋_GB2312" w:eastAsia="仿宋_GB2312"/>
          <w:b w:val="0"/>
          <w:sz w:val="32"/>
        </w:rPr>
        <w:t>包括：委托业务费、其他商品和服务支出。</w:t>
      </w:r>
    </w:p>
    <w:p w14:paraId="1EE99DD5">
      <w:pPr>
        <w:spacing w:line="640" w:lineRule="exact"/>
        <w:ind w:firstLine="640"/>
        <w:jc w:val="both"/>
        <w:outlineLvl w:val="2"/>
      </w:pPr>
      <w:r>
        <w:rPr>
          <w:rFonts w:ascii="黑体" w:hAnsi="黑体" w:eastAsia="黑体"/>
          <w:sz w:val="32"/>
        </w:rPr>
        <w:t>七、政府性基金预算财政拨款收入支出决算情况说明</w:t>
      </w:r>
    </w:p>
    <w:p w14:paraId="1DDE4AF2">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674782B">
      <w:pPr>
        <w:spacing w:line="640" w:lineRule="exact"/>
        <w:ind w:firstLine="640"/>
        <w:jc w:val="both"/>
        <w:outlineLvl w:val="2"/>
      </w:pPr>
      <w:r>
        <w:rPr>
          <w:rFonts w:ascii="黑体" w:hAnsi="黑体" w:eastAsia="黑体"/>
          <w:sz w:val="32"/>
        </w:rPr>
        <w:t>八、国有资本经营预算财政拨款收入支出决算情况说明</w:t>
      </w:r>
    </w:p>
    <w:p w14:paraId="704D664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9A74ED6">
      <w:pPr>
        <w:spacing w:line="640" w:lineRule="exact"/>
        <w:ind w:firstLine="640"/>
        <w:jc w:val="both"/>
        <w:outlineLvl w:val="2"/>
      </w:pPr>
      <w:r>
        <w:rPr>
          <w:rFonts w:ascii="黑体" w:hAnsi="黑体" w:eastAsia="黑体"/>
          <w:sz w:val="32"/>
        </w:rPr>
        <w:t>九、财政拨款“三公”经费支出决算情况说明</w:t>
      </w:r>
    </w:p>
    <w:p w14:paraId="2333711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905417E">
      <w:pPr>
        <w:spacing w:line="580" w:lineRule="exact"/>
        <w:ind w:firstLine="640"/>
        <w:jc w:val="both"/>
      </w:pPr>
      <w:r>
        <w:rPr>
          <w:rFonts w:ascii="仿宋_GB2312" w:hAnsi="仿宋_GB2312" w:eastAsia="仿宋_GB2312"/>
          <w:b/>
          <w:sz w:val="32"/>
        </w:rPr>
        <w:t>具体情况如下：</w:t>
      </w:r>
    </w:p>
    <w:p w14:paraId="60663DE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8137BE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4933DE3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94D41A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36A7B7D1">
      <w:pPr>
        <w:spacing w:line="640" w:lineRule="exact"/>
        <w:ind w:firstLine="640"/>
        <w:jc w:val="both"/>
        <w:outlineLvl w:val="2"/>
      </w:pPr>
      <w:r>
        <w:rPr>
          <w:rFonts w:ascii="黑体" w:hAnsi="黑体" w:eastAsia="黑体"/>
          <w:sz w:val="32"/>
        </w:rPr>
        <w:t>十、其他重要事项的情况说明</w:t>
      </w:r>
    </w:p>
    <w:p w14:paraId="16E3AE53">
      <w:pPr>
        <w:spacing w:line="640" w:lineRule="exact"/>
        <w:ind w:firstLine="640"/>
        <w:jc w:val="both"/>
        <w:outlineLvl w:val="3"/>
      </w:pPr>
      <w:r>
        <w:rPr>
          <w:rFonts w:ascii="楷体_GB2312" w:hAnsi="楷体_GB2312" w:eastAsia="楷体_GB2312"/>
          <w:b/>
          <w:sz w:val="32"/>
        </w:rPr>
        <w:t>（一）机关运行经费及公用经费支出情况</w:t>
      </w:r>
    </w:p>
    <w:p w14:paraId="10E2AE44">
      <w:pPr>
        <w:spacing w:line="580" w:lineRule="exact"/>
        <w:ind w:firstLine="640"/>
        <w:jc w:val="both"/>
      </w:pPr>
      <w:r>
        <w:rPr>
          <w:rFonts w:ascii="仿宋_GB2312" w:hAnsi="仿宋_GB2312" w:eastAsia="仿宋_GB2312"/>
          <w:b w:val="0"/>
          <w:sz w:val="32"/>
        </w:rPr>
        <w:t>2024年度新疆维吾尔自治区总工会喀什地区办事处（行政单位和参照公务员法管理事业单位）机关运行经费支出2.23万元，比上年增加0.16万元，增长7.73%，主要原因是：本年增加退休干部党员教育经费，</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机关运行经费增加。</w:t>
      </w:r>
    </w:p>
    <w:p w14:paraId="72CD1048">
      <w:pPr>
        <w:spacing w:line="640" w:lineRule="exact"/>
        <w:ind w:firstLine="640"/>
        <w:jc w:val="both"/>
        <w:outlineLvl w:val="3"/>
      </w:pPr>
      <w:r>
        <w:rPr>
          <w:rFonts w:ascii="楷体_GB2312" w:hAnsi="楷体_GB2312" w:eastAsia="楷体_GB2312"/>
          <w:b/>
          <w:sz w:val="32"/>
        </w:rPr>
        <w:t>（二）政府采购情况</w:t>
      </w:r>
    </w:p>
    <w:p w14:paraId="3DAB74E6">
      <w:pPr>
        <w:spacing w:line="580" w:lineRule="exact"/>
        <w:ind w:firstLine="640"/>
        <w:jc w:val="both"/>
      </w:pPr>
      <w:r>
        <w:rPr>
          <w:rFonts w:ascii="仿宋_GB2312" w:hAnsi="仿宋_GB2312" w:eastAsia="仿宋_GB2312"/>
          <w:b w:val="0"/>
          <w:sz w:val="32"/>
        </w:rPr>
        <w:t>2024年度政府采购支出总额502.32万元，其中：政府采购货物支出405.64万元、政府采购工程支出0.00万元、政府采购服务支出96.68万元。</w:t>
      </w:r>
    </w:p>
    <w:p w14:paraId="7C4602B3">
      <w:pPr>
        <w:spacing w:line="580" w:lineRule="exact"/>
        <w:ind w:firstLine="640"/>
        <w:jc w:val="both"/>
      </w:pPr>
      <w:r>
        <w:rPr>
          <w:rFonts w:ascii="仿宋_GB2312" w:hAnsi="仿宋_GB2312" w:eastAsia="仿宋_GB2312"/>
          <w:b w:val="0"/>
          <w:sz w:val="32"/>
        </w:rPr>
        <w:t>授予中小企业合同金额290.72万元，占政府采购支出总额的57.88%，其中：授予小微企业合同金额212.19万元，占政府采购支出总额的42.24%。</w:t>
      </w:r>
    </w:p>
    <w:p w14:paraId="6F5F0647">
      <w:pPr>
        <w:spacing w:line="640" w:lineRule="exact"/>
        <w:ind w:firstLine="640"/>
        <w:jc w:val="both"/>
        <w:outlineLvl w:val="3"/>
      </w:pPr>
      <w:r>
        <w:rPr>
          <w:rFonts w:ascii="楷体_GB2312" w:hAnsi="楷体_GB2312" w:eastAsia="楷体_GB2312"/>
          <w:b/>
          <w:sz w:val="32"/>
        </w:rPr>
        <w:t>（三）国有资产占用情况说明</w:t>
      </w:r>
    </w:p>
    <w:p w14:paraId="44D9296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039433CF">
      <w:pPr>
        <w:spacing w:line="640" w:lineRule="exact"/>
        <w:ind w:firstLine="640"/>
        <w:jc w:val="both"/>
        <w:outlineLvl w:val="2"/>
      </w:pPr>
      <w:r>
        <w:rPr>
          <w:rFonts w:ascii="黑体" w:hAnsi="黑体" w:eastAsia="黑体"/>
          <w:sz w:val="32"/>
        </w:rPr>
        <w:t>十一、预算绩效的情况说明</w:t>
      </w:r>
    </w:p>
    <w:p w14:paraId="69CF0B4D">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根据预算绩效管理要求，本部门2024年度预算绩效管理形成整体支出绩效自评表1个，全年预算总额810.15万元，实际执行总额567.59万元；预算绩效评价项目5个，全年预算数716.46万元，全年执行数476.93万元。预算绩效管理取得的成效：</w:t>
      </w:r>
      <w:r>
        <w:rPr>
          <w:rFonts w:hint="eastAsia" w:ascii="仿宋_GB2312" w:hAnsi="仿宋_GB2312" w:eastAsia="仿宋_GB2312"/>
          <w:b w:val="0"/>
          <w:sz w:val="32"/>
          <w:lang w:val="en-US" w:eastAsia="zh-CN"/>
        </w:rPr>
        <w:t>一是确保资金的高效使用，切实发挥财政资金的使用效果。二是严格按照工作职责和相关文件依据，确保专款专用。三是严格控制资金的流出方向，确保资金的合规性。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一是在项目执行前未及时完成相关采购流程，导致项目执行时间滞后；二是在项目结束进行第三方审计时，未及时跟进审计进度，导致资金支付时间较晚。下一步改进措施：一是及时完成相关采购流程，确保项目能够按时执行；二是及时跟进项目审计进度，督促审计进度，及时支付资金。具体附部门整体支出绩效自评表，项目支出绩效自评表和部门评价报告。</w:t>
      </w:r>
    </w:p>
    <w:p w14:paraId="18D51970">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EDCDE5">
        <w:tblPrEx>
          <w:tblCellMar>
            <w:top w:w="0" w:type="dxa"/>
            <w:left w:w="108" w:type="dxa"/>
            <w:bottom w:w="0" w:type="dxa"/>
            <w:right w:w="108" w:type="dxa"/>
          </w:tblCellMar>
        </w:tblPrEx>
        <w:tc>
          <w:tcPr>
            <w:tcW w:w="8847" w:type="dxa"/>
            <w:gridSpan w:val="9"/>
            <w:vAlign w:val="center"/>
          </w:tcPr>
          <w:p w14:paraId="2015CAC1">
            <w:pPr>
              <w:jc w:val="center"/>
            </w:pPr>
            <w:r>
              <w:rPr>
                <w:rFonts w:ascii="宋体" w:hAnsi="宋体" w:eastAsia="宋体"/>
                <w:sz w:val="24"/>
              </w:rPr>
              <w:t>部门整体支出绩效自评表</w:t>
            </w:r>
          </w:p>
        </w:tc>
      </w:tr>
      <w:tr w14:paraId="22A4FAD1">
        <w:tblPrEx>
          <w:tblCellMar>
            <w:top w:w="0" w:type="dxa"/>
            <w:left w:w="108" w:type="dxa"/>
            <w:bottom w:w="0" w:type="dxa"/>
            <w:right w:w="108" w:type="dxa"/>
          </w:tblCellMar>
        </w:tblPrEx>
        <w:tc>
          <w:tcPr>
            <w:tcW w:w="8847" w:type="dxa"/>
            <w:gridSpan w:val="9"/>
            <w:vAlign w:val="center"/>
          </w:tcPr>
          <w:p w14:paraId="4281DC13">
            <w:pPr>
              <w:jc w:val="center"/>
            </w:pPr>
            <w:r>
              <w:rPr>
                <w:rFonts w:ascii="宋体" w:hAnsi="宋体" w:eastAsia="宋体"/>
                <w:sz w:val="24"/>
              </w:rPr>
              <w:t>（2024年度）</w:t>
            </w:r>
          </w:p>
        </w:tc>
      </w:tr>
      <w:tr w14:paraId="4D3156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0858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EA272B8">
            <w:pPr>
              <w:jc w:val="center"/>
            </w:pPr>
            <w:r>
              <w:rPr>
                <w:rFonts w:ascii="宋体" w:hAnsi="宋体" w:eastAsia="宋体"/>
                <w:sz w:val="16"/>
              </w:rPr>
              <w:t>新疆维吾尔自治区总工会喀什地区办事处</w:t>
            </w:r>
          </w:p>
        </w:tc>
      </w:tr>
      <w:tr w14:paraId="476767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2E08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7FB0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B083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6D46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E7FB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0E6A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209C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558BF">
            <w:pPr>
              <w:jc w:val="center"/>
            </w:pPr>
            <w:r>
              <w:rPr>
                <w:rFonts w:ascii="宋体" w:hAnsi="宋体" w:eastAsia="宋体"/>
                <w:sz w:val="16"/>
              </w:rPr>
              <w:t>得分</w:t>
            </w:r>
          </w:p>
        </w:tc>
      </w:tr>
      <w:tr w14:paraId="53CEF8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A59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4521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53AF9">
            <w:pPr>
              <w:jc w:val="center"/>
            </w:pPr>
            <w:r>
              <w:rPr>
                <w:rFonts w:ascii="宋体" w:hAnsi="宋体" w:eastAsia="宋体"/>
                <w:sz w:val="16"/>
              </w:rPr>
              <w:t>54.05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34404">
            <w:pPr>
              <w:jc w:val="center"/>
            </w:pPr>
            <w:r>
              <w:rPr>
                <w:rFonts w:ascii="宋体" w:hAnsi="宋体" w:eastAsia="宋体"/>
                <w:sz w:val="16"/>
              </w:rPr>
              <w:t>810.15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6028A">
            <w:pPr>
              <w:jc w:val="center"/>
            </w:pPr>
            <w:r>
              <w:rPr>
                <w:rFonts w:ascii="宋体" w:hAnsi="宋体" w:eastAsia="宋体"/>
                <w:sz w:val="16"/>
              </w:rPr>
              <w:t>567.59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E6B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9D4AD">
            <w:pPr>
              <w:jc w:val="center"/>
            </w:pPr>
            <w:r>
              <w:rPr>
                <w:rFonts w:ascii="宋体" w:hAnsi="宋体" w:eastAsia="宋体"/>
                <w:sz w:val="16"/>
              </w:rPr>
              <w:t>70.06%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B58F9">
            <w:pPr>
              <w:jc w:val="center"/>
            </w:pPr>
            <w:r>
              <w:rPr>
                <w:rFonts w:ascii="宋体" w:hAnsi="宋体" w:eastAsia="宋体"/>
                <w:sz w:val="16"/>
              </w:rPr>
              <w:t>7.01</w:t>
            </w:r>
          </w:p>
        </w:tc>
      </w:tr>
      <w:tr w14:paraId="1BFA9C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A50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06B0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9BC9A">
            <w:pPr>
              <w:jc w:val="center"/>
            </w:pPr>
            <w:r>
              <w:rPr>
                <w:rFonts w:ascii="宋体" w:hAnsi="宋体" w:eastAsia="宋体"/>
                <w:sz w:val="16"/>
              </w:rPr>
              <w:t>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A8A82">
            <w:pPr>
              <w:jc w:val="center"/>
            </w:pPr>
            <w:r>
              <w:rPr>
                <w:rFonts w:ascii="宋体" w:hAnsi="宋体" w:eastAsia="宋体"/>
                <w:sz w:val="16"/>
              </w:rPr>
              <w:t>27.55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F7C14">
            <w:pPr>
              <w:jc w:val="center"/>
            </w:pPr>
            <w:r>
              <w:rPr>
                <w:rFonts w:ascii="宋体" w:hAnsi="宋体" w:eastAsia="宋体"/>
                <w:sz w:val="16"/>
              </w:rPr>
              <w:t>24.52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351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8D57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9693A">
            <w:pPr>
              <w:jc w:val="center"/>
            </w:pPr>
            <w:r>
              <w:rPr>
                <w:rFonts w:ascii="宋体" w:hAnsi="宋体" w:eastAsia="宋体"/>
                <w:sz w:val="16"/>
              </w:rPr>
              <w:t>—</w:t>
            </w:r>
          </w:p>
        </w:tc>
      </w:tr>
      <w:tr w14:paraId="6A1DD7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CA8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0FD5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0F27E">
            <w:pPr>
              <w:jc w:val="center"/>
            </w:pPr>
            <w:r>
              <w:rPr>
                <w:rFonts w:ascii="宋体" w:hAnsi="宋体" w:eastAsia="宋体"/>
                <w:sz w:val="16"/>
              </w:rPr>
              <w:t>50.62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5407A">
            <w:pPr>
              <w:jc w:val="center"/>
            </w:pPr>
            <w:r>
              <w:rPr>
                <w:rFonts w:ascii="宋体" w:hAnsi="宋体" w:eastAsia="宋体"/>
                <w:sz w:val="16"/>
              </w:rPr>
              <w:t>66.14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159D7">
            <w:pPr>
              <w:jc w:val="center"/>
            </w:pPr>
            <w:r>
              <w:rPr>
                <w:rFonts w:ascii="宋体" w:hAnsi="宋体" w:eastAsia="宋体"/>
                <w:sz w:val="16"/>
              </w:rPr>
              <w:t>66.14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CEF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75B1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40BEF">
            <w:pPr>
              <w:jc w:val="center"/>
            </w:pPr>
            <w:r>
              <w:rPr>
                <w:rFonts w:ascii="宋体" w:hAnsi="宋体" w:eastAsia="宋体"/>
                <w:sz w:val="16"/>
              </w:rPr>
              <w:t>—</w:t>
            </w:r>
          </w:p>
        </w:tc>
      </w:tr>
      <w:tr w14:paraId="00FCD1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4DC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0C01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954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8EF8D">
            <w:pPr>
              <w:jc w:val="center"/>
            </w:pPr>
            <w:r>
              <w:rPr>
                <w:rFonts w:ascii="宋体" w:hAnsi="宋体" w:eastAsia="宋体"/>
                <w:sz w:val="16"/>
              </w:rPr>
              <w:t>716.46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D6DA7">
            <w:pPr>
              <w:jc w:val="center"/>
            </w:pPr>
            <w:r>
              <w:rPr>
                <w:rFonts w:ascii="宋体" w:hAnsi="宋体" w:eastAsia="宋体"/>
                <w:sz w:val="16"/>
              </w:rPr>
              <w:t>476.93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F03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7EEC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90411">
            <w:pPr>
              <w:jc w:val="center"/>
            </w:pPr>
            <w:r>
              <w:rPr>
                <w:rFonts w:ascii="宋体" w:hAnsi="宋体" w:eastAsia="宋体"/>
                <w:sz w:val="16"/>
              </w:rPr>
              <w:t>—</w:t>
            </w:r>
          </w:p>
        </w:tc>
      </w:tr>
      <w:tr w14:paraId="7D53F0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497F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8D4CF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20B921">
            <w:pPr>
              <w:jc w:val="center"/>
            </w:pPr>
            <w:r>
              <w:rPr>
                <w:rFonts w:ascii="宋体" w:hAnsi="宋体" w:eastAsia="宋体"/>
                <w:sz w:val="16"/>
              </w:rPr>
              <w:t>实际完成情况</w:t>
            </w:r>
          </w:p>
        </w:tc>
      </w:tr>
      <w:tr w14:paraId="388E6D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602C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920D98">
            <w:pPr>
              <w:jc w:val="both"/>
            </w:pPr>
            <w:r>
              <w:rPr>
                <w:rFonts w:ascii="宋体" w:hAnsi="宋体" w:eastAsia="宋体"/>
                <w:sz w:val="16"/>
              </w:rPr>
              <w:t>坚定弘扬劳模精神劳动精神工匠精神，开展劳模引领性宣传宣讲100场次以上，认真组织开展2024年第二届地区劳模（先进工作者）评选表彰工作，在五一前夕拟表彰劳模100名，评先树优，发挥劳模示范引领作用，汇聚广大职工建功立业磅礴力量；深化开展劳动和技能竞赛，开展各类行业性、区域性劳动和技能竞赛100场次以上；加强维护劳动领域政治安全体</w:t>
            </w:r>
            <w:r>
              <w:rPr>
                <w:rFonts w:hint="eastAsia" w:ascii="宋体" w:hAnsi="宋体"/>
                <w:sz w:val="16"/>
                <w:lang w:eastAsia="zh-CN"/>
              </w:rPr>
              <w:t>系和</w:t>
            </w:r>
            <w:r>
              <w:rPr>
                <w:rFonts w:ascii="宋体" w:hAnsi="宋体" w:eastAsia="宋体"/>
                <w:sz w:val="16"/>
              </w:rPr>
              <w:t>能力建设，建立以劳模先进为骨干的600名实名制信息员队伍，常态化开展职工队伍风险隐患专项排查工作；打造以“职工远程医疗和在职职工医疗互助保障”为核心的暖心服务品牌，推进在职职工医疗互助保障活动，参保人数达到10万人次，为新就业形态、低收入群体女职工提供“两癌”筛查及保障救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7B178">
            <w:pPr>
              <w:jc w:val="both"/>
            </w:pPr>
            <w:r>
              <w:rPr>
                <w:rFonts w:ascii="宋体" w:hAnsi="宋体" w:eastAsia="宋体"/>
                <w:sz w:val="16"/>
              </w:rPr>
              <w:t>2024年以来，地区工会按照全国总工会“559”工作部署和自 治区总工会“六大任务”等工作安排，围绕地委中心工作，真抓实干，倾情打造“工”字品牌，用情办好实事好事，全力推动新时代新征程喀什工运事业和工会工作再上新台阶。坚定弘扬劳模精神劳动精神工匠精神，开展劳模引领性宣传宣讲100场次，认真组织开展2024年第二届地区劳模（先进工作者）评选表彰工作，在五一前夕表彰劳模先进人物100名，评先树优，发挥劳模示范引领作用，汇聚广大职工建功立业磅礴力量；深化开展劳动和技能竞赛，开展各类行业性、区域性劳动和技能竞赛100场次；加强维护劳动领域政治安全体</w:t>
            </w:r>
            <w:r>
              <w:rPr>
                <w:rFonts w:hint="eastAsia" w:ascii="宋体" w:hAnsi="宋体"/>
                <w:sz w:val="16"/>
                <w:lang w:eastAsia="zh-CN"/>
              </w:rPr>
              <w:t>系和</w:t>
            </w:r>
            <w:r>
              <w:rPr>
                <w:rFonts w:ascii="宋体" w:hAnsi="宋体" w:eastAsia="宋体"/>
                <w:sz w:val="16"/>
              </w:rPr>
              <w:t>能力建设，建立以劳模先进为骨干的600名实名制信息员队伍，常态化开展职工队伍风险隐患专项排查工作；打造以“职工远程医疗和在职职工医疗互助保障”为核心的暖心服务品牌，推进在职职工医疗互助保障活动，参保人数达到11.46万人次，为新就业形态、低收入群体女职工提供“两癌”筛查及保障救助。</w:t>
            </w:r>
          </w:p>
        </w:tc>
      </w:tr>
      <w:tr w14:paraId="3241F5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38A8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D8A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1634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E706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4050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BFEC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E9C2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EEBE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22BAB">
            <w:pPr>
              <w:jc w:val="center"/>
            </w:pPr>
            <w:r>
              <w:rPr>
                <w:rFonts w:ascii="宋体" w:hAnsi="宋体" w:eastAsia="宋体"/>
                <w:sz w:val="16"/>
              </w:rPr>
              <w:t>得分</w:t>
            </w:r>
          </w:p>
        </w:tc>
      </w:tr>
      <w:tr w14:paraId="59E023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BAAE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D5BC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B1202">
            <w:pPr>
              <w:jc w:val="center"/>
            </w:pPr>
            <w:r>
              <w:rPr>
                <w:rFonts w:ascii="宋体" w:hAnsi="宋体" w:eastAsia="宋体"/>
                <w:sz w:val="16"/>
              </w:rPr>
              <w:t>劳模引领性宣传宣讲场次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39E32">
            <w:pPr>
              <w:jc w:val="center"/>
            </w:pPr>
            <w:r>
              <w:rPr>
                <w:rFonts w:ascii="宋体" w:hAnsi="宋体" w:eastAsia="宋体"/>
                <w:sz w:val="16"/>
              </w:rPr>
              <w:t>&gt;=100场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40F9C">
            <w:pPr>
              <w:jc w:val="center"/>
            </w:pPr>
            <w:r>
              <w:rPr>
                <w:rFonts w:ascii="宋体" w:hAnsi="宋体" w:eastAsia="宋体"/>
                <w:sz w:val="16"/>
              </w:rPr>
              <w:t>喀什地区工会2024年工作计划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8F1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712F6">
            <w:pPr>
              <w:jc w:val="center"/>
            </w:pPr>
            <w:r>
              <w:rPr>
                <w:rFonts w:ascii="宋体" w:hAnsi="宋体" w:eastAsia="宋体"/>
                <w:sz w:val="16"/>
              </w:rPr>
              <w:t>100场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60B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9B705">
            <w:pPr>
              <w:jc w:val="center"/>
            </w:pPr>
            <w:r>
              <w:rPr>
                <w:rFonts w:ascii="宋体" w:hAnsi="宋体" w:eastAsia="宋体"/>
                <w:sz w:val="16"/>
              </w:rPr>
              <w:t>20</w:t>
            </w:r>
          </w:p>
        </w:tc>
      </w:tr>
      <w:tr w14:paraId="6B6CE3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F0D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5E4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CCCBA">
            <w:pPr>
              <w:jc w:val="center"/>
            </w:pPr>
            <w:r>
              <w:rPr>
                <w:rFonts w:ascii="宋体" w:hAnsi="宋体" w:eastAsia="宋体"/>
                <w:sz w:val="16"/>
              </w:rPr>
              <w:t>评选表彰劳模人数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C9F52">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BAAAA">
            <w:pPr>
              <w:jc w:val="center"/>
            </w:pPr>
            <w:r>
              <w:rPr>
                <w:rFonts w:ascii="宋体" w:hAnsi="宋体" w:eastAsia="宋体"/>
                <w:sz w:val="16"/>
              </w:rPr>
              <w:t>喀什地区工会2024年工作计划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322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3EDE8">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A82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F5005">
            <w:pPr>
              <w:jc w:val="center"/>
            </w:pPr>
            <w:r>
              <w:rPr>
                <w:rFonts w:ascii="宋体" w:hAnsi="宋体" w:eastAsia="宋体"/>
                <w:sz w:val="16"/>
              </w:rPr>
              <w:t>20</w:t>
            </w:r>
          </w:p>
        </w:tc>
      </w:tr>
      <w:tr w14:paraId="258684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AD6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48B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0B55F">
            <w:pPr>
              <w:jc w:val="center"/>
            </w:pPr>
            <w:r>
              <w:rPr>
                <w:rFonts w:ascii="宋体" w:hAnsi="宋体" w:eastAsia="宋体"/>
                <w:sz w:val="16"/>
              </w:rPr>
              <w:t>举办劳动和技能竞赛场次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82F95">
            <w:pPr>
              <w:jc w:val="center"/>
            </w:pPr>
            <w:r>
              <w:rPr>
                <w:rFonts w:ascii="宋体" w:hAnsi="宋体" w:eastAsia="宋体"/>
                <w:sz w:val="16"/>
              </w:rPr>
              <w:t>&gt;=100场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BDD53">
            <w:pPr>
              <w:jc w:val="center"/>
            </w:pPr>
            <w:r>
              <w:rPr>
                <w:rFonts w:ascii="宋体" w:hAnsi="宋体" w:eastAsia="宋体"/>
                <w:sz w:val="16"/>
              </w:rPr>
              <w:t>喀什地区工会2024年工作计划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F2B8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371CA">
            <w:pPr>
              <w:jc w:val="center"/>
            </w:pPr>
            <w:r>
              <w:rPr>
                <w:rFonts w:ascii="宋体" w:hAnsi="宋体" w:eastAsia="宋体"/>
                <w:sz w:val="16"/>
              </w:rPr>
              <w:t>100场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BF9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1A276">
            <w:pPr>
              <w:jc w:val="center"/>
            </w:pPr>
            <w:r>
              <w:rPr>
                <w:rFonts w:ascii="宋体" w:hAnsi="宋体" w:eastAsia="宋体"/>
                <w:sz w:val="16"/>
              </w:rPr>
              <w:t>20</w:t>
            </w:r>
          </w:p>
        </w:tc>
      </w:tr>
      <w:tr w14:paraId="0D899B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F04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DCC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84184">
            <w:pPr>
              <w:jc w:val="center"/>
            </w:pPr>
            <w:r>
              <w:rPr>
                <w:rFonts w:ascii="宋体" w:hAnsi="宋体" w:eastAsia="宋体"/>
                <w:sz w:val="16"/>
              </w:rPr>
              <w:t>职工医疗互助参保人数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466F2">
            <w:pPr>
              <w:jc w:val="center"/>
            </w:pPr>
            <w:r>
              <w:rPr>
                <w:rFonts w:ascii="宋体" w:hAnsi="宋体" w:eastAsia="宋体"/>
                <w:sz w:val="16"/>
              </w:rPr>
              <w:t>&gt;=10万人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2247A">
            <w:pPr>
              <w:jc w:val="center"/>
            </w:pPr>
            <w:r>
              <w:rPr>
                <w:rFonts w:ascii="宋体" w:hAnsi="宋体" w:eastAsia="宋体"/>
                <w:sz w:val="16"/>
              </w:rPr>
              <w:t>喀什地区工会2024年工作要点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F0FF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7C58B">
            <w:pPr>
              <w:jc w:val="center"/>
            </w:pPr>
            <w:r>
              <w:rPr>
                <w:rFonts w:ascii="宋体" w:hAnsi="宋体" w:eastAsia="宋体"/>
                <w:sz w:val="16"/>
              </w:rPr>
              <w:t>11.46万人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EBD4E">
            <w:pPr>
              <w:jc w:val="center"/>
            </w:pPr>
            <w:r>
              <w:rPr>
                <w:rFonts w:ascii="宋体" w:hAnsi="宋体" w:eastAsia="宋体"/>
                <w:sz w:val="16"/>
              </w:rPr>
              <w:t>114.6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A8179">
            <w:pPr>
              <w:jc w:val="center"/>
            </w:pPr>
            <w:r>
              <w:rPr>
                <w:rFonts w:ascii="宋体" w:hAnsi="宋体" w:eastAsia="宋体"/>
                <w:sz w:val="16"/>
              </w:rPr>
              <w:t>20</w:t>
            </w:r>
          </w:p>
        </w:tc>
      </w:tr>
      <w:tr w14:paraId="303714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DBA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09C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4A399">
            <w:pPr>
              <w:jc w:val="center"/>
            </w:pPr>
            <w:r>
              <w:rPr>
                <w:rFonts w:ascii="宋体" w:hAnsi="宋体" w:eastAsia="宋体"/>
                <w:sz w:val="16"/>
              </w:rPr>
              <w:t>建立以劳模先进为骨干的信息员队伍人数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4D4F0">
            <w:pPr>
              <w:jc w:val="center"/>
            </w:pPr>
            <w:r>
              <w:rPr>
                <w:rFonts w:ascii="宋体" w:hAnsi="宋体" w:eastAsia="宋体"/>
                <w:sz w:val="16"/>
              </w:rPr>
              <w:t>&gt;=600人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D076">
            <w:pPr>
              <w:jc w:val="center"/>
            </w:pPr>
            <w:r>
              <w:rPr>
                <w:rFonts w:ascii="宋体" w:hAnsi="宋体" w:eastAsia="宋体"/>
                <w:sz w:val="16"/>
              </w:rPr>
              <w:t>喀什地区工会2024年工作要点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2A5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F0AA5">
            <w:pPr>
              <w:jc w:val="center"/>
            </w:pPr>
            <w:r>
              <w:rPr>
                <w:rFonts w:ascii="宋体" w:hAnsi="宋体" w:eastAsia="宋体"/>
                <w:sz w:val="16"/>
              </w:rPr>
              <w:t>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466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1E947">
            <w:pPr>
              <w:jc w:val="center"/>
            </w:pPr>
            <w:r>
              <w:rPr>
                <w:rFonts w:ascii="宋体" w:hAnsi="宋体" w:eastAsia="宋体"/>
                <w:sz w:val="16"/>
              </w:rPr>
              <w:t>10</w:t>
            </w:r>
          </w:p>
        </w:tc>
      </w:tr>
    </w:tbl>
    <w:p w14:paraId="06261A04">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1E2E381">
        <w:tblPrEx>
          <w:tblCellMar>
            <w:top w:w="0" w:type="dxa"/>
            <w:left w:w="108" w:type="dxa"/>
            <w:bottom w:w="0" w:type="dxa"/>
            <w:right w:w="108" w:type="dxa"/>
          </w:tblCellMar>
        </w:tblPrEx>
        <w:tc>
          <w:tcPr>
            <w:tcW w:w="8848" w:type="dxa"/>
            <w:gridSpan w:val="14"/>
            <w:vAlign w:val="center"/>
          </w:tcPr>
          <w:p w14:paraId="2DDD08C4">
            <w:pPr>
              <w:jc w:val="center"/>
            </w:pPr>
            <w:r>
              <w:rPr>
                <w:rFonts w:ascii="宋体" w:hAnsi="宋体" w:eastAsia="宋体"/>
                <w:sz w:val="24"/>
              </w:rPr>
              <w:t>项目支出绩效自评表</w:t>
            </w:r>
          </w:p>
        </w:tc>
      </w:tr>
      <w:tr w14:paraId="558E5274">
        <w:tblPrEx>
          <w:tblCellMar>
            <w:top w:w="0" w:type="dxa"/>
            <w:left w:w="108" w:type="dxa"/>
            <w:bottom w:w="0" w:type="dxa"/>
            <w:right w:w="108" w:type="dxa"/>
          </w:tblCellMar>
        </w:tblPrEx>
        <w:tc>
          <w:tcPr>
            <w:tcW w:w="8848" w:type="dxa"/>
            <w:gridSpan w:val="14"/>
            <w:vAlign w:val="center"/>
          </w:tcPr>
          <w:p w14:paraId="05B72C3A">
            <w:pPr>
              <w:jc w:val="center"/>
            </w:pPr>
            <w:r>
              <w:rPr>
                <w:rFonts w:ascii="宋体" w:hAnsi="宋体" w:eastAsia="宋体"/>
                <w:sz w:val="24"/>
              </w:rPr>
              <w:t>(2024年度)</w:t>
            </w:r>
          </w:p>
        </w:tc>
      </w:tr>
      <w:tr w14:paraId="7B4F79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D7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320400">
            <w:pPr>
              <w:jc w:val="center"/>
            </w:pPr>
            <w:r>
              <w:rPr>
                <w:rFonts w:ascii="宋体" w:hAnsi="宋体" w:eastAsia="宋体"/>
                <w:sz w:val="16"/>
              </w:rPr>
              <w:t>2024年喀什地区护路员关爱慰问项目</w:t>
            </w:r>
          </w:p>
        </w:tc>
      </w:tr>
      <w:tr w14:paraId="17A95C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DB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9F7C44">
            <w:pPr>
              <w:jc w:val="center"/>
            </w:pPr>
            <w:r>
              <w:rPr>
                <w:rFonts w:ascii="宋体" w:hAnsi="宋体" w:eastAsia="宋体"/>
                <w:sz w:val="16"/>
              </w:rPr>
              <w:t>新疆维吾尔自治区总工会喀什地区办事处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DB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A4A850">
            <w:pPr>
              <w:jc w:val="center"/>
            </w:pPr>
            <w:r>
              <w:rPr>
                <w:rFonts w:ascii="宋体" w:hAnsi="宋体" w:eastAsia="宋体"/>
                <w:sz w:val="16"/>
              </w:rPr>
              <w:t>新疆维吾尔自治区总工会喀什地区办事处</w:t>
            </w:r>
          </w:p>
        </w:tc>
      </w:tr>
      <w:tr w14:paraId="2F056E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C84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516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25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50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C61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722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95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7A26">
            <w:pPr>
              <w:jc w:val="center"/>
            </w:pPr>
            <w:r>
              <w:rPr>
                <w:rFonts w:ascii="宋体" w:hAnsi="宋体" w:eastAsia="宋体"/>
                <w:sz w:val="16"/>
              </w:rPr>
              <w:t>得分</w:t>
            </w:r>
          </w:p>
        </w:tc>
      </w:tr>
      <w:tr w14:paraId="558EB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214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11B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EF02C">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DD12">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6F420">
            <w:pPr>
              <w:jc w:val="center"/>
            </w:pPr>
            <w:r>
              <w:rPr>
                <w:rFonts w:ascii="宋体" w:hAnsi="宋体" w:eastAsia="宋体"/>
                <w:sz w:val="16"/>
              </w:rPr>
              <w:t>333.34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352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40F21">
            <w:pPr>
              <w:jc w:val="center"/>
            </w:pPr>
            <w:r>
              <w:rPr>
                <w:rFonts w:ascii="宋体" w:hAnsi="宋体" w:eastAsia="宋体"/>
                <w:sz w:val="16"/>
              </w:rPr>
              <w:t>60.6%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81C5">
            <w:pPr>
              <w:jc w:val="center"/>
            </w:pPr>
            <w:r>
              <w:rPr>
                <w:rFonts w:ascii="宋体" w:hAnsi="宋体" w:eastAsia="宋体"/>
                <w:sz w:val="16"/>
              </w:rPr>
              <w:t>0.15分</w:t>
            </w:r>
          </w:p>
        </w:tc>
      </w:tr>
      <w:tr w14:paraId="52789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C2D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996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947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52E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2C9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1B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268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87EA">
            <w:pPr>
              <w:jc w:val="center"/>
            </w:pPr>
            <w:r>
              <w:rPr>
                <w:rFonts w:ascii="宋体" w:hAnsi="宋体" w:eastAsia="宋体"/>
                <w:sz w:val="16"/>
              </w:rPr>
              <w:t>—</w:t>
            </w:r>
          </w:p>
        </w:tc>
      </w:tr>
      <w:tr w14:paraId="0A4F6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B61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E82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92488">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5C4F">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091CD">
            <w:pPr>
              <w:jc w:val="center"/>
            </w:pPr>
            <w:r>
              <w:rPr>
                <w:rFonts w:ascii="宋体" w:hAnsi="宋体" w:eastAsia="宋体"/>
                <w:sz w:val="16"/>
              </w:rPr>
              <w:t>333.34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F10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B17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D4B2">
            <w:pPr>
              <w:jc w:val="center"/>
            </w:pPr>
            <w:r>
              <w:rPr>
                <w:rFonts w:ascii="宋体" w:hAnsi="宋体" w:eastAsia="宋体"/>
                <w:sz w:val="16"/>
              </w:rPr>
              <w:t>—</w:t>
            </w:r>
          </w:p>
        </w:tc>
      </w:tr>
      <w:tr w14:paraId="51AD07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35B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6D8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404BBC">
            <w:pPr>
              <w:jc w:val="center"/>
            </w:pPr>
            <w:r>
              <w:rPr>
                <w:rFonts w:ascii="宋体" w:hAnsi="宋体" w:eastAsia="宋体"/>
                <w:sz w:val="16"/>
              </w:rPr>
              <w:t>实际完成情况</w:t>
            </w:r>
          </w:p>
        </w:tc>
      </w:tr>
      <w:tr w14:paraId="60B42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E03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8DA1D5">
            <w:pPr>
              <w:jc w:val="both"/>
            </w:pPr>
            <w:r>
              <w:rPr>
                <w:rFonts w:ascii="宋体" w:hAnsi="宋体" w:eastAsia="宋体"/>
                <w:sz w:val="16"/>
              </w:rPr>
              <w:t>新疆维吾尔自治区总工会喀什地区办事处（本级）2024年喀什地区护路员关爱慰问项目550万元，用于开展4次慰问活动，对1.1万名护路员进行开展常态化送温暖走访慰问，及时摸排收集喀什地区护路员的困难诉求，解</w:t>
            </w:r>
            <w:r>
              <w:rPr>
                <w:rFonts w:hint="eastAsia" w:ascii="宋体" w:hAnsi="宋体"/>
                <w:sz w:val="16"/>
                <w:lang w:val="en-US" w:eastAsia="zh-CN"/>
              </w:rPr>
              <w:t>决</w:t>
            </w:r>
            <w:r>
              <w:rPr>
                <w:rFonts w:ascii="宋体" w:hAnsi="宋体" w:eastAsia="宋体"/>
                <w:sz w:val="16"/>
              </w:rPr>
              <w:t>内心矛盾，解决生活实际需求。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45AE8E">
            <w:pPr>
              <w:jc w:val="both"/>
            </w:pPr>
            <w:r>
              <w:rPr>
                <w:rFonts w:ascii="宋体" w:hAnsi="宋体" w:eastAsia="宋体"/>
                <w:sz w:val="16"/>
              </w:rPr>
              <w:t>开展了4次慰问活动，对1.1万名护路员进行开展常态化送温暖走访慰问，支出333.34万元，了解护路员的困难诉求，解</w:t>
            </w:r>
            <w:r>
              <w:rPr>
                <w:rFonts w:hint="eastAsia" w:ascii="宋体" w:hAnsi="宋体"/>
                <w:sz w:val="16"/>
                <w:lang w:val="en-US" w:eastAsia="zh-CN"/>
              </w:rPr>
              <w:t>决</w:t>
            </w:r>
            <w:r>
              <w:rPr>
                <w:rFonts w:ascii="宋体" w:hAnsi="宋体" w:eastAsia="宋体"/>
                <w:sz w:val="16"/>
              </w:rPr>
              <w:t>内心矛盾，解决生活实际需求。</w:t>
            </w:r>
          </w:p>
        </w:tc>
      </w:tr>
      <w:tr w14:paraId="39D5DE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30B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6B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C0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F0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A7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F5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68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B4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50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8B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67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EA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AB88F">
            <w:pPr>
              <w:jc w:val="center"/>
            </w:pPr>
            <w:r>
              <w:rPr>
                <w:rFonts w:ascii="宋体" w:hAnsi="宋体" w:eastAsia="宋体"/>
                <w:sz w:val="16"/>
              </w:rPr>
              <w:t>偏差原因分析及改进措施</w:t>
            </w:r>
          </w:p>
        </w:tc>
      </w:tr>
      <w:tr w14:paraId="46FF01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A1C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44D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265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2EF6">
            <w:pPr>
              <w:jc w:val="center"/>
            </w:pPr>
            <w:r>
              <w:rPr>
                <w:rFonts w:ascii="宋体" w:hAnsi="宋体" w:eastAsia="宋体"/>
                <w:sz w:val="16"/>
              </w:rPr>
              <w:t>护路员慰问活动举办场次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CBD5">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1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163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6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6F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EA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966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77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5364">
            <w:pPr>
              <w:jc w:val="center"/>
            </w:pPr>
          </w:p>
        </w:tc>
      </w:tr>
      <w:tr w14:paraId="5F736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A9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B0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F5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DFB6">
            <w:pPr>
              <w:jc w:val="center"/>
            </w:pPr>
            <w:r>
              <w:rPr>
                <w:rFonts w:ascii="宋体" w:hAnsi="宋体" w:eastAsia="宋体"/>
                <w:sz w:val="16"/>
              </w:rPr>
              <w:t>护路员慰问人数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B5B7">
            <w:pPr>
              <w:jc w:val="center"/>
            </w:pPr>
            <w:r>
              <w:rPr>
                <w:rFonts w:ascii="宋体" w:hAnsi="宋体" w:eastAsia="宋体"/>
                <w:sz w:val="16"/>
              </w:rPr>
              <w:t>&gt;=11000人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A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88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23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99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CE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4E13">
            <w:pPr>
              <w:jc w:val="center"/>
            </w:pPr>
            <w:r>
              <w:rPr>
                <w:rFonts w:ascii="宋体" w:hAnsi="宋体" w:eastAsia="宋体"/>
                <w:sz w:val="16"/>
              </w:rPr>
              <w:t>=11000人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93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5C110">
            <w:pPr>
              <w:jc w:val="center"/>
            </w:pPr>
          </w:p>
        </w:tc>
      </w:tr>
      <w:tr w14:paraId="68223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D7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A3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9C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A4CC">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5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0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7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7D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4A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DA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E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D9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E77D">
            <w:pPr>
              <w:jc w:val="center"/>
            </w:pPr>
          </w:p>
        </w:tc>
      </w:tr>
      <w:tr w14:paraId="21894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67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20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79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1F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920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75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251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0F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3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5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0994">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10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646E3">
            <w:pPr>
              <w:jc w:val="center"/>
            </w:pPr>
          </w:p>
        </w:tc>
      </w:tr>
      <w:tr w14:paraId="303BD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BB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44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21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A4D4">
            <w:pPr>
              <w:jc w:val="center"/>
            </w:pPr>
            <w:r>
              <w:rPr>
                <w:rFonts w:ascii="宋体" w:hAnsi="宋体" w:eastAsia="宋体"/>
                <w:sz w:val="16"/>
              </w:rPr>
              <w:t>护路员关爱慰问人均成本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7E9C2">
            <w:pPr>
              <w:jc w:val="center"/>
            </w:pPr>
            <w:r>
              <w:rPr>
                <w:rFonts w:ascii="宋体" w:hAnsi="宋体" w:eastAsia="宋体"/>
                <w:sz w:val="16"/>
              </w:rPr>
              <w:t>&lt;=500元/人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A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EB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12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C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3C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273F">
            <w:pPr>
              <w:jc w:val="center"/>
            </w:pPr>
            <w:r>
              <w:rPr>
                <w:rFonts w:ascii="宋体" w:hAnsi="宋体" w:eastAsia="宋体"/>
                <w:sz w:val="16"/>
              </w:rPr>
              <w:t>=303元/人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9459">
            <w:pPr>
              <w:jc w:val="center"/>
            </w:pPr>
            <w:r>
              <w:rPr>
                <w:rFonts w:ascii="宋体" w:hAnsi="宋体" w:eastAsia="宋体"/>
                <w:sz w:val="16"/>
              </w:rPr>
              <w:t>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92C0">
            <w:pPr>
              <w:jc w:val="center"/>
            </w:pPr>
            <w:r>
              <w:rPr>
                <w:rFonts w:ascii="宋体" w:hAnsi="宋体" w:eastAsia="宋体"/>
                <w:sz w:val="16"/>
              </w:rPr>
              <w:t>偏差原因：因采购流程较复杂，采购已完成并进行发放，资金未完全支付。改进措施：今后需提前进行相关采购流程，避免到年底资金支付不及时。</w:t>
            </w:r>
          </w:p>
        </w:tc>
      </w:tr>
      <w:tr w14:paraId="0415C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CA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F4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B9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13EE">
            <w:pPr>
              <w:jc w:val="center"/>
            </w:pPr>
            <w:r>
              <w:rPr>
                <w:rFonts w:ascii="宋体" w:hAnsi="宋体" w:eastAsia="宋体"/>
                <w:sz w:val="16"/>
              </w:rPr>
              <w:t>改善护路员生活条件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986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2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D9F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9E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42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61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436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B2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1B9A6">
            <w:pPr>
              <w:jc w:val="center"/>
            </w:pPr>
          </w:p>
        </w:tc>
      </w:tr>
      <w:tr w14:paraId="01B7D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EA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72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94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23D0">
            <w:pPr>
              <w:jc w:val="center"/>
            </w:pPr>
            <w:r>
              <w:rPr>
                <w:rFonts w:ascii="宋体" w:hAnsi="宋体" w:eastAsia="宋体"/>
                <w:sz w:val="16"/>
              </w:rPr>
              <w:t>受益护路员满意度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485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D0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BF4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E6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82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0D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9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5C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04690">
            <w:pPr>
              <w:jc w:val="center"/>
            </w:pPr>
            <w:r>
              <w:rPr>
                <w:rFonts w:ascii="宋体" w:hAnsi="宋体" w:eastAsia="宋体"/>
                <w:sz w:val="16"/>
              </w:rPr>
              <w:t>偏差原因：在确定指标完成值时，设置不准确。改进措施：在今后设置目标值时要精准。</w:t>
            </w:r>
          </w:p>
        </w:tc>
      </w:tr>
      <w:tr w14:paraId="319DF2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A1E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2D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463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736B">
            <w:pPr>
              <w:jc w:val="center"/>
            </w:pPr>
            <w:r>
              <w:rPr>
                <w:rFonts w:ascii="宋体" w:hAnsi="宋体" w:eastAsia="宋体"/>
                <w:sz w:val="16"/>
              </w:rPr>
              <w:t>70.45分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42BEB7"/>
        </w:tc>
      </w:tr>
    </w:tbl>
    <w:p w14:paraId="726680FE">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55C6AA9">
        <w:tblPrEx>
          <w:tblCellMar>
            <w:top w:w="0" w:type="dxa"/>
            <w:left w:w="108" w:type="dxa"/>
            <w:bottom w:w="0" w:type="dxa"/>
            <w:right w:w="108" w:type="dxa"/>
          </w:tblCellMar>
        </w:tblPrEx>
        <w:tc>
          <w:tcPr>
            <w:tcW w:w="8848" w:type="dxa"/>
            <w:gridSpan w:val="14"/>
            <w:vAlign w:val="center"/>
          </w:tcPr>
          <w:p w14:paraId="38EE9752">
            <w:pPr>
              <w:jc w:val="center"/>
            </w:pPr>
            <w:r>
              <w:rPr>
                <w:rFonts w:ascii="宋体" w:hAnsi="宋体" w:eastAsia="宋体"/>
                <w:sz w:val="24"/>
              </w:rPr>
              <w:t>项目支出绩效自评表</w:t>
            </w:r>
          </w:p>
        </w:tc>
      </w:tr>
      <w:tr w14:paraId="6E01FB37">
        <w:tblPrEx>
          <w:tblCellMar>
            <w:top w:w="0" w:type="dxa"/>
            <w:left w:w="108" w:type="dxa"/>
            <w:bottom w:w="0" w:type="dxa"/>
            <w:right w:w="108" w:type="dxa"/>
          </w:tblCellMar>
        </w:tblPrEx>
        <w:tc>
          <w:tcPr>
            <w:tcW w:w="8848" w:type="dxa"/>
            <w:gridSpan w:val="14"/>
            <w:vAlign w:val="center"/>
          </w:tcPr>
          <w:p w14:paraId="4AB15242">
            <w:pPr>
              <w:jc w:val="center"/>
            </w:pPr>
            <w:r>
              <w:rPr>
                <w:rFonts w:ascii="宋体" w:hAnsi="宋体" w:eastAsia="宋体"/>
                <w:sz w:val="24"/>
              </w:rPr>
              <w:t>(2024年度)</w:t>
            </w:r>
          </w:p>
        </w:tc>
      </w:tr>
      <w:tr w14:paraId="3A3F51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5E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D74786">
            <w:pPr>
              <w:jc w:val="center"/>
            </w:pPr>
            <w:r>
              <w:rPr>
                <w:rFonts w:ascii="宋体" w:hAnsi="宋体" w:eastAsia="宋体"/>
                <w:sz w:val="16"/>
              </w:rPr>
              <w:t>2024年度喀什地区工会其他运转类支出项目</w:t>
            </w:r>
          </w:p>
        </w:tc>
      </w:tr>
      <w:tr w14:paraId="770F8A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22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0FE62">
            <w:pPr>
              <w:jc w:val="center"/>
            </w:pPr>
            <w:r>
              <w:rPr>
                <w:rFonts w:ascii="宋体" w:hAnsi="宋体" w:eastAsia="宋体"/>
                <w:sz w:val="16"/>
              </w:rPr>
              <w:t>新疆维吾尔自治区总工会喀什地区办事处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09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29A0A5">
            <w:pPr>
              <w:jc w:val="center"/>
            </w:pPr>
            <w:r>
              <w:rPr>
                <w:rFonts w:ascii="宋体" w:hAnsi="宋体" w:eastAsia="宋体"/>
                <w:sz w:val="16"/>
              </w:rPr>
              <w:t>新疆维吾尔自治区总工会喀什地区办事处</w:t>
            </w:r>
          </w:p>
        </w:tc>
      </w:tr>
      <w:tr w14:paraId="4D2DE6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B60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9D6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9E9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6C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E5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249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B0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4E2B">
            <w:pPr>
              <w:jc w:val="center"/>
            </w:pPr>
            <w:r>
              <w:rPr>
                <w:rFonts w:ascii="宋体" w:hAnsi="宋体" w:eastAsia="宋体"/>
                <w:sz w:val="16"/>
              </w:rPr>
              <w:t>得分</w:t>
            </w:r>
          </w:p>
        </w:tc>
      </w:tr>
      <w:tr w14:paraId="66D56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868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62B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FC258">
            <w:pPr>
              <w:jc w:val="center"/>
            </w:pPr>
            <w:r>
              <w:rPr>
                <w:rFonts w:ascii="宋体" w:hAnsi="宋体" w:eastAsia="宋体"/>
                <w:sz w:val="16"/>
              </w:rPr>
              <w:t>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18B6B">
            <w:pPr>
              <w:jc w:val="center"/>
            </w:pPr>
            <w:r>
              <w:rPr>
                <w:rFonts w:ascii="宋体" w:hAnsi="宋体" w:eastAsia="宋体"/>
                <w:sz w:val="16"/>
              </w:rPr>
              <w:t>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322D">
            <w:pPr>
              <w:jc w:val="center"/>
            </w:pPr>
            <w:r>
              <w:rPr>
                <w:rFonts w:ascii="宋体" w:hAnsi="宋体" w:eastAsia="宋体"/>
                <w:sz w:val="16"/>
              </w:rPr>
              <w:t>38.38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A4A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6517">
            <w:pPr>
              <w:jc w:val="center"/>
            </w:pPr>
            <w:r>
              <w:rPr>
                <w:rFonts w:ascii="宋体" w:hAnsi="宋体" w:eastAsia="宋体"/>
                <w:sz w:val="16"/>
              </w:rPr>
              <w:t>76.6%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8393">
            <w:pPr>
              <w:jc w:val="center"/>
            </w:pPr>
            <w:r>
              <w:rPr>
                <w:rFonts w:ascii="宋体" w:hAnsi="宋体" w:eastAsia="宋体"/>
                <w:sz w:val="16"/>
              </w:rPr>
              <w:t>4.15分</w:t>
            </w:r>
          </w:p>
        </w:tc>
      </w:tr>
      <w:tr w14:paraId="0C51C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93D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07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86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99A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24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6C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96C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DB59">
            <w:pPr>
              <w:jc w:val="center"/>
            </w:pPr>
            <w:r>
              <w:rPr>
                <w:rFonts w:ascii="宋体" w:hAnsi="宋体" w:eastAsia="宋体"/>
                <w:sz w:val="16"/>
              </w:rPr>
              <w:t>—</w:t>
            </w:r>
          </w:p>
        </w:tc>
      </w:tr>
      <w:tr w14:paraId="06DBA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922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2BC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A94E5">
            <w:pPr>
              <w:jc w:val="center"/>
            </w:pPr>
            <w:r>
              <w:rPr>
                <w:rFonts w:ascii="宋体" w:hAnsi="宋体" w:eastAsia="宋体"/>
                <w:sz w:val="16"/>
              </w:rPr>
              <w:t>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4099A">
            <w:pPr>
              <w:jc w:val="center"/>
            </w:pPr>
            <w:r>
              <w:rPr>
                <w:rFonts w:ascii="宋体" w:hAnsi="宋体" w:eastAsia="宋体"/>
                <w:sz w:val="16"/>
              </w:rPr>
              <w:t>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5541A">
            <w:pPr>
              <w:jc w:val="center"/>
            </w:pPr>
            <w:r>
              <w:rPr>
                <w:rFonts w:ascii="宋体" w:hAnsi="宋体" w:eastAsia="宋体"/>
                <w:sz w:val="16"/>
              </w:rPr>
              <w:t>38.38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BBB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A3E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7F81">
            <w:pPr>
              <w:jc w:val="center"/>
            </w:pPr>
            <w:r>
              <w:rPr>
                <w:rFonts w:ascii="宋体" w:hAnsi="宋体" w:eastAsia="宋体"/>
                <w:sz w:val="16"/>
              </w:rPr>
              <w:t>—</w:t>
            </w:r>
          </w:p>
        </w:tc>
      </w:tr>
      <w:tr w14:paraId="462A0C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251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B4B5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E0CAA4">
            <w:pPr>
              <w:jc w:val="center"/>
            </w:pPr>
            <w:r>
              <w:rPr>
                <w:rFonts w:ascii="宋体" w:hAnsi="宋体" w:eastAsia="宋体"/>
                <w:sz w:val="16"/>
              </w:rPr>
              <w:t>实际完成情况</w:t>
            </w:r>
          </w:p>
        </w:tc>
      </w:tr>
      <w:tr w14:paraId="0F10B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543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E8459">
            <w:pPr>
              <w:jc w:val="both"/>
            </w:pPr>
            <w:r>
              <w:rPr>
                <w:rFonts w:ascii="宋体" w:hAnsi="宋体" w:eastAsia="宋体"/>
                <w:sz w:val="16"/>
              </w:rPr>
              <w:t>新疆维吾尔自治区总工会喀什地区办事处（本级）2024年度喀什地区工会其他运转类支出项目50.11万元，用于其他运转类支出20.16万元，活动</w:t>
            </w:r>
            <w:r>
              <w:rPr>
                <w:rFonts w:hint="eastAsia" w:ascii="宋体" w:hAnsi="宋体"/>
                <w:sz w:val="16"/>
                <w:lang w:val="en-US" w:eastAsia="zh-CN"/>
              </w:rPr>
              <w:t>经费</w:t>
            </w:r>
            <w:r>
              <w:rPr>
                <w:rFonts w:ascii="宋体" w:hAnsi="宋体" w:eastAsia="宋体"/>
                <w:sz w:val="16"/>
              </w:rPr>
              <w:t>1.15万元，工会大楼外墙改造28.8万元，改善职工工作环境，提升职工满意度。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5DD121">
            <w:pPr>
              <w:jc w:val="both"/>
            </w:pPr>
            <w:r>
              <w:rPr>
                <w:rFonts w:ascii="宋体" w:hAnsi="宋体" w:eastAsia="宋体"/>
                <w:sz w:val="16"/>
              </w:rPr>
              <w:t>本年共开展活动2次，活动和村里共同开展，由村里支付相关费用，</w:t>
            </w:r>
            <w:r>
              <w:rPr>
                <w:rFonts w:hint="eastAsia" w:ascii="宋体" w:hAnsi="宋体"/>
                <w:sz w:val="16"/>
                <w:lang w:eastAsia="zh-CN"/>
              </w:rPr>
              <w:t>本部门</w:t>
            </w:r>
            <w:r>
              <w:rPr>
                <w:rFonts w:ascii="宋体" w:hAnsi="宋体" w:eastAsia="宋体"/>
                <w:sz w:val="16"/>
              </w:rPr>
              <w:t>未支付资金，活动的开展增进了各民族间情感的交流，拉近了彼此间的距离；本年根据工会大楼外墙瓷砖脱落的情况，进行了外墙改造，改善了职工的工作环境，提升了职工满意度；</w:t>
            </w:r>
            <w:r>
              <w:rPr>
                <w:rFonts w:hint="eastAsia" w:ascii="宋体" w:hAnsi="宋体"/>
                <w:sz w:val="16"/>
                <w:lang w:eastAsia="zh-CN"/>
              </w:rPr>
              <w:t>运转</w:t>
            </w:r>
            <w:r>
              <w:rPr>
                <w:rFonts w:ascii="宋体" w:hAnsi="宋体" w:eastAsia="宋体"/>
                <w:sz w:val="16"/>
              </w:rPr>
              <w:t>支出保障了14名在职人员日常支出，提升了工作效率。</w:t>
            </w:r>
          </w:p>
        </w:tc>
      </w:tr>
      <w:tr w14:paraId="347C3C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829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D5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55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5F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C44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89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B3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07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22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D9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6F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5E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22B34">
            <w:pPr>
              <w:jc w:val="center"/>
            </w:pPr>
            <w:r>
              <w:rPr>
                <w:rFonts w:ascii="宋体" w:hAnsi="宋体" w:eastAsia="宋体"/>
                <w:sz w:val="16"/>
              </w:rPr>
              <w:t>偏差原因分析及改进措施</w:t>
            </w:r>
          </w:p>
        </w:tc>
      </w:tr>
      <w:tr w14:paraId="55EF23C4">
        <w:tblPrEx>
          <w:tblCellMar>
            <w:top w:w="0" w:type="dxa"/>
            <w:left w:w="108" w:type="dxa"/>
            <w:bottom w:w="0" w:type="dxa"/>
            <w:right w:w="108" w:type="dxa"/>
          </w:tblCellMar>
        </w:tblPrEx>
        <w:trPr>
          <w:trHeight w:val="1298"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FE4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C17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0B7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8C16">
            <w:pPr>
              <w:jc w:val="center"/>
            </w:pPr>
            <w:r>
              <w:rPr>
                <w:rFonts w:ascii="宋体" w:hAnsi="宋体" w:eastAsia="宋体"/>
                <w:sz w:val="16"/>
              </w:rPr>
              <w:t>活动举办场次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E740">
            <w:pPr>
              <w:jc w:val="center"/>
            </w:pPr>
            <w:r>
              <w:rPr>
                <w:rFonts w:ascii="宋体" w:hAnsi="宋体" w:eastAsia="宋体"/>
                <w:sz w:val="16"/>
              </w:rPr>
              <w:t>&gt;=2场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1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C07F">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E3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0E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29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BCEC">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3A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B5EDC">
            <w:pPr>
              <w:jc w:val="center"/>
            </w:pPr>
          </w:p>
        </w:tc>
      </w:tr>
      <w:tr w14:paraId="29A9D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81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32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6E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9D04">
            <w:pPr>
              <w:jc w:val="center"/>
            </w:pPr>
            <w:r>
              <w:rPr>
                <w:rFonts w:ascii="宋体" w:hAnsi="宋体" w:eastAsia="宋体"/>
                <w:sz w:val="16"/>
              </w:rPr>
              <w:t>工会大楼外墙维修改造次数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4A1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0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4C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8B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31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8E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7B8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34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C6C45">
            <w:pPr>
              <w:jc w:val="center"/>
            </w:pPr>
          </w:p>
        </w:tc>
      </w:tr>
      <w:tr w14:paraId="5D443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4E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F7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3B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793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C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D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3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63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D5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01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E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D2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8BB48">
            <w:pPr>
              <w:jc w:val="center"/>
            </w:pPr>
          </w:p>
        </w:tc>
      </w:tr>
      <w:tr w14:paraId="18E4C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334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A0F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3E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A7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5D8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4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2F8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40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C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95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43B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FD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B85C5">
            <w:pPr>
              <w:jc w:val="center"/>
            </w:pPr>
          </w:p>
        </w:tc>
      </w:tr>
      <w:tr w14:paraId="32928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570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E4B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F09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C56B">
            <w:pPr>
              <w:jc w:val="center"/>
            </w:pPr>
            <w:r>
              <w:rPr>
                <w:rFonts w:ascii="宋体" w:hAnsi="宋体" w:eastAsia="宋体"/>
                <w:sz w:val="16"/>
              </w:rPr>
              <w:t>其他运转类支出成本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B8CB">
            <w:pPr>
              <w:jc w:val="center"/>
            </w:pPr>
            <w:r>
              <w:rPr>
                <w:rFonts w:ascii="宋体" w:hAnsi="宋体" w:eastAsia="宋体"/>
                <w:sz w:val="16"/>
              </w:rPr>
              <w:t>&lt;=20.16万元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C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8BB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45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50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35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F773">
            <w:pPr>
              <w:jc w:val="center"/>
            </w:pPr>
            <w:r>
              <w:rPr>
                <w:rFonts w:ascii="宋体" w:hAnsi="宋体" w:eastAsia="宋体"/>
                <w:sz w:val="16"/>
              </w:rPr>
              <w:t>=10.28万元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B4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CE304">
            <w:pPr>
              <w:jc w:val="center"/>
            </w:pPr>
            <w:r>
              <w:rPr>
                <w:rFonts w:ascii="宋体" w:hAnsi="宋体" w:eastAsia="宋体"/>
                <w:sz w:val="16"/>
              </w:rPr>
              <w:t>偏差原因：预算不精准，高估了</w:t>
            </w:r>
            <w:r>
              <w:rPr>
                <w:rFonts w:hint="eastAsia" w:ascii="宋体" w:hAnsi="宋体"/>
                <w:sz w:val="16"/>
                <w:lang w:eastAsia="zh-CN"/>
              </w:rPr>
              <w:t>本部门</w:t>
            </w:r>
            <w:r>
              <w:rPr>
                <w:rFonts w:ascii="宋体" w:hAnsi="宋体" w:eastAsia="宋体"/>
                <w:sz w:val="16"/>
              </w:rPr>
              <w:t>运转类支出；改进措施：今后按照实际工作人员进行精准预算。</w:t>
            </w:r>
          </w:p>
        </w:tc>
      </w:tr>
      <w:tr w14:paraId="722D6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543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0C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12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B54A">
            <w:pPr>
              <w:jc w:val="center"/>
            </w:pPr>
            <w:r>
              <w:rPr>
                <w:rFonts w:ascii="宋体" w:hAnsi="宋体" w:eastAsia="宋体"/>
                <w:sz w:val="16"/>
              </w:rPr>
              <w:t>活动支出成本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FA1C">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00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9A2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F4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0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2A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368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53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5FFE">
            <w:pPr>
              <w:jc w:val="center"/>
            </w:pPr>
            <w:r>
              <w:rPr>
                <w:rFonts w:ascii="宋体" w:hAnsi="宋体" w:eastAsia="宋体"/>
                <w:sz w:val="16"/>
              </w:rPr>
              <w:t>偏差原因：活动在</w:t>
            </w:r>
            <w:r>
              <w:rPr>
                <w:rFonts w:hint="eastAsia" w:ascii="宋体" w:hAnsi="宋体"/>
                <w:sz w:val="16"/>
                <w:lang w:eastAsia="zh-CN"/>
              </w:rPr>
              <w:t>本部门</w:t>
            </w:r>
            <w:r>
              <w:rPr>
                <w:rFonts w:ascii="宋体" w:hAnsi="宋体" w:eastAsia="宋体"/>
                <w:sz w:val="16"/>
              </w:rPr>
              <w:t>包联村开展，活动经费由村里支出，</w:t>
            </w:r>
            <w:r>
              <w:rPr>
                <w:rFonts w:hint="eastAsia" w:ascii="宋体" w:hAnsi="宋体"/>
                <w:sz w:val="16"/>
                <w:lang w:eastAsia="zh-CN"/>
              </w:rPr>
              <w:t>本部门</w:t>
            </w:r>
            <w:r>
              <w:rPr>
                <w:rFonts w:ascii="宋体" w:hAnsi="宋体" w:eastAsia="宋体"/>
                <w:sz w:val="16"/>
              </w:rPr>
              <w:t>未进行支出；改进措施：今后在执行出现变化时，需及时进行项目调整，调整目标值。</w:t>
            </w:r>
          </w:p>
        </w:tc>
      </w:tr>
      <w:tr w14:paraId="39957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CB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4C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DD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1707">
            <w:pPr>
              <w:jc w:val="center"/>
            </w:pPr>
            <w:r>
              <w:rPr>
                <w:rFonts w:ascii="宋体" w:hAnsi="宋体" w:eastAsia="宋体"/>
                <w:sz w:val="16"/>
              </w:rPr>
              <w:t>工会大楼外墙改造维修支出成本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FAD1">
            <w:pPr>
              <w:jc w:val="center"/>
            </w:pPr>
            <w:r>
              <w:rPr>
                <w:rFonts w:ascii="宋体" w:hAnsi="宋体" w:eastAsia="宋体"/>
                <w:sz w:val="16"/>
              </w:rPr>
              <w:t>&lt;=28.80万元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71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15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EB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DE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14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4CAD">
            <w:pPr>
              <w:jc w:val="center"/>
            </w:pPr>
            <w:r>
              <w:rPr>
                <w:rFonts w:ascii="宋体" w:hAnsi="宋体" w:eastAsia="宋体"/>
                <w:sz w:val="16"/>
              </w:rPr>
              <w:t>=28.1万元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EC38">
            <w:pPr>
              <w:jc w:val="center"/>
            </w:pPr>
            <w:r>
              <w:rPr>
                <w:rFonts w:ascii="宋体" w:hAnsi="宋体" w:eastAsia="宋体"/>
                <w:sz w:val="16"/>
              </w:rPr>
              <w:t>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8ADAD">
            <w:pPr>
              <w:jc w:val="center"/>
            </w:pPr>
            <w:r>
              <w:rPr>
                <w:rFonts w:ascii="宋体" w:hAnsi="宋体" w:eastAsia="宋体"/>
                <w:sz w:val="16"/>
              </w:rPr>
              <w:t>偏差原因：此项目最终由第三方进行了审计，核减了部分资金；改进措施：今后执行项目时精准测算成本。</w:t>
            </w:r>
          </w:p>
        </w:tc>
      </w:tr>
      <w:tr w14:paraId="295EC6C4">
        <w:tblPrEx>
          <w:tblCellMar>
            <w:top w:w="0" w:type="dxa"/>
            <w:left w:w="108" w:type="dxa"/>
            <w:bottom w:w="0" w:type="dxa"/>
            <w:right w:w="108" w:type="dxa"/>
          </w:tblCellMar>
        </w:tblPrEx>
        <w:trPr>
          <w:trHeight w:val="312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39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92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D5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78DC">
            <w:pPr>
              <w:jc w:val="center"/>
            </w:pPr>
            <w:r>
              <w:rPr>
                <w:rFonts w:ascii="宋体" w:hAnsi="宋体" w:eastAsia="宋体"/>
                <w:sz w:val="16"/>
              </w:rPr>
              <w:t>受益职工人数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DF4E">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7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057A">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F5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1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60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43BC">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6D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0644C">
            <w:pPr>
              <w:jc w:val="center"/>
            </w:pPr>
          </w:p>
        </w:tc>
      </w:tr>
      <w:tr w14:paraId="2DAAC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C2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35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D3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B7F1">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E0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2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D5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D3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13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7B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C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21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40CCA">
            <w:pPr>
              <w:jc w:val="center"/>
            </w:pPr>
            <w:r>
              <w:rPr>
                <w:rFonts w:ascii="宋体" w:hAnsi="宋体" w:eastAsia="宋体"/>
                <w:sz w:val="16"/>
              </w:rPr>
              <w:t>偏差原因：在确定指标完成值时，设置不准确。改进措施：在今后设置目标值时要精准。</w:t>
            </w:r>
          </w:p>
        </w:tc>
      </w:tr>
      <w:tr w14:paraId="5C6E42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922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8D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9C5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8472">
            <w:pPr>
              <w:jc w:val="center"/>
            </w:pPr>
            <w:r>
              <w:rPr>
                <w:rFonts w:ascii="宋体" w:hAnsi="宋体" w:eastAsia="宋体"/>
                <w:sz w:val="16"/>
              </w:rPr>
              <w:t>79.79分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E493CA"/>
        </w:tc>
      </w:tr>
    </w:tbl>
    <w:p w14:paraId="46E543C6">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B269844">
        <w:tblPrEx>
          <w:tblCellMar>
            <w:top w:w="0" w:type="dxa"/>
            <w:left w:w="108" w:type="dxa"/>
            <w:bottom w:w="0" w:type="dxa"/>
            <w:right w:w="108" w:type="dxa"/>
          </w:tblCellMar>
        </w:tblPrEx>
        <w:tc>
          <w:tcPr>
            <w:tcW w:w="8848" w:type="dxa"/>
            <w:gridSpan w:val="14"/>
            <w:vAlign w:val="center"/>
          </w:tcPr>
          <w:p w14:paraId="61295A42">
            <w:pPr>
              <w:jc w:val="center"/>
            </w:pPr>
            <w:r>
              <w:rPr>
                <w:rFonts w:ascii="宋体" w:hAnsi="宋体" w:eastAsia="宋体"/>
                <w:sz w:val="24"/>
              </w:rPr>
              <w:t>项目支出绩效自评表</w:t>
            </w:r>
          </w:p>
        </w:tc>
      </w:tr>
      <w:tr w14:paraId="315E111A">
        <w:tblPrEx>
          <w:tblCellMar>
            <w:top w:w="0" w:type="dxa"/>
            <w:left w:w="108" w:type="dxa"/>
            <w:bottom w:w="0" w:type="dxa"/>
            <w:right w:w="108" w:type="dxa"/>
          </w:tblCellMar>
        </w:tblPrEx>
        <w:tc>
          <w:tcPr>
            <w:tcW w:w="8848" w:type="dxa"/>
            <w:gridSpan w:val="14"/>
            <w:vAlign w:val="center"/>
          </w:tcPr>
          <w:p w14:paraId="6F9EF67A">
            <w:pPr>
              <w:jc w:val="center"/>
            </w:pPr>
            <w:r>
              <w:rPr>
                <w:rFonts w:ascii="宋体" w:hAnsi="宋体" w:eastAsia="宋体"/>
                <w:sz w:val="24"/>
              </w:rPr>
              <w:t>(2024年度)</w:t>
            </w:r>
          </w:p>
        </w:tc>
      </w:tr>
      <w:tr w14:paraId="3DC59B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60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BCAE5B">
            <w:pPr>
              <w:jc w:val="center"/>
            </w:pPr>
            <w:r>
              <w:rPr>
                <w:rFonts w:ascii="宋体" w:hAnsi="宋体" w:eastAsia="宋体"/>
                <w:sz w:val="16"/>
              </w:rPr>
              <w:t>2024年度喀什地区工会职工活动组织支出项目</w:t>
            </w:r>
          </w:p>
        </w:tc>
      </w:tr>
      <w:tr w14:paraId="704FEA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4C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CB9A4">
            <w:pPr>
              <w:jc w:val="center"/>
            </w:pPr>
            <w:r>
              <w:rPr>
                <w:rFonts w:ascii="宋体" w:hAnsi="宋体" w:eastAsia="宋体"/>
                <w:sz w:val="16"/>
              </w:rPr>
              <w:t>新疆维吾尔自治区总工会喀什地区办事处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18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93248E">
            <w:pPr>
              <w:jc w:val="center"/>
            </w:pPr>
            <w:r>
              <w:rPr>
                <w:rFonts w:ascii="宋体" w:hAnsi="宋体" w:eastAsia="宋体"/>
                <w:sz w:val="16"/>
              </w:rPr>
              <w:t>新疆维吾尔自治区总工会喀什地区办事处</w:t>
            </w:r>
          </w:p>
        </w:tc>
      </w:tr>
      <w:tr w14:paraId="06F2D1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DAF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25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D5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417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52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9B1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BB2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899F">
            <w:pPr>
              <w:jc w:val="center"/>
            </w:pPr>
            <w:r>
              <w:rPr>
                <w:rFonts w:ascii="宋体" w:hAnsi="宋体" w:eastAsia="宋体"/>
                <w:sz w:val="16"/>
              </w:rPr>
              <w:t>得分</w:t>
            </w:r>
          </w:p>
        </w:tc>
      </w:tr>
      <w:tr w14:paraId="1446A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A31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4A8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C60CD">
            <w:pPr>
              <w:jc w:val="center"/>
            </w:pPr>
            <w:r>
              <w:rPr>
                <w:rFonts w:ascii="宋体" w:hAnsi="宋体" w:eastAsia="宋体"/>
                <w:sz w:val="16"/>
              </w:rPr>
              <w:t>26.35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2227A">
            <w:pPr>
              <w:jc w:val="center"/>
            </w:pPr>
            <w:r>
              <w:rPr>
                <w:rFonts w:ascii="宋体" w:hAnsi="宋体" w:eastAsia="宋体"/>
                <w:sz w:val="16"/>
              </w:rPr>
              <w:t>26.35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5ADCB">
            <w:pPr>
              <w:jc w:val="center"/>
            </w:pPr>
            <w:r>
              <w:rPr>
                <w:rFonts w:ascii="宋体" w:hAnsi="宋体" w:eastAsia="宋体"/>
                <w:sz w:val="16"/>
              </w:rPr>
              <w:t>26.35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4FF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31DF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B27B">
            <w:pPr>
              <w:jc w:val="center"/>
            </w:pPr>
            <w:r>
              <w:rPr>
                <w:rFonts w:ascii="宋体" w:hAnsi="宋体" w:eastAsia="宋体"/>
                <w:sz w:val="16"/>
              </w:rPr>
              <w:t>10.00分</w:t>
            </w:r>
          </w:p>
        </w:tc>
      </w:tr>
      <w:tr w14:paraId="05037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5A1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DEE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56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8E3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160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392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062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F370">
            <w:pPr>
              <w:jc w:val="center"/>
            </w:pPr>
            <w:r>
              <w:rPr>
                <w:rFonts w:ascii="宋体" w:hAnsi="宋体" w:eastAsia="宋体"/>
                <w:sz w:val="16"/>
              </w:rPr>
              <w:t>—</w:t>
            </w:r>
          </w:p>
        </w:tc>
      </w:tr>
      <w:tr w14:paraId="42914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5E1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8D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501F6">
            <w:pPr>
              <w:jc w:val="center"/>
            </w:pPr>
            <w:r>
              <w:rPr>
                <w:rFonts w:ascii="宋体" w:hAnsi="宋体" w:eastAsia="宋体"/>
                <w:sz w:val="16"/>
              </w:rPr>
              <w:t>26.35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189A0">
            <w:pPr>
              <w:jc w:val="center"/>
            </w:pPr>
            <w:r>
              <w:rPr>
                <w:rFonts w:ascii="宋体" w:hAnsi="宋体" w:eastAsia="宋体"/>
                <w:sz w:val="16"/>
              </w:rPr>
              <w:t>26.35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DDD40">
            <w:pPr>
              <w:jc w:val="center"/>
            </w:pPr>
            <w:r>
              <w:rPr>
                <w:rFonts w:ascii="宋体" w:hAnsi="宋体" w:eastAsia="宋体"/>
                <w:sz w:val="16"/>
              </w:rPr>
              <w:t>26.35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57B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0DE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3B90">
            <w:pPr>
              <w:jc w:val="center"/>
            </w:pPr>
            <w:r>
              <w:rPr>
                <w:rFonts w:ascii="宋体" w:hAnsi="宋体" w:eastAsia="宋体"/>
                <w:sz w:val="16"/>
              </w:rPr>
              <w:t>—</w:t>
            </w:r>
          </w:p>
        </w:tc>
      </w:tr>
      <w:tr w14:paraId="409C66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E25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2BBF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70E758">
            <w:pPr>
              <w:jc w:val="center"/>
            </w:pPr>
            <w:r>
              <w:rPr>
                <w:rFonts w:ascii="宋体" w:hAnsi="宋体" w:eastAsia="宋体"/>
                <w:sz w:val="16"/>
              </w:rPr>
              <w:t>实际完成情况</w:t>
            </w:r>
          </w:p>
        </w:tc>
      </w:tr>
      <w:tr w14:paraId="2C3A6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D04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7CCCF">
            <w:pPr>
              <w:jc w:val="both"/>
            </w:pPr>
            <w:r>
              <w:rPr>
                <w:rFonts w:ascii="宋体" w:hAnsi="宋体" w:eastAsia="宋体"/>
                <w:sz w:val="16"/>
              </w:rPr>
              <w:t>新疆维吾尔自治区总工会喀什地区办事处（本级）2024年度喀什地区工会职工活动组织支出项目26.35万元，用于开展职工活动组织支出，主要有开展职工运动会一场13万元，开展职工文艺汇演活动一场10.5万元，开展女职工送教下基层活动3场2.85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FB0687">
            <w:pPr>
              <w:jc w:val="both"/>
            </w:pPr>
            <w:r>
              <w:rPr>
                <w:rFonts w:ascii="宋体" w:hAnsi="宋体" w:eastAsia="宋体"/>
                <w:sz w:val="16"/>
              </w:rPr>
              <w:t>开展职工运动会一场，支出13万元，此次运动会秉承开放包容、和谐共进的理念，吸引了共计840名职工群众热情参与，共同体验体育带来的愉悦、深切感受团结和谐的氛围。</w:t>
            </w:r>
            <w:r>
              <w:rPr>
                <w:rFonts w:ascii="宋体" w:hAnsi="宋体" w:eastAsia="宋体"/>
                <w:sz w:val="16"/>
              </w:rPr>
              <w:br w:type="textWrapping"/>
            </w:r>
            <w:r>
              <w:rPr>
                <w:rFonts w:ascii="宋体" w:hAnsi="宋体" w:eastAsia="宋体"/>
                <w:sz w:val="16"/>
              </w:rPr>
              <w:t>开展职工文艺汇演活动一场，支出10.5万元，此次文艺汇演分“劳模精神”“劳动精神”“工匠精神”三个篇章，共有370名职工参加本次文艺汇演，充分展现了广大职工文艺创作的</w:t>
            </w:r>
            <w:r>
              <w:rPr>
                <w:rFonts w:hint="eastAsia" w:ascii="宋体" w:hAnsi="宋体"/>
                <w:sz w:val="16"/>
                <w:lang w:eastAsia="zh-CN"/>
              </w:rPr>
              <w:t>积极性、主动性、创造性</w:t>
            </w:r>
            <w:r>
              <w:rPr>
                <w:rFonts w:ascii="宋体" w:hAnsi="宋体" w:eastAsia="宋体"/>
                <w:sz w:val="16"/>
              </w:rPr>
              <w:t>。</w:t>
            </w:r>
            <w:r>
              <w:rPr>
                <w:rFonts w:ascii="宋体" w:hAnsi="宋体" w:eastAsia="宋体"/>
                <w:sz w:val="16"/>
              </w:rPr>
              <w:br w:type="textWrapping"/>
            </w:r>
            <w:r>
              <w:rPr>
                <w:rFonts w:ascii="宋体" w:hAnsi="宋体" w:eastAsia="宋体"/>
                <w:sz w:val="16"/>
              </w:rPr>
              <w:t>开展女职工送教下基层活动3场，支出2.85万元，为313名基层工会女职工赠送国通语用书，增强了职工的幸福感。</w:t>
            </w:r>
          </w:p>
        </w:tc>
      </w:tr>
      <w:tr w14:paraId="556BE9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9F0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B6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AC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28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E7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1B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7F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E4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FA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FB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F0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41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18274">
            <w:pPr>
              <w:jc w:val="center"/>
            </w:pPr>
            <w:r>
              <w:rPr>
                <w:rFonts w:ascii="宋体" w:hAnsi="宋体" w:eastAsia="宋体"/>
                <w:sz w:val="16"/>
              </w:rPr>
              <w:t>偏差原因分析及改进措施</w:t>
            </w:r>
          </w:p>
        </w:tc>
      </w:tr>
      <w:tr w14:paraId="126594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4E1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EBB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5C4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1E22">
            <w:pPr>
              <w:jc w:val="center"/>
            </w:pPr>
            <w:r>
              <w:rPr>
                <w:rFonts w:ascii="宋体" w:hAnsi="宋体" w:eastAsia="宋体"/>
                <w:sz w:val="16"/>
              </w:rPr>
              <w:t>职工运动会活动举办场次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033D">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D3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B564">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1E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C4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8C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0EFE">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68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F223">
            <w:pPr>
              <w:jc w:val="center"/>
            </w:pPr>
          </w:p>
        </w:tc>
      </w:tr>
      <w:tr w14:paraId="14E97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F0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18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C7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34D8">
            <w:pPr>
              <w:jc w:val="center"/>
            </w:pPr>
            <w:r>
              <w:rPr>
                <w:rFonts w:ascii="宋体" w:hAnsi="宋体" w:eastAsia="宋体"/>
                <w:sz w:val="16"/>
              </w:rPr>
              <w:t>职工文艺汇演举办场次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F862">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D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A7EA">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8A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C4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99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C435">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0A1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8F405">
            <w:pPr>
              <w:jc w:val="center"/>
            </w:pPr>
          </w:p>
        </w:tc>
      </w:tr>
      <w:tr w14:paraId="0CAAB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B0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41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D7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3FE9">
            <w:pPr>
              <w:jc w:val="center"/>
            </w:pPr>
            <w:r>
              <w:rPr>
                <w:rFonts w:ascii="宋体" w:hAnsi="宋体" w:eastAsia="宋体"/>
                <w:sz w:val="16"/>
              </w:rPr>
              <w:t>女职工送教活动举办场次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99D8">
            <w:pPr>
              <w:jc w:val="center"/>
            </w:pPr>
            <w:r>
              <w:rPr>
                <w:rFonts w:ascii="宋体" w:hAnsi="宋体" w:eastAsia="宋体"/>
                <w:sz w:val="16"/>
              </w:rPr>
              <w: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2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96E2">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55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0F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D6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1EF4">
            <w:pPr>
              <w:jc w:val="center"/>
            </w:pPr>
            <w:r>
              <w:rPr>
                <w:rFonts w:ascii="宋体" w:hAnsi="宋体" w:eastAsia="宋体"/>
                <w:sz w:val="16"/>
              </w:rPr>
              <w: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774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514D">
            <w:pPr>
              <w:jc w:val="center"/>
            </w:pPr>
          </w:p>
        </w:tc>
      </w:tr>
      <w:tr w14:paraId="022CE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CB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8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92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637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6A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3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9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A2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2D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1D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0A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69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9C725">
            <w:pPr>
              <w:jc w:val="center"/>
            </w:pPr>
          </w:p>
        </w:tc>
      </w:tr>
      <w:tr w14:paraId="5C169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80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994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7F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8B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C42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D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72E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3F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3A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F2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5F55">
            <w:pPr>
              <w:jc w:val="center"/>
            </w:pPr>
            <w:r>
              <w:rPr>
                <w:rFonts w:ascii="宋体" w:hAnsi="宋体" w:eastAsia="宋体"/>
                <w:sz w:val="16"/>
              </w:rPr>
              <w:t>=2024年9月19日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E74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9A7AC">
            <w:pPr>
              <w:jc w:val="center"/>
            </w:pPr>
          </w:p>
        </w:tc>
      </w:tr>
      <w:tr w14:paraId="0A256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11B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443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368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FC6A">
            <w:pPr>
              <w:jc w:val="center"/>
            </w:pPr>
            <w:r>
              <w:rPr>
                <w:rFonts w:ascii="宋体" w:hAnsi="宋体" w:eastAsia="宋体"/>
                <w:sz w:val="16"/>
              </w:rPr>
              <w:t>职工运动会活动预算成本完成数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A98C">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E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A53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7C8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3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4C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7B18">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F7E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8D835">
            <w:pPr>
              <w:jc w:val="center"/>
            </w:pPr>
          </w:p>
        </w:tc>
      </w:tr>
      <w:tr w14:paraId="43BDB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9C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ED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E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389A">
            <w:pPr>
              <w:jc w:val="center"/>
            </w:pPr>
            <w:r>
              <w:rPr>
                <w:rFonts w:ascii="宋体" w:hAnsi="宋体" w:eastAsia="宋体"/>
                <w:sz w:val="16"/>
              </w:rPr>
              <w:t>职工文艺汇演活动预算成本完成数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56C2">
            <w:pPr>
              <w:jc w:val="center"/>
            </w:pPr>
            <w:r>
              <w:rPr>
                <w:rFonts w:ascii="宋体" w:hAnsi="宋体" w:eastAsia="宋体"/>
                <w:sz w:val="16"/>
              </w:rPr>
              <w:t>&lt;=10.50万元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C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CBFE">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74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0B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C4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AE50">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B38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AFEFF">
            <w:pPr>
              <w:jc w:val="center"/>
            </w:pPr>
          </w:p>
        </w:tc>
      </w:tr>
      <w:tr w14:paraId="587B2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3A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7F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AC7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6FA7">
            <w:pPr>
              <w:jc w:val="center"/>
            </w:pPr>
            <w:r>
              <w:rPr>
                <w:rFonts w:ascii="宋体" w:hAnsi="宋体" w:eastAsia="宋体"/>
                <w:sz w:val="16"/>
              </w:rPr>
              <w:t>女职工送教活动预算成本完成数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5B76">
            <w:pPr>
              <w:jc w:val="center"/>
            </w:pPr>
            <w:r>
              <w:rPr>
                <w:rFonts w:ascii="宋体" w:hAnsi="宋体" w:eastAsia="宋体"/>
                <w:sz w:val="16"/>
              </w:rPr>
              <w:t>&lt;=2.85万元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B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A98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71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B0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AD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BCE3">
            <w:pPr>
              <w:jc w:val="center"/>
            </w:pPr>
            <w:r>
              <w:rPr>
                <w:rFonts w:ascii="宋体" w:hAnsi="宋体" w:eastAsia="宋体"/>
                <w:sz w:val="16"/>
              </w:rPr>
              <w: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2A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AF3FC">
            <w:pPr>
              <w:jc w:val="center"/>
            </w:pPr>
          </w:p>
        </w:tc>
      </w:tr>
      <w:tr w14:paraId="30A16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D1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C9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78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FB18">
            <w:pPr>
              <w:jc w:val="center"/>
            </w:pPr>
            <w:r>
              <w:rPr>
                <w:rFonts w:ascii="宋体" w:hAnsi="宋体" w:eastAsia="宋体"/>
                <w:sz w:val="16"/>
              </w:rPr>
              <w:t>受益职工人数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FF31">
            <w:pPr>
              <w:jc w:val="center"/>
            </w:pPr>
            <w:r>
              <w:rPr>
                <w:rFonts w:ascii="宋体" w:hAnsi="宋体" w:eastAsia="宋体"/>
                <w:sz w:val="16"/>
              </w:rPr>
              <w:t>&gt;=1350人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0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F54B">
            <w:pPr>
              <w:jc w:val="center"/>
            </w:pPr>
            <w:r>
              <w:rPr>
                <w:rFonts w:ascii="宋体" w:hAnsi="宋体" w:eastAsia="宋体"/>
                <w:sz w:val="16"/>
              </w:rPr>
              <w:t>1200人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65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C0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2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8844">
            <w:pPr>
              <w:jc w:val="center"/>
            </w:pPr>
            <w:r>
              <w:rPr>
                <w:rFonts w:ascii="宋体" w:hAnsi="宋体" w:eastAsia="宋体"/>
                <w:sz w:val="16"/>
              </w:rPr>
              <w:t>=1523人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5C23">
            <w:pPr>
              <w:jc w:val="center"/>
            </w:pPr>
            <w:r>
              <w:rPr>
                <w:rFonts w:ascii="宋体" w:hAnsi="宋体" w:eastAsia="宋体"/>
                <w:sz w:val="16"/>
              </w:rPr>
              <w:t>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61B4F">
            <w:pPr>
              <w:jc w:val="center"/>
            </w:pPr>
            <w:r>
              <w:rPr>
                <w:rFonts w:ascii="宋体" w:hAnsi="宋体" w:eastAsia="宋体"/>
                <w:sz w:val="16"/>
              </w:rPr>
              <w:t>偏差原因：压缩成本，导致实际发放人数增多；改进措施：今后在执行项目时，需准确预估成本，不能随意变更。</w:t>
            </w:r>
          </w:p>
        </w:tc>
      </w:tr>
      <w:tr w14:paraId="7257E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14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4D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1C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1E0A">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27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D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5A3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96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BD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A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6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CF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38288">
            <w:pPr>
              <w:jc w:val="center"/>
            </w:pPr>
            <w:r>
              <w:rPr>
                <w:rFonts w:ascii="宋体" w:hAnsi="宋体" w:eastAsia="宋体"/>
                <w:sz w:val="16"/>
              </w:rPr>
              <w:t>偏差原因：在确定指标完成值时，设置不准确。改进措施：在今后设置目标值时要精准。</w:t>
            </w:r>
          </w:p>
        </w:tc>
      </w:tr>
      <w:tr w14:paraId="0955657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1D96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29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FF7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AF84">
            <w:pPr>
              <w:jc w:val="center"/>
            </w:pPr>
            <w:r>
              <w:rPr>
                <w:rFonts w:ascii="宋体" w:hAnsi="宋体" w:eastAsia="宋体"/>
                <w:sz w:val="16"/>
              </w:rPr>
              <w:t>97.6分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4E2061"/>
        </w:tc>
      </w:tr>
    </w:tbl>
    <w:p w14:paraId="54D2D032">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A4E3719">
        <w:tc>
          <w:tcPr>
            <w:tcW w:w="8848" w:type="dxa"/>
            <w:gridSpan w:val="14"/>
            <w:vAlign w:val="center"/>
          </w:tcPr>
          <w:p w14:paraId="79995C3A">
            <w:pPr>
              <w:jc w:val="center"/>
            </w:pPr>
            <w:r>
              <w:rPr>
                <w:rFonts w:ascii="宋体" w:hAnsi="宋体" w:eastAsia="宋体"/>
                <w:sz w:val="24"/>
              </w:rPr>
              <w:t>项目支出绩效自评表</w:t>
            </w:r>
          </w:p>
        </w:tc>
      </w:tr>
      <w:tr w14:paraId="16E99342">
        <w:tblPrEx>
          <w:tblCellMar>
            <w:top w:w="0" w:type="dxa"/>
            <w:left w:w="108" w:type="dxa"/>
            <w:bottom w:w="0" w:type="dxa"/>
            <w:right w:w="108" w:type="dxa"/>
          </w:tblCellMar>
        </w:tblPrEx>
        <w:tc>
          <w:tcPr>
            <w:tcW w:w="8848" w:type="dxa"/>
            <w:gridSpan w:val="14"/>
            <w:vAlign w:val="center"/>
          </w:tcPr>
          <w:p w14:paraId="0FC751AA">
            <w:pPr>
              <w:jc w:val="center"/>
            </w:pPr>
            <w:r>
              <w:rPr>
                <w:rFonts w:ascii="宋体" w:hAnsi="宋体" w:eastAsia="宋体"/>
                <w:sz w:val="24"/>
              </w:rPr>
              <w:t>(2024年度)</w:t>
            </w:r>
          </w:p>
        </w:tc>
      </w:tr>
      <w:tr w14:paraId="2E804B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51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E363AD">
            <w:pPr>
              <w:jc w:val="center"/>
            </w:pPr>
            <w:r>
              <w:rPr>
                <w:rFonts w:ascii="宋体" w:hAnsi="宋体" w:eastAsia="宋体"/>
                <w:sz w:val="16"/>
              </w:rPr>
              <w:t>2024年度喀什地区工会送温暖活动支出项目</w:t>
            </w:r>
          </w:p>
        </w:tc>
      </w:tr>
      <w:tr w14:paraId="2A5A8A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C4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57252">
            <w:pPr>
              <w:jc w:val="center"/>
            </w:pPr>
            <w:r>
              <w:rPr>
                <w:rFonts w:ascii="宋体" w:hAnsi="宋体" w:eastAsia="宋体"/>
                <w:sz w:val="16"/>
              </w:rPr>
              <w:t>新疆维吾尔自治区总工会喀什地区办事处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FB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9EBB54">
            <w:pPr>
              <w:jc w:val="center"/>
            </w:pPr>
            <w:r>
              <w:rPr>
                <w:rFonts w:ascii="宋体" w:hAnsi="宋体" w:eastAsia="宋体"/>
                <w:sz w:val="16"/>
              </w:rPr>
              <w:t>新疆维吾尔自治区总工会喀什地区办事处</w:t>
            </w:r>
          </w:p>
        </w:tc>
      </w:tr>
      <w:tr w14:paraId="58BD22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1B0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8AA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41D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5AD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3F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C41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FE6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6D9A">
            <w:pPr>
              <w:jc w:val="center"/>
            </w:pPr>
            <w:r>
              <w:rPr>
                <w:rFonts w:ascii="宋体" w:hAnsi="宋体" w:eastAsia="宋体"/>
                <w:sz w:val="16"/>
              </w:rPr>
              <w:t>得分</w:t>
            </w:r>
          </w:p>
        </w:tc>
      </w:tr>
      <w:tr w14:paraId="4A55D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705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8C9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5906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114C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DD33">
            <w:pPr>
              <w:jc w:val="center"/>
            </w:pPr>
            <w:r>
              <w:rPr>
                <w:rFonts w:ascii="宋体" w:hAnsi="宋体" w:eastAsia="宋体"/>
                <w:sz w:val="16"/>
              </w:rPr>
              <w:t>18.86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F13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5CC41">
            <w:pPr>
              <w:jc w:val="center"/>
            </w:pPr>
            <w:r>
              <w:rPr>
                <w:rFonts w:ascii="宋体" w:hAnsi="宋体" w:eastAsia="宋体"/>
                <w:sz w:val="16"/>
              </w:rPr>
              <w:t>62.9%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5D0C">
            <w:pPr>
              <w:jc w:val="center"/>
            </w:pPr>
            <w:r>
              <w:rPr>
                <w:rFonts w:ascii="宋体" w:hAnsi="宋体" w:eastAsia="宋体"/>
                <w:sz w:val="16"/>
              </w:rPr>
              <w:t>0.72分</w:t>
            </w:r>
          </w:p>
        </w:tc>
      </w:tr>
      <w:tr w14:paraId="53383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E2A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F3C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5A1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5B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BA6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E0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37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7A84">
            <w:pPr>
              <w:jc w:val="center"/>
            </w:pPr>
            <w:r>
              <w:rPr>
                <w:rFonts w:ascii="宋体" w:hAnsi="宋体" w:eastAsia="宋体"/>
                <w:sz w:val="16"/>
              </w:rPr>
              <w:t>—</w:t>
            </w:r>
          </w:p>
        </w:tc>
      </w:tr>
      <w:tr w14:paraId="39989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455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349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CF86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6761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B9CAB">
            <w:pPr>
              <w:jc w:val="center"/>
            </w:pPr>
            <w:r>
              <w:rPr>
                <w:rFonts w:ascii="宋体" w:hAnsi="宋体" w:eastAsia="宋体"/>
                <w:sz w:val="16"/>
              </w:rPr>
              <w:t>18.86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53B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7B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3D96">
            <w:pPr>
              <w:jc w:val="center"/>
            </w:pPr>
            <w:r>
              <w:rPr>
                <w:rFonts w:ascii="宋体" w:hAnsi="宋体" w:eastAsia="宋体"/>
                <w:sz w:val="16"/>
              </w:rPr>
              <w:t>—</w:t>
            </w:r>
          </w:p>
        </w:tc>
      </w:tr>
      <w:tr w14:paraId="1AE9A9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500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0128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8DCACE">
            <w:pPr>
              <w:jc w:val="center"/>
            </w:pPr>
            <w:r>
              <w:rPr>
                <w:rFonts w:ascii="宋体" w:hAnsi="宋体" w:eastAsia="宋体"/>
                <w:sz w:val="16"/>
              </w:rPr>
              <w:t>实际完成情况</w:t>
            </w:r>
          </w:p>
        </w:tc>
      </w:tr>
      <w:tr w14:paraId="5D490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290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9D426">
            <w:pPr>
              <w:jc w:val="both"/>
            </w:pPr>
            <w:r>
              <w:rPr>
                <w:rFonts w:ascii="宋体" w:hAnsi="宋体" w:eastAsia="宋体"/>
                <w:sz w:val="16"/>
              </w:rPr>
              <w:t>新疆维吾尔自治区总工会喀什地区办事处（本级）2024年度喀什地区工会送温暖活动支出项目30万元，用于开展送温暖活动支出，主要有：颁发“光荣执教30年”纪念牌匾活动一场15万元，开展夏送清凉慰问活动一场15万元，提升职工的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597E1C">
            <w:pPr>
              <w:jc w:val="both"/>
            </w:pPr>
            <w:r>
              <w:rPr>
                <w:rFonts w:ascii="宋体" w:hAnsi="宋体" w:eastAsia="宋体"/>
                <w:sz w:val="16"/>
              </w:rPr>
              <w:t>开展了一场夏送清凉活动，对5000名新就业形态劳动者进行慰问，提升了新就业形态劳动者的幸福感。开展了一场颁发“光荣执教30年”纪念牌匾活动，为1852名符合条件的教师颁发了“光荣执教30年”纪念牌匾，提升了教职工的满意度。</w:t>
            </w:r>
          </w:p>
        </w:tc>
      </w:tr>
      <w:tr w14:paraId="2ECAF5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D14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A9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D8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20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07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A3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5D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04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A3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F7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32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C7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DA20F">
            <w:pPr>
              <w:jc w:val="center"/>
            </w:pPr>
            <w:r>
              <w:rPr>
                <w:rFonts w:ascii="宋体" w:hAnsi="宋体" w:eastAsia="宋体"/>
                <w:sz w:val="16"/>
              </w:rPr>
              <w:t>偏差原因分析及改进措施</w:t>
            </w:r>
          </w:p>
        </w:tc>
      </w:tr>
      <w:tr w14:paraId="025EDA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AB6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202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CE1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4DD6">
            <w:pPr>
              <w:jc w:val="center"/>
            </w:pPr>
            <w:r>
              <w:rPr>
                <w:rFonts w:ascii="宋体" w:hAnsi="宋体" w:eastAsia="宋体"/>
                <w:sz w:val="16"/>
              </w:rPr>
              <w:t>颁发“光荣执教30年”纪念牌匾活动举办场次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0A69">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4C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9910">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2C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05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75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9FC1">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9C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05B15">
            <w:pPr>
              <w:jc w:val="center"/>
            </w:pPr>
          </w:p>
        </w:tc>
      </w:tr>
      <w:tr w14:paraId="5DBA0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77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1A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69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8476">
            <w:pPr>
              <w:jc w:val="center"/>
            </w:pPr>
            <w:r>
              <w:rPr>
                <w:rFonts w:ascii="宋体" w:hAnsi="宋体" w:eastAsia="宋体"/>
                <w:sz w:val="16"/>
              </w:rPr>
              <w:t>夏“送清凉”慰问活动举办场次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D8C4">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93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7B11">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E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21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A4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AEC5">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53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0757">
            <w:pPr>
              <w:jc w:val="center"/>
            </w:pPr>
          </w:p>
        </w:tc>
      </w:tr>
      <w:tr w14:paraId="471D1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3F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2F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92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566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C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2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AE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3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47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57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1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BB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F4972">
            <w:pPr>
              <w:jc w:val="center"/>
            </w:pPr>
          </w:p>
        </w:tc>
      </w:tr>
      <w:tr w14:paraId="5C440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8A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0F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E1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43A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241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25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189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A0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4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4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A0A4">
            <w:pPr>
              <w:jc w:val="center"/>
            </w:pPr>
            <w:r>
              <w:rPr>
                <w:rFonts w:ascii="宋体" w:hAnsi="宋体" w:eastAsia="宋体"/>
                <w:sz w:val="16"/>
              </w:rPr>
              <w:t>=2024年9月10日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72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BF2F4">
            <w:pPr>
              <w:jc w:val="center"/>
            </w:pPr>
          </w:p>
        </w:tc>
      </w:tr>
      <w:tr w14:paraId="5B8E9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42D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BA0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01A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7596">
            <w:pPr>
              <w:jc w:val="center"/>
            </w:pPr>
            <w:r>
              <w:rPr>
                <w:rFonts w:ascii="宋体" w:hAnsi="宋体" w:eastAsia="宋体"/>
                <w:sz w:val="16"/>
              </w:rPr>
              <w:t>颁发“光荣执教30年”纪念牌匾活动成本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CC2B">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0D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27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3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2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9A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C1A0">
            <w:pPr>
              <w:jc w:val="center"/>
            </w:pPr>
            <w:r>
              <w:rPr>
                <w:rFonts w:ascii="宋体" w:hAnsi="宋体" w:eastAsia="宋体"/>
                <w:sz w:val="16"/>
              </w:rPr>
              <w:t>=7.92万元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A2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CD9C3">
            <w:pPr>
              <w:jc w:val="center"/>
            </w:pPr>
            <w:r>
              <w:rPr>
                <w:rFonts w:ascii="宋体" w:hAnsi="宋体" w:eastAsia="宋体"/>
                <w:sz w:val="16"/>
              </w:rPr>
              <w:t>偏差原因：在活动前进行成本时，高估了成本和符合条件的人数，导致资金未执行完毕。改进措施：在今后执行项目时，要精准预计成本，减少偏差。</w:t>
            </w:r>
          </w:p>
        </w:tc>
      </w:tr>
      <w:tr w14:paraId="68EEC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53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A9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7E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16F4">
            <w:pPr>
              <w:jc w:val="center"/>
            </w:pPr>
            <w:r>
              <w:rPr>
                <w:rFonts w:ascii="宋体" w:hAnsi="宋体" w:eastAsia="宋体"/>
                <w:sz w:val="16"/>
              </w:rPr>
              <w:t>夏“送清凉”慰问活动预算成本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FE41">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B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42D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FD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1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6A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BE7A">
            <w:pPr>
              <w:jc w:val="center"/>
            </w:pPr>
            <w:r>
              <w:rPr>
                <w:rFonts w:ascii="宋体" w:hAnsi="宋体" w:eastAsia="宋体"/>
                <w:sz w:val="16"/>
              </w:rPr>
              <w:t>=10.94万元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5629">
            <w:pPr>
              <w:jc w:val="center"/>
            </w:pPr>
            <w:r>
              <w:rPr>
                <w:rFonts w:ascii="宋体" w:hAnsi="宋体" w:eastAsia="宋体"/>
                <w:sz w:val="16"/>
              </w:rPr>
              <w:t>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6CDEE">
            <w:pPr>
              <w:jc w:val="center"/>
            </w:pPr>
            <w:r>
              <w:rPr>
                <w:rFonts w:ascii="宋体" w:hAnsi="宋体" w:eastAsia="宋体"/>
                <w:sz w:val="16"/>
              </w:rPr>
              <w:t>偏差原因：在进行慰问前，对慰问群体未进行充分的摸排，导致实际慰问人数比预期要少，成本减少。改进措施：在今后项目执行时，要提前精准摸排慰问人数，减少偏差。</w:t>
            </w:r>
          </w:p>
        </w:tc>
      </w:tr>
      <w:tr w14:paraId="03938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35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B4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8B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B704">
            <w:pPr>
              <w:jc w:val="center"/>
            </w:pPr>
            <w:r>
              <w:rPr>
                <w:rFonts w:ascii="宋体" w:hAnsi="宋体" w:eastAsia="宋体"/>
                <w:sz w:val="16"/>
              </w:rPr>
              <w:t>受益职工人数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5B94">
            <w:pPr>
              <w:jc w:val="center"/>
            </w:pPr>
            <w:r>
              <w:rPr>
                <w:rFonts w:ascii="宋体" w:hAnsi="宋体" w:eastAsia="宋体"/>
                <w:sz w:val="16"/>
              </w:rPr>
              <w:t>&gt;=2500人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E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5172">
            <w:pPr>
              <w:jc w:val="center"/>
            </w:pPr>
            <w:r>
              <w:rPr>
                <w:rFonts w:ascii="宋体" w:hAnsi="宋体" w:eastAsia="宋体"/>
                <w:sz w:val="16"/>
              </w:rPr>
              <w: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0E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2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A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57DE">
            <w:pPr>
              <w:jc w:val="center"/>
            </w:pPr>
            <w:r>
              <w:rPr>
                <w:rFonts w:ascii="宋体" w:hAnsi="宋体" w:eastAsia="宋体"/>
                <w:sz w:val="16"/>
              </w:rPr>
              <w:t>=6852人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95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1DB7">
            <w:pPr>
              <w:jc w:val="center"/>
            </w:pPr>
            <w:r>
              <w:rPr>
                <w:rFonts w:ascii="宋体" w:hAnsi="宋体" w:eastAsia="宋体"/>
                <w:sz w:val="16"/>
              </w:rPr>
              <w:t>偏差原因：在项目执行前，对人数摸排不精准，压缩了成本，慰问人数增多，导致执行项目时出现了较大的偏差。改进措施：在今后的项目中，要保证人数及成本的精准测算，减少偏差。</w:t>
            </w:r>
          </w:p>
        </w:tc>
      </w:tr>
      <w:tr w14:paraId="30E42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27E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41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08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BC9D">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C4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C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10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44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52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7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8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05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52A2">
            <w:pPr>
              <w:jc w:val="center"/>
            </w:pPr>
            <w:r>
              <w:rPr>
                <w:rFonts w:ascii="宋体" w:hAnsi="宋体" w:eastAsia="宋体"/>
                <w:sz w:val="16"/>
              </w:rPr>
              <w:t>偏差原因：在确定指标完成值时，设置不准确。改进措施：在今后设置目标值时要精准。</w:t>
            </w:r>
          </w:p>
        </w:tc>
      </w:tr>
      <w:tr w14:paraId="3147F1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6E06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48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2DE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16ED">
            <w:pPr>
              <w:jc w:val="center"/>
            </w:pPr>
            <w:r>
              <w:rPr>
                <w:rFonts w:ascii="宋体" w:hAnsi="宋体" w:eastAsia="宋体"/>
                <w:sz w:val="16"/>
              </w:rPr>
              <w:t>53.95分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685F8C"/>
        </w:tc>
      </w:tr>
    </w:tbl>
    <w:p w14:paraId="00EA339C">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D337B9">
        <w:tblPrEx>
          <w:tblCellMar>
            <w:top w:w="0" w:type="dxa"/>
            <w:left w:w="108" w:type="dxa"/>
            <w:bottom w:w="0" w:type="dxa"/>
            <w:right w:w="108" w:type="dxa"/>
          </w:tblCellMar>
        </w:tblPrEx>
        <w:tc>
          <w:tcPr>
            <w:tcW w:w="8848" w:type="dxa"/>
            <w:gridSpan w:val="14"/>
            <w:vAlign w:val="center"/>
          </w:tcPr>
          <w:p w14:paraId="09165629">
            <w:pPr>
              <w:jc w:val="center"/>
            </w:pPr>
            <w:r>
              <w:rPr>
                <w:rFonts w:ascii="宋体" w:hAnsi="宋体" w:eastAsia="宋体"/>
                <w:sz w:val="24"/>
              </w:rPr>
              <w:t>项目支出绩效自评表</w:t>
            </w:r>
          </w:p>
        </w:tc>
      </w:tr>
      <w:tr w14:paraId="0584CFDE">
        <w:tblPrEx>
          <w:tblCellMar>
            <w:top w:w="0" w:type="dxa"/>
            <w:left w:w="108" w:type="dxa"/>
            <w:bottom w:w="0" w:type="dxa"/>
            <w:right w:w="108" w:type="dxa"/>
          </w:tblCellMar>
        </w:tblPrEx>
        <w:tc>
          <w:tcPr>
            <w:tcW w:w="8848" w:type="dxa"/>
            <w:gridSpan w:val="14"/>
            <w:vAlign w:val="center"/>
          </w:tcPr>
          <w:p w14:paraId="593AF6DB">
            <w:pPr>
              <w:jc w:val="center"/>
            </w:pPr>
            <w:r>
              <w:rPr>
                <w:rFonts w:ascii="宋体" w:hAnsi="宋体" w:eastAsia="宋体"/>
                <w:sz w:val="24"/>
              </w:rPr>
              <w:t>(2024年度)</w:t>
            </w:r>
          </w:p>
        </w:tc>
      </w:tr>
      <w:tr w14:paraId="4D884A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51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A87FB8">
            <w:pPr>
              <w:jc w:val="center"/>
            </w:pPr>
            <w:r>
              <w:rPr>
                <w:rFonts w:ascii="宋体" w:hAnsi="宋体" w:eastAsia="宋体"/>
                <w:sz w:val="16"/>
              </w:rPr>
              <w:t>2024年粤喀劳模先进职工代表互访交流项目</w:t>
            </w:r>
          </w:p>
        </w:tc>
      </w:tr>
      <w:tr w14:paraId="358C7B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E7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1726C">
            <w:pPr>
              <w:jc w:val="center"/>
            </w:pPr>
            <w:r>
              <w:rPr>
                <w:rFonts w:ascii="宋体" w:hAnsi="宋体" w:eastAsia="宋体"/>
                <w:sz w:val="16"/>
              </w:rPr>
              <w:t>新疆维吾尔自治区总工会喀什地区办事处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8B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F5A005">
            <w:pPr>
              <w:jc w:val="center"/>
            </w:pPr>
            <w:r>
              <w:rPr>
                <w:rFonts w:ascii="宋体" w:hAnsi="宋体" w:eastAsia="宋体"/>
                <w:sz w:val="16"/>
              </w:rPr>
              <w:t>新疆维吾尔自治区总工会喀什地区办事处</w:t>
            </w:r>
          </w:p>
        </w:tc>
      </w:tr>
      <w:tr w14:paraId="7716EC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B51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49C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F4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387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BC3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A6B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33C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028D">
            <w:pPr>
              <w:jc w:val="center"/>
            </w:pPr>
            <w:r>
              <w:rPr>
                <w:rFonts w:ascii="宋体" w:hAnsi="宋体" w:eastAsia="宋体"/>
                <w:sz w:val="16"/>
              </w:rPr>
              <w:t>得分</w:t>
            </w:r>
          </w:p>
        </w:tc>
      </w:tr>
      <w:tr w14:paraId="30915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5D7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A9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8EB7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AB3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3AA5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B04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6E17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BF34">
            <w:pPr>
              <w:jc w:val="center"/>
            </w:pPr>
            <w:r>
              <w:rPr>
                <w:rFonts w:ascii="宋体" w:hAnsi="宋体" w:eastAsia="宋体"/>
                <w:sz w:val="16"/>
              </w:rPr>
              <w:t>10.00分</w:t>
            </w:r>
          </w:p>
        </w:tc>
      </w:tr>
      <w:tr w14:paraId="17F18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F5A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06F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F4C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F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926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88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C2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EC0AD">
            <w:pPr>
              <w:jc w:val="center"/>
            </w:pPr>
            <w:r>
              <w:rPr>
                <w:rFonts w:ascii="宋体" w:hAnsi="宋体" w:eastAsia="宋体"/>
                <w:sz w:val="16"/>
              </w:rPr>
              <w:t>—</w:t>
            </w:r>
          </w:p>
        </w:tc>
      </w:tr>
      <w:tr w14:paraId="611B3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E2B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8D1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EDD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2069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BC1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1F8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A6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34B3">
            <w:pPr>
              <w:jc w:val="center"/>
            </w:pPr>
            <w:r>
              <w:rPr>
                <w:rFonts w:ascii="宋体" w:hAnsi="宋体" w:eastAsia="宋体"/>
                <w:sz w:val="16"/>
              </w:rPr>
              <w:t>—</w:t>
            </w:r>
          </w:p>
        </w:tc>
      </w:tr>
      <w:tr w14:paraId="094B87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5A4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8D5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6F751">
            <w:pPr>
              <w:jc w:val="center"/>
            </w:pPr>
            <w:r>
              <w:rPr>
                <w:rFonts w:ascii="宋体" w:hAnsi="宋体" w:eastAsia="宋体"/>
                <w:sz w:val="16"/>
              </w:rPr>
              <w:t>实际完成情况</w:t>
            </w:r>
          </w:p>
        </w:tc>
      </w:tr>
      <w:tr w14:paraId="20D89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44A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71AFBF">
            <w:pPr>
              <w:jc w:val="both"/>
            </w:pPr>
            <w:r>
              <w:rPr>
                <w:rFonts w:ascii="宋体" w:hAnsi="宋体" w:eastAsia="宋体"/>
                <w:sz w:val="16"/>
              </w:rPr>
              <w:t>为全面深入贯彻落实党的二十大精神和第三次中央  新疆工作座谈会和第九次全国对口支援新疆工作会议精神，切实推动粤喀两地职工广泛交往交流交融。</w:t>
            </w:r>
            <w:r>
              <w:rPr>
                <w:rFonts w:hint="eastAsia" w:ascii="宋体" w:hAnsi="宋体"/>
                <w:sz w:val="16"/>
                <w:lang w:eastAsia="zh-CN"/>
              </w:rPr>
              <w:t>本部门</w:t>
            </w:r>
            <w:r>
              <w:rPr>
                <w:rFonts w:ascii="宋体" w:hAnsi="宋体" w:eastAsia="宋体"/>
                <w:sz w:val="16"/>
              </w:rPr>
              <w:t>定于2024年7</w:t>
            </w:r>
            <w:r>
              <w:rPr>
                <w:rFonts w:hint="eastAsia" w:ascii="宋体" w:hAnsi="宋体"/>
                <w:sz w:val="16"/>
                <w:lang w:eastAsia="zh-CN"/>
              </w:rPr>
              <w:t>—</w:t>
            </w:r>
            <w:r>
              <w:rPr>
                <w:rFonts w:ascii="宋体" w:hAnsi="宋体" w:eastAsia="宋体"/>
                <w:sz w:val="16"/>
              </w:rPr>
              <w:t>12月，采取“走出去”和“请进来” 相结合的方式，举办2次粤喀劳模先进职工代表互访交流项目。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F6222D">
            <w:pPr>
              <w:jc w:val="both"/>
            </w:pPr>
            <w:r>
              <w:rPr>
                <w:rFonts w:ascii="宋体" w:hAnsi="宋体" w:eastAsia="宋体"/>
                <w:sz w:val="16"/>
              </w:rPr>
              <w:t>2024年9月21日至2024年9月27日共七天，广东劳模先进职工代表来喀交流，在广东省援疆指挥部的大力支持下，喀什地区工会组织广东省首批劳模团队25人，来喀开展交流活动。</w:t>
            </w:r>
            <w:r>
              <w:rPr>
                <w:rFonts w:ascii="宋体" w:hAnsi="宋体" w:eastAsia="宋体"/>
                <w:sz w:val="16"/>
              </w:rPr>
              <w:br w:type="textWrapping"/>
            </w:r>
            <w:r>
              <w:rPr>
                <w:rFonts w:ascii="宋体" w:hAnsi="宋体" w:eastAsia="宋体"/>
                <w:sz w:val="16"/>
              </w:rPr>
              <w:t>2024年10月21日至2024年10月27日共七天，喀什劳模先进职工代表赴广东交流，在广东省援疆指挥部的大力支</w:t>
            </w:r>
            <w:r>
              <w:rPr>
                <w:rFonts w:hint="eastAsia" w:ascii="宋体" w:hAnsi="宋体"/>
                <w:sz w:val="16"/>
                <w:lang w:eastAsia="zh-CN"/>
              </w:rPr>
              <w:t>持下</w:t>
            </w:r>
            <w:r>
              <w:rPr>
                <w:rFonts w:ascii="宋体" w:hAnsi="宋体" w:eastAsia="宋体"/>
                <w:sz w:val="16"/>
              </w:rPr>
              <w:t>，喀什地区工会组织25名劳模赴广州开展疗休养活动。本项目的圆满完成，切实推动了粤喀两地职工广泛交往交流交融，提升了受益群体的满意度。</w:t>
            </w:r>
          </w:p>
        </w:tc>
      </w:tr>
      <w:tr w14:paraId="02FE44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5DF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9A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97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5A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68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CA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83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BB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7A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D5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67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A9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40541">
            <w:pPr>
              <w:jc w:val="center"/>
            </w:pPr>
            <w:r>
              <w:rPr>
                <w:rFonts w:ascii="宋体" w:hAnsi="宋体" w:eastAsia="宋体"/>
                <w:sz w:val="16"/>
              </w:rPr>
              <w:t>偏差原因分析及改进措施</w:t>
            </w:r>
          </w:p>
        </w:tc>
      </w:tr>
      <w:tr w14:paraId="163A99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4A0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27B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73C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35FF">
            <w:pPr>
              <w:jc w:val="center"/>
            </w:pPr>
            <w:r>
              <w:rPr>
                <w:rFonts w:ascii="宋体" w:hAnsi="宋体" w:eastAsia="宋体"/>
                <w:sz w:val="16"/>
              </w:rPr>
              <w:t>喀什劳模先进职工代表赴粤交流次数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1F8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2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CF08">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74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A1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27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7E2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8D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4F21">
            <w:pPr>
              <w:jc w:val="center"/>
            </w:pPr>
          </w:p>
        </w:tc>
      </w:tr>
      <w:tr w14:paraId="0DC2B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2C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5C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66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86B5">
            <w:pPr>
              <w:jc w:val="center"/>
            </w:pPr>
            <w:r>
              <w:rPr>
                <w:rFonts w:ascii="宋体" w:hAnsi="宋体" w:eastAsia="宋体"/>
                <w:sz w:val="16"/>
              </w:rPr>
              <w:t>广东劳模先进职工代表来喀交流次数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091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F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E32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D3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90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FF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D60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1C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D02BB">
            <w:pPr>
              <w:jc w:val="center"/>
            </w:pPr>
          </w:p>
        </w:tc>
      </w:tr>
      <w:tr w14:paraId="2D798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31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7B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0D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BED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5A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5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5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C2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EB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3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0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6D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261E">
            <w:pPr>
              <w:jc w:val="center"/>
            </w:pPr>
          </w:p>
        </w:tc>
      </w:tr>
      <w:tr w14:paraId="6E66A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78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D9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73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056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FFC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55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177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2C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D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08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5F0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93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1E458">
            <w:pPr>
              <w:jc w:val="center"/>
            </w:pPr>
          </w:p>
        </w:tc>
      </w:tr>
      <w:tr w14:paraId="4BD90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8D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AF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B7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A040">
            <w:pPr>
              <w:jc w:val="center"/>
            </w:pPr>
            <w:r>
              <w:rPr>
                <w:rFonts w:ascii="宋体" w:hAnsi="宋体" w:eastAsia="宋体"/>
                <w:sz w:val="16"/>
              </w:rPr>
              <w:t>平均每次交流活动预算成本数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E0E9">
            <w:pPr>
              <w:jc w:val="center"/>
            </w:pPr>
            <w:r>
              <w:rPr>
                <w:rFonts w:ascii="宋体" w:hAnsi="宋体" w:eastAsia="宋体"/>
                <w:sz w:val="16"/>
              </w:rPr>
              <w:t>&lt;=30万元/次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98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BACD">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41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5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63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AB31">
            <w:pPr>
              <w:jc w:val="center"/>
            </w:pPr>
            <w:r>
              <w:rPr>
                <w:rFonts w:ascii="宋体" w:hAnsi="宋体" w:eastAsia="宋体"/>
                <w:sz w:val="16"/>
              </w:rPr>
              <w:t>=30万元/次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C19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B3BF8">
            <w:pPr>
              <w:jc w:val="center"/>
            </w:pPr>
          </w:p>
        </w:tc>
      </w:tr>
      <w:tr w14:paraId="78A0C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56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0B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20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E0F4">
            <w:pPr>
              <w:jc w:val="center"/>
            </w:pPr>
            <w:r>
              <w:rPr>
                <w:rFonts w:ascii="宋体" w:hAnsi="宋体" w:eastAsia="宋体"/>
                <w:sz w:val="16"/>
              </w:rPr>
              <w:t>受益职工人数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5810">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52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EAD5">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88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DA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64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98A2">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59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7FC78">
            <w:pPr>
              <w:jc w:val="center"/>
            </w:pPr>
          </w:p>
        </w:tc>
      </w:tr>
      <w:tr w14:paraId="2BC1B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58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8E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A5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B3B0">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5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2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58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24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73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C6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E1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6B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BD6DA">
            <w:pPr>
              <w:jc w:val="center"/>
            </w:pPr>
          </w:p>
        </w:tc>
      </w:tr>
      <w:tr w14:paraId="0D5774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C49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B7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CBA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3E8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5831DB"/>
        </w:tc>
      </w:tr>
    </w:tbl>
    <w:p w14:paraId="23F8282A">
      <w:r>
        <w:br w:type="page"/>
      </w:r>
    </w:p>
    <w:p w14:paraId="1BADD933">
      <w:pPr>
        <w:spacing w:line="640" w:lineRule="exact"/>
        <w:ind w:firstLine="640"/>
        <w:jc w:val="both"/>
        <w:outlineLvl w:val="2"/>
      </w:pPr>
      <w:r>
        <w:rPr>
          <w:rFonts w:ascii="黑体" w:hAnsi="黑体" w:eastAsia="黑体"/>
          <w:sz w:val="32"/>
        </w:rPr>
        <w:t>十二、其他需说明的事项</w:t>
      </w:r>
    </w:p>
    <w:p w14:paraId="5E02ABCA">
      <w:pPr>
        <w:spacing w:line="580" w:lineRule="exact"/>
        <w:ind w:firstLine="640"/>
        <w:jc w:val="both"/>
      </w:pPr>
      <w:r>
        <w:rPr>
          <w:rFonts w:ascii="仿宋_GB2312" w:hAnsi="仿宋_GB2312" w:eastAsia="仿宋_GB2312"/>
          <w:b w:val="0"/>
          <w:sz w:val="32"/>
        </w:rPr>
        <w:t>本部门无其他需说明的事项。</w:t>
      </w:r>
    </w:p>
    <w:p w14:paraId="20505874">
      <w:r>
        <w:br w:type="page"/>
      </w:r>
    </w:p>
    <w:p w14:paraId="7C5EE8CB">
      <w:pPr>
        <w:spacing w:line="240" w:lineRule="auto"/>
        <w:jc w:val="center"/>
        <w:outlineLvl w:val="1"/>
      </w:pPr>
      <w:r>
        <w:rPr>
          <w:rFonts w:ascii="黑体" w:hAnsi="黑体" w:eastAsia="黑体"/>
          <w:sz w:val="32"/>
        </w:rPr>
        <w:t>第三部分 专业名词解释</w:t>
      </w:r>
    </w:p>
    <w:p w14:paraId="68E484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B82AF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EED1E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BA295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F5D25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F3A4B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66383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557B8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1EED3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EA1C07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B8995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4D947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B33AE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C0287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9E4D04">
      <w:r>
        <w:br w:type="page"/>
      </w:r>
    </w:p>
    <w:p w14:paraId="5A235607">
      <w:pPr>
        <w:spacing w:line="240" w:lineRule="auto"/>
        <w:jc w:val="center"/>
        <w:outlineLvl w:val="1"/>
      </w:pPr>
      <w:r>
        <w:rPr>
          <w:rFonts w:ascii="黑体" w:hAnsi="黑体" w:eastAsia="黑体"/>
          <w:sz w:val="32"/>
        </w:rPr>
        <w:t>第四部分 部门决算报表（见附表）</w:t>
      </w:r>
    </w:p>
    <w:p w14:paraId="5BEDADA7">
      <w:pPr>
        <w:spacing w:line="240" w:lineRule="auto"/>
        <w:ind w:firstLine="640"/>
        <w:jc w:val="both"/>
      </w:pPr>
      <w:r>
        <w:rPr>
          <w:rFonts w:ascii="仿宋_GB2312" w:hAnsi="仿宋_GB2312" w:eastAsia="仿宋_GB2312"/>
          <w:b w:val="0"/>
          <w:sz w:val="32"/>
        </w:rPr>
        <w:t>一、《收入支出决算总表》</w:t>
      </w:r>
    </w:p>
    <w:p w14:paraId="10A60BE9">
      <w:pPr>
        <w:spacing w:line="240" w:lineRule="auto"/>
        <w:ind w:firstLine="640"/>
        <w:jc w:val="both"/>
      </w:pPr>
      <w:r>
        <w:rPr>
          <w:rFonts w:ascii="仿宋_GB2312" w:hAnsi="仿宋_GB2312" w:eastAsia="仿宋_GB2312"/>
          <w:b w:val="0"/>
          <w:sz w:val="32"/>
        </w:rPr>
        <w:t>二、《收入决算表》</w:t>
      </w:r>
    </w:p>
    <w:p w14:paraId="1E75C150">
      <w:pPr>
        <w:spacing w:line="240" w:lineRule="auto"/>
        <w:ind w:firstLine="640"/>
        <w:jc w:val="both"/>
      </w:pPr>
      <w:r>
        <w:rPr>
          <w:rFonts w:ascii="仿宋_GB2312" w:hAnsi="仿宋_GB2312" w:eastAsia="仿宋_GB2312"/>
          <w:b w:val="0"/>
          <w:sz w:val="32"/>
        </w:rPr>
        <w:t>三、《支出决算表》</w:t>
      </w:r>
    </w:p>
    <w:p w14:paraId="53CDE577">
      <w:pPr>
        <w:spacing w:line="240" w:lineRule="auto"/>
        <w:ind w:firstLine="640"/>
        <w:jc w:val="both"/>
      </w:pPr>
      <w:r>
        <w:rPr>
          <w:rFonts w:ascii="仿宋_GB2312" w:hAnsi="仿宋_GB2312" w:eastAsia="仿宋_GB2312"/>
          <w:b w:val="0"/>
          <w:sz w:val="32"/>
        </w:rPr>
        <w:t>四、《财政拨款收入支出决算总表》</w:t>
      </w:r>
    </w:p>
    <w:p w14:paraId="62D8C377">
      <w:pPr>
        <w:spacing w:line="240" w:lineRule="auto"/>
        <w:ind w:firstLine="640"/>
        <w:jc w:val="both"/>
      </w:pPr>
      <w:r>
        <w:rPr>
          <w:rFonts w:ascii="仿宋_GB2312" w:hAnsi="仿宋_GB2312" w:eastAsia="仿宋_GB2312"/>
          <w:b w:val="0"/>
          <w:sz w:val="32"/>
        </w:rPr>
        <w:t>五、《一般公共预算财政拨款支出决算表》</w:t>
      </w:r>
    </w:p>
    <w:p w14:paraId="7381A113">
      <w:pPr>
        <w:spacing w:line="240" w:lineRule="auto"/>
        <w:ind w:firstLine="640"/>
        <w:jc w:val="both"/>
      </w:pPr>
      <w:r>
        <w:rPr>
          <w:rFonts w:ascii="仿宋_GB2312" w:hAnsi="仿宋_GB2312" w:eastAsia="仿宋_GB2312"/>
          <w:b w:val="0"/>
          <w:sz w:val="32"/>
        </w:rPr>
        <w:t>六、《一般公共预算财政拨款基本支出决算表》</w:t>
      </w:r>
    </w:p>
    <w:p w14:paraId="5C8A7AFB">
      <w:pPr>
        <w:spacing w:line="240" w:lineRule="auto"/>
        <w:ind w:firstLine="640"/>
        <w:jc w:val="both"/>
      </w:pPr>
      <w:r>
        <w:rPr>
          <w:rFonts w:ascii="仿宋_GB2312" w:hAnsi="仿宋_GB2312" w:eastAsia="仿宋_GB2312"/>
          <w:b w:val="0"/>
          <w:sz w:val="32"/>
        </w:rPr>
        <w:t>七、《政府性基金预算财政拨款收入支出决算表》</w:t>
      </w:r>
    </w:p>
    <w:p w14:paraId="57171BA0">
      <w:pPr>
        <w:spacing w:line="240" w:lineRule="auto"/>
        <w:ind w:firstLine="640"/>
        <w:jc w:val="both"/>
      </w:pPr>
      <w:r>
        <w:rPr>
          <w:rFonts w:ascii="仿宋_GB2312" w:hAnsi="仿宋_GB2312" w:eastAsia="仿宋_GB2312"/>
          <w:b w:val="0"/>
          <w:sz w:val="32"/>
        </w:rPr>
        <w:t>八、《国有资本经营预算财政拨款收入支出决算表》</w:t>
      </w:r>
    </w:p>
    <w:p w14:paraId="5AF1EFDB">
      <w:pPr>
        <w:spacing w:line="240" w:lineRule="auto"/>
        <w:ind w:firstLine="640"/>
        <w:jc w:val="both"/>
      </w:pPr>
      <w:r>
        <w:rPr>
          <w:rFonts w:ascii="仿宋_GB2312" w:hAnsi="仿宋_GB2312" w:eastAsia="仿宋_GB2312"/>
          <w:b w:val="0"/>
          <w:sz w:val="32"/>
        </w:rPr>
        <w:t>九、《财政拨款“三公”经费支出决算表》</w:t>
      </w:r>
    </w:p>
    <w:p w14:paraId="4F799CA3">
      <w:pPr>
        <w:spacing w:line="240" w:lineRule="auto"/>
        <w:ind w:firstLine="640"/>
        <w:jc w:val="both"/>
      </w:pPr>
    </w:p>
    <w:p w14:paraId="00E74A59">
      <w:pPr>
        <w:spacing w:line="240" w:lineRule="auto"/>
        <w:ind w:firstLine="640"/>
        <w:jc w:val="both"/>
      </w:pPr>
    </w:p>
    <w:p w14:paraId="06415729">
      <w:pPr>
        <w:spacing w:line="240" w:lineRule="auto"/>
        <w:ind w:firstLine="640"/>
        <w:jc w:val="both"/>
      </w:pPr>
    </w:p>
    <w:p w14:paraId="28DF6AAF">
      <w:pPr>
        <w:spacing w:line="240" w:lineRule="auto"/>
        <w:ind w:firstLine="640"/>
        <w:jc w:val="both"/>
      </w:pPr>
    </w:p>
    <w:p w14:paraId="14C8167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1AC12F-69FF-4E11-AFA0-B5319C286F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63CD080-3477-41A0-A312-6F3EBC2D96F5}"/>
  </w:font>
  <w:font w:name="方正小标宋_GBK">
    <w:panose1 w:val="02000000000000000000"/>
    <w:charset w:val="86"/>
    <w:family w:val="script"/>
    <w:pitch w:val="default"/>
    <w:sig w:usb0="A00002BF" w:usb1="38CF7CFA" w:usb2="00082016" w:usb3="00000000" w:csb0="00040001" w:csb1="00000000"/>
    <w:embedRegular r:id="rId3" w:fontKey="{0D653EAB-6292-40E3-8C09-402CA38F2E94}"/>
  </w:font>
  <w:font w:name="楷体_GB2312">
    <w:altName w:val="楷体"/>
    <w:panose1 w:val="02010609030101010101"/>
    <w:charset w:val="86"/>
    <w:family w:val="auto"/>
    <w:pitch w:val="default"/>
    <w:sig w:usb0="00000000" w:usb1="00000000" w:usb2="00000000" w:usb3="00000000" w:csb0="00040000" w:csb1="00000000"/>
    <w:embedRegular r:id="rId4" w:fontKey="{592EE81B-B38B-413D-9FA6-E709EA2BAED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806A3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B80B9D"/>
    <w:rsid w:val="38006E2C"/>
    <w:rsid w:val="3914510A"/>
    <w:rsid w:val="3B1220C9"/>
    <w:rsid w:val="3D5275AC"/>
    <w:rsid w:val="3E64363F"/>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9D01AD"/>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5229</Words>
  <Characters>6028</Characters>
  <Lines>0</Lines>
  <Paragraphs>0</Paragraphs>
  <TotalTime>0</TotalTime>
  <ScaleCrop>false</ScaleCrop>
  <LinksUpToDate>false</LinksUpToDate>
  <CharactersWithSpaces>6037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2025-09-28T10:37:34Z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