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9AE7B5C">
      <w:pPr>
        <w:jc w:val="center"/>
      </w:pPr>
      <w:r>
        <w:rPr>
          <w:rFonts w:hint="eastAsia" w:ascii="方正小标宋_GBK" w:hAnsi="方正小标宋_GBK" w:eastAsia="方正小标宋_GBK" w:cs="方正小标宋_GBK"/>
          <w:b w:val="0"/>
          <w:bCs/>
          <w:sz w:val="44"/>
        </w:rPr>
        <w:t>喀什地区农业农村局党政主要负责人履行推进法治建设第一责任人职责清单</w:t>
      </w:r>
    </w:p>
    <w:tbl>
      <w:tblPr>
        <w:tblStyle w:val="3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95"/>
        <w:gridCol w:w="3197"/>
        <w:gridCol w:w="636"/>
        <w:gridCol w:w="7252"/>
        <w:gridCol w:w="1701"/>
        <w:gridCol w:w="1633"/>
        <w:gridCol w:w="1684"/>
        <w:gridCol w:w="2050"/>
        <w:gridCol w:w="1435"/>
        <w:gridCol w:w="797"/>
      </w:tblGrid>
      <w:tr w14:paraId="407650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8" w:hRule="atLeast"/>
          <w:jc w:val="center"/>
        </w:trPr>
        <w:tc>
          <w:tcPr>
            <w:tcW w:w="1295" w:type="dxa"/>
            <w:vAlign w:val="center"/>
          </w:tcPr>
          <w:p w14:paraId="19682281">
            <w:pPr>
              <w:spacing w:after="0" w:line="240" w:lineRule="auto"/>
              <w:jc w:val="center"/>
              <w:rPr>
                <w:rFonts w:hint="eastAsia" w:ascii="方正黑体_GBK" w:hAnsi="方正黑体_GBK" w:eastAsia="方正黑体_GBK" w:cs="方正黑体_GBK"/>
                <w:b w:val="0"/>
                <w:sz w:val="28"/>
                <w:szCs w:val="36"/>
                <w:lang w:val="en-US" w:eastAsia="zh-CN"/>
              </w:rPr>
            </w:pPr>
            <w:r>
              <w:rPr>
                <w:rFonts w:hint="eastAsia" w:ascii="方正黑体_GBK" w:hAnsi="方正黑体_GBK" w:eastAsia="方正黑体_GBK" w:cs="方正黑体_GBK"/>
                <w:b w:val="0"/>
                <w:sz w:val="28"/>
                <w:szCs w:val="36"/>
                <w:lang w:val="en-US" w:eastAsia="zh-CN"/>
              </w:rPr>
              <w:t>主要责任人</w:t>
            </w:r>
          </w:p>
        </w:tc>
        <w:tc>
          <w:tcPr>
            <w:tcW w:w="3197" w:type="dxa"/>
            <w:vAlign w:val="center"/>
          </w:tcPr>
          <w:p w14:paraId="2C6E3644">
            <w:pPr>
              <w:spacing w:after="0" w:line="240" w:lineRule="auto"/>
              <w:jc w:val="center"/>
              <w:rPr>
                <w:rFonts w:hint="eastAsia" w:ascii="方正黑体_GBK" w:hAnsi="方正黑体_GBK" w:eastAsia="方正黑体_GBK" w:cs="方正黑体_GBK"/>
                <w:b w:val="0"/>
                <w:sz w:val="28"/>
                <w:szCs w:val="36"/>
              </w:rPr>
            </w:pPr>
            <w:r>
              <w:rPr>
                <w:rFonts w:hint="eastAsia" w:ascii="方正黑体_GBK" w:hAnsi="方正黑体_GBK" w:eastAsia="方正黑体_GBK" w:cs="方正黑体_GBK"/>
                <w:b w:val="0"/>
                <w:sz w:val="28"/>
                <w:szCs w:val="36"/>
              </w:rPr>
              <w:t>主要职责</w:t>
            </w:r>
          </w:p>
        </w:tc>
        <w:tc>
          <w:tcPr>
            <w:tcW w:w="636" w:type="dxa"/>
            <w:vAlign w:val="center"/>
          </w:tcPr>
          <w:p w14:paraId="1F4441A5">
            <w:pPr>
              <w:spacing w:after="0" w:line="240" w:lineRule="auto"/>
              <w:jc w:val="center"/>
              <w:rPr>
                <w:rFonts w:hint="eastAsia" w:ascii="方正黑体_GBK" w:hAnsi="方正黑体_GBK" w:eastAsia="方正黑体_GBK" w:cs="方正黑体_GBK"/>
                <w:b w:val="0"/>
                <w:sz w:val="28"/>
                <w:szCs w:val="36"/>
                <w:lang w:val="en-US" w:eastAsia="zh-CN"/>
              </w:rPr>
            </w:pPr>
            <w:r>
              <w:rPr>
                <w:rFonts w:hint="eastAsia" w:ascii="方正黑体_GBK" w:hAnsi="方正黑体_GBK" w:eastAsia="方正黑体_GBK" w:cs="方正黑体_GBK"/>
                <w:b w:val="0"/>
                <w:sz w:val="28"/>
                <w:szCs w:val="36"/>
                <w:lang w:val="en-US" w:eastAsia="zh-CN"/>
              </w:rPr>
              <w:t>序号</w:t>
            </w:r>
          </w:p>
        </w:tc>
        <w:tc>
          <w:tcPr>
            <w:tcW w:w="7252" w:type="dxa"/>
            <w:vAlign w:val="center"/>
          </w:tcPr>
          <w:p w14:paraId="74E3A5C6">
            <w:pPr>
              <w:spacing w:after="0" w:line="240" w:lineRule="auto"/>
              <w:jc w:val="center"/>
              <w:rPr>
                <w:rFonts w:hint="eastAsia" w:ascii="方正黑体_GBK" w:hAnsi="方正黑体_GBK" w:eastAsia="方正黑体_GBK" w:cs="方正黑体_GBK"/>
                <w:b w:val="0"/>
                <w:sz w:val="28"/>
                <w:szCs w:val="36"/>
                <w:lang w:val="en-US" w:eastAsia="zh-CN"/>
              </w:rPr>
            </w:pPr>
            <w:bookmarkStart w:id="0" w:name="_GoBack"/>
            <w:bookmarkEnd w:id="0"/>
            <w:r>
              <w:rPr>
                <w:rFonts w:hint="eastAsia" w:ascii="方正黑体_GBK" w:hAnsi="方正黑体_GBK" w:eastAsia="方正黑体_GBK" w:cs="方正黑体_GBK"/>
                <w:b w:val="0"/>
                <w:sz w:val="28"/>
                <w:szCs w:val="36"/>
                <w:lang w:val="en-US" w:eastAsia="zh-CN"/>
              </w:rPr>
              <w:t>具体措施</w:t>
            </w:r>
          </w:p>
        </w:tc>
        <w:tc>
          <w:tcPr>
            <w:tcW w:w="1701" w:type="dxa"/>
            <w:vAlign w:val="center"/>
          </w:tcPr>
          <w:p w14:paraId="2799F201">
            <w:pPr>
              <w:spacing w:after="0" w:line="240" w:lineRule="auto"/>
              <w:jc w:val="center"/>
              <w:rPr>
                <w:rFonts w:hint="eastAsia" w:ascii="方正黑体_GBK" w:hAnsi="方正黑体_GBK" w:eastAsia="方正黑体_GBK" w:cs="方正黑体_GBK"/>
                <w:b w:val="0"/>
                <w:sz w:val="28"/>
                <w:szCs w:val="36"/>
                <w:lang w:val="en-US" w:eastAsia="zh-CN"/>
              </w:rPr>
            </w:pPr>
            <w:r>
              <w:rPr>
                <w:rFonts w:hint="eastAsia" w:ascii="方正黑体_GBK" w:hAnsi="方正黑体_GBK" w:eastAsia="方正黑体_GBK" w:cs="方正黑体_GBK"/>
                <w:b w:val="0"/>
                <w:sz w:val="28"/>
                <w:szCs w:val="36"/>
                <w:lang w:val="en-US" w:eastAsia="zh-CN"/>
              </w:rPr>
              <w:t>牵头部门</w:t>
            </w:r>
          </w:p>
        </w:tc>
        <w:tc>
          <w:tcPr>
            <w:tcW w:w="1633" w:type="dxa"/>
            <w:vAlign w:val="center"/>
          </w:tcPr>
          <w:p w14:paraId="4AB1E6FC">
            <w:pPr>
              <w:spacing w:after="0" w:line="240" w:lineRule="auto"/>
              <w:jc w:val="center"/>
              <w:rPr>
                <w:rFonts w:hint="eastAsia" w:ascii="方正黑体_GBK" w:hAnsi="方正黑体_GBK" w:eastAsia="方正黑体_GBK" w:cs="方正黑体_GBK"/>
                <w:b w:val="0"/>
                <w:sz w:val="28"/>
                <w:szCs w:val="36"/>
                <w:lang w:val="en-US" w:eastAsia="zh-CN"/>
              </w:rPr>
            </w:pPr>
            <w:r>
              <w:rPr>
                <w:rFonts w:hint="eastAsia" w:ascii="方正黑体_GBK" w:hAnsi="方正黑体_GBK" w:eastAsia="方正黑体_GBK" w:cs="方正黑体_GBK"/>
                <w:b w:val="0"/>
                <w:sz w:val="28"/>
                <w:szCs w:val="36"/>
                <w:lang w:val="en-US" w:eastAsia="zh-CN"/>
              </w:rPr>
              <w:t>负责人</w:t>
            </w:r>
          </w:p>
        </w:tc>
        <w:tc>
          <w:tcPr>
            <w:tcW w:w="1684" w:type="dxa"/>
            <w:vAlign w:val="center"/>
          </w:tcPr>
          <w:p w14:paraId="29EE5DF7">
            <w:pPr>
              <w:spacing w:after="0" w:line="240" w:lineRule="auto"/>
              <w:jc w:val="center"/>
              <w:rPr>
                <w:rFonts w:hint="eastAsia" w:ascii="方正黑体_GBK" w:hAnsi="方正黑体_GBK" w:eastAsia="方正黑体_GBK" w:cs="方正黑体_GBK"/>
                <w:b w:val="0"/>
                <w:sz w:val="28"/>
                <w:szCs w:val="36"/>
                <w:lang w:val="en-US" w:eastAsia="zh-CN"/>
              </w:rPr>
            </w:pPr>
            <w:r>
              <w:rPr>
                <w:rFonts w:hint="eastAsia" w:ascii="方正黑体_GBK" w:hAnsi="方正黑体_GBK" w:eastAsia="方正黑体_GBK" w:cs="方正黑体_GBK"/>
                <w:b w:val="0"/>
                <w:sz w:val="28"/>
                <w:szCs w:val="36"/>
                <w:lang w:val="en-US" w:eastAsia="zh-CN"/>
              </w:rPr>
              <w:t>落实部门</w:t>
            </w:r>
          </w:p>
        </w:tc>
        <w:tc>
          <w:tcPr>
            <w:tcW w:w="2050" w:type="dxa"/>
            <w:vAlign w:val="center"/>
          </w:tcPr>
          <w:p w14:paraId="2704BE46">
            <w:pPr>
              <w:spacing w:after="0" w:line="240" w:lineRule="auto"/>
              <w:jc w:val="center"/>
              <w:rPr>
                <w:rFonts w:hint="eastAsia" w:ascii="方正黑体_GBK" w:hAnsi="方正黑体_GBK" w:eastAsia="方正黑体_GBK" w:cs="方正黑体_GBK"/>
                <w:b w:val="0"/>
                <w:sz w:val="28"/>
                <w:szCs w:val="36"/>
                <w:lang w:val="en-US" w:eastAsia="zh-CN"/>
              </w:rPr>
            </w:pPr>
            <w:r>
              <w:rPr>
                <w:rFonts w:hint="eastAsia" w:ascii="方正黑体_GBK" w:hAnsi="方正黑体_GBK" w:eastAsia="方正黑体_GBK" w:cs="方正黑体_GBK"/>
                <w:b w:val="0"/>
                <w:sz w:val="28"/>
                <w:szCs w:val="36"/>
                <w:lang w:val="en-US" w:eastAsia="zh-CN"/>
              </w:rPr>
              <w:t>负责人</w:t>
            </w:r>
          </w:p>
        </w:tc>
        <w:tc>
          <w:tcPr>
            <w:tcW w:w="1435" w:type="dxa"/>
            <w:vAlign w:val="center"/>
          </w:tcPr>
          <w:p w14:paraId="650F21AC">
            <w:pPr>
              <w:spacing w:after="0" w:line="240" w:lineRule="auto"/>
              <w:jc w:val="center"/>
              <w:rPr>
                <w:rFonts w:hint="eastAsia" w:ascii="方正黑体_GBK" w:hAnsi="方正黑体_GBK" w:eastAsia="方正黑体_GBK" w:cs="方正黑体_GBK"/>
                <w:b w:val="0"/>
                <w:sz w:val="28"/>
                <w:szCs w:val="36"/>
                <w:lang w:val="en-US" w:eastAsia="zh-CN"/>
              </w:rPr>
            </w:pPr>
            <w:r>
              <w:rPr>
                <w:rFonts w:hint="eastAsia" w:ascii="方正黑体_GBK" w:hAnsi="方正黑体_GBK" w:eastAsia="方正黑体_GBK" w:cs="方正黑体_GBK"/>
                <w:b w:val="0"/>
                <w:sz w:val="28"/>
                <w:szCs w:val="36"/>
                <w:lang w:val="en-US" w:eastAsia="zh-CN"/>
              </w:rPr>
              <w:t>落实时限</w:t>
            </w:r>
          </w:p>
        </w:tc>
        <w:tc>
          <w:tcPr>
            <w:tcW w:w="797" w:type="dxa"/>
            <w:vAlign w:val="center"/>
          </w:tcPr>
          <w:p w14:paraId="388DF9AD">
            <w:pPr>
              <w:spacing w:after="0" w:line="240" w:lineRule="auto"/>
              <w:jc w:val="center"/>
              <w:rPr>
                <w:rFonts w:hint="eastAsia" w:ascii="方正黑体_GBK" w:hAnsi="方正黑体_GBK" w:eastAsia="方正黑体_GBK" w:cs="方正黑体_GBK"/>
                <w:sz w:val="40"/>
                <w:szCs w:val="36"/>
                <w:lang w:val="en-US" w:eastAsia="zh-CN"/>
              </w:rPr>
            </w:pPr>
            <w:r>
              <w:rPr>
                <w:rFonts w:hint="eastAsia" w:ascii="方正黑体_GBK" w:hAnsi="方正黑体_GBK" w:eastAsia="方正黑体_GBK" w:cs="方正黑体_GBK"/>
                <w:sz w:val="28"/>
                <w:szCs w:val="24"/>
                <w:lang w:val="en-US" w:eastAsia="zh-CN"/>
              </w:rPr>
              <w:t>备注</w:t>
            </w:r>
          </w:p>
        </w:tc>
      </w:tr>
      <w:tr w14:paraId="7E96F8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6" w:hRule="atLeast"/>
          <w:jc w:val="center"/>
        </w:trPr>
        <w:tc>
          <w:tcPr>
            <w:tcW w:w="1295" w:type="dxa"/>
            <w:vMerge w:val="restart"/>
            <w:vAlign w:val="center"/>
          </w:tcPr>
          <w:p w14:paraId="4A0FD1CD">
            <w:pPr>
              <w:spacing w:after="0" w:line="240" w:lineRule="auto"/>
              <w:jc w:val="center"/>
            </w:pPr>
            <w:r>
              <w:rPr>
                <w:rFonts w:hint="eastAsia"/>
                <w:b w:val="0"/>
                <w:sz w:val="20"/>
                <w:lang w:val="en-US" w:eastAsia="zh-CN"/>
              </w:rPr>
              <w:t>申运峰</w:t>
            </w:r>
            <w:r>
              <w:rPr>
                <w:rFonts w:ascii="仿宋" w:hAnsi="仿宋" w:eastAsia="仿宋"/>
                <w:b w:val="0"/>
                <w:sz w:val="20"/>
              </w:rPr>
              <w:t>（党组书记</w:t>
            </w:r>
            <w:r>
              <w:rPr>
                <w:rFonts w:hint="eastAsia"/>
                <w:b w:val="0"/>
                <w:sz w:val="20"/>
                <w:lang w:eastAsia="zh-CN"/>
              </w:rPr>
              <w:t>、</w:t>
            </w:r>
            <w:r>
              <w:rPr>
                <w:rFonts w:hint="eastAsia"/>
                <w:b w:val="0"/>
                <w:sz w:val="20"/>
                <w:lang w:val="en-US" w:eastAsia="zh-CN"/>
              </w:rPr>
              <w:t>副局长</w:t>
            </w:r>
            <w:r>
              <w:rPr>
                <w:rFonts w:ascii="仿宋" w:hAnsi="仿宋" w:eastAsia="仿宋"/>
                <w:b w:val="0"/>
                <w:sz w:val="20"/>
              </w:rPr>
              <w:t>）</w:t>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p>
        </w:tc>
        <w:tc>
          <w:tcPr>
            <w:tcW w:w="3197" w:type="dxa"/>
            <w:vMerge w:val="restart"/>
            <w:vAlign w:val="center"/>
          </w:tcPr>
          <w:p w14:paraId="3718D753">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一、认真学习贯彻习近平新时代中国特色社会主义思想，深入学习贯彻习近平法治思想。</w:t>
            </w:r>
          </w:p>
        </w:tc>
        <w:tc>
          <w:tcPr>
            <w:tcW w:w="636" w:type="dxa"/>
            <w:vAlign w:val="center"/>
          </w:tcPr>
          <w:p w14:paraId="3AA15BE7">
            <w:pPr>
              <w:spacing w:after="0" w:line="240" w:lineRule="auto"/>
              <w:jc w:val="center"/>
            </w:pPr>
            <w:r>
              <w:rPr>
                <w:rFonts w:ascii="仿宋" w:hAnsi="仿宋" w:eastAsia="仿宋"/>
                <w:b w:val="0"/>
                <w:sz w:val="20"/>
              </w:rPr>
              <w:t>1</w:t>
            </w:r>
          </w:p>
        </w:tc>
        <w:tc>
          <w:tcPr>
            <w:tcW w:w="7252" w:type="dxa"/>
            <w:vAlign w:val="center"/>
          </w:tcPr>
          <w:p w14:paraId="70BF7DC4">
            <w:pPr>
              <w:spacing w:after="0" w:line="240" w:lineRule="auto"/>
              <w:jc w:val="left"/>
            </w:pPr>
            <w:r>
              <w:rPr>
                <w:rFonts w:ascii="仿宋" w:hAnsi="仿宋" w:eastAsia="仿宋"/>
                <w:b w:val="0"/>
                <w:sz w:val="20"/>
              </w:rPr>
              <w:t>一是落实党组理论学习中心组学法制度，全年主持中心组法治专题学习不少于4次。二是将习近平法治思想、宪法及党内法规作为党组理论学习中心组集体学习的重要内容，纳入周五党员学习常态化机制。三是各党支部组织学习法律法规及党规党纪全年不少于4次。四是组织开展"宪法法律宣传月""全民国家安全教育日"等学习宣传活动。</w:t>
            </w:r>
          </w:p>
        </w:tc>
        <w:tc>
          <w:tcPr>
            <w:tcW w:w="1701" w:type="dxa"/>
            <w:vAlign w:val="center"/>
          </w:tcPr>
          <w:p w14:paraId="49BF5BB6">
            <w:pPr>
              <w:spacing w:after="0" w:line="240" w:lineRule="auto"/>
              <w:jc w:val="center"/>
              <w:rPr>
                <w:rFonts w:hint="eastAsia" w:eastAsia="仿宋"/>
                <w:lang w:eastAsia="zh-CN"/>
              </w:rPr>
            </w:pPr>
            <w:r>
              <w:rPr>
                <w:rFonts w:hint="eastAsia"/>
                <w:b w:val="0"/>
                <w:sz w:val="20"/>
                <w:lang w:val="en-US" w:eastAsia="zh-CN"/>
              </w:rPr>
              <w:t>机关党委</w:t>
            </w:r>
          </w:p>
        </w:tc>
        <w:tc>
          <w:tcPr>
            <w:tcW w:w="1633" w:type="dxa"/>
            <w:vAlign w:val="center"/>
          </w:tcPr>
          <w:p w14:paraId="26CCEE69">
            <w:pPr>
              <w:spacing w:after="0" w:line="240" w:lineRule="auto"/>
              <w:jc w:val="center"/>
              <w:rPr>
                <w:rFonts w:hint="default" w:eastAsia="仿宋"/>
                <w:lang w:val="en-US" w:eastAsia="zh-CN"/>
              </w:rPr>
            </w:pPr>
            <w:r>
              <w:rPr>
                <w:rFonts w:hint="eastAsia"/>
                <w:b w:val="0"/>
                <w:sz w:val="20"/>
                <w:lang w:val="en-US" w:eastAsia="zh-CN"/>
              </w:rPr>
              <w:t>齐长江、</w:t>
            </w:r>
            <w:r>
              <w:rPr>
                <w:rFonts w:hint="eastAsia" w:ascii="仿宋" w:hAnsi="仿宋" w:eastAsia="仿宋"/>
                <w:b w:val="0"/>
                <w:sz w:val="20"/>
              </w:rPr>
              <w:t>阿依古丽·哈布多拉</w:t>
            </w:r>
          </w:p>
        </w:tc>
        <w:tc>
          <w:tcPr>
            <w:tcW w:w="1684" w:type="dxa"/>
            <w:vAlign w:val="center"/>
          </w:tcPr>
          <w:p w14:paraId="131A3718">
            <w:pPr>
              <w:spacing w:after="0" w:line="240" w:lineRule="auto"/>
              <w:jc w:val="left"/>
            </w:pPr>
            <w:r>
              <w:rPr>
                <w:rFonts w:ascii="仿宋" w:hAnsi="仿宋" w:eastAsia="仿宋"/>
                <w:b w:val="0"/>
                <w:sz w:val="20"/>
              </w:rPr>
              <w:t>政策法规科</w:t>
            </w:r>
            <w:r>
              <w:rPr>
                <w:rFonts w:hint="eastAsia"/>
                <w:b w:val="0"/>
                <w:sz w:val="20"/>
                <w:lang w:val="en-US" w:eastAsia="zh-CN"/>
              </w:rPr>
              <w:t>、局机关各科室、局属各单位</w:t>
            </w:r>
          </w:p>
        </w:tc>
        <w:tc>
          <w:tcPr>
            <w:tcW w:w="2050" w:type="dxa"/>
            <w:vAlign w:val="center"/>
          </w:tcPr>
          <w:p w14:paraId="27E8FD60">
            <w:pPr>
              <w:spacing w:after="0" w:line="240" w:lineRule="auto"/>
              <w:jc w:val="center"/>
              <w:rPr>
                <w:rFonts w:hint="default"/>
                <w:lang w:val="en-US"/>
              </w:rPr>
            </w:pPr>
            <w:r>
              <w:rPr>
                <w:rFonts w:ascii="仿宋" w:hAnsi="仿宋" w:eastAsia="仿宋"/>
                <w:b w:val="0"/>
                <w:sz w:val="20"/>
              </w:rPr>
              <w:t>局班子成员，</w:t>
            </w:r>
            <w:r>
              <w:rPr>
                <w:rFonts w:hint="eastAsia"/>
                <w:b w:val="0"/>
                <w:sz w:val="20"/>
                <w:lang w:val="en-US" w:eastAsia="zh-CN"/>
              </w:rPr>
              <w:t>局机关各科室、局属各单位负责人</w:t>
            </w:r>
          </w:p>
        </w:tc>
        <w:tc>
          <w:tcPr>
            <w:tcW w:w="1435" w:type="dxa"/>
            <w:vAlign w:val="center"/>
          </w:tcPr>
          <w:p w14:paraId="33207DA8">
            <w:pPr>
              <w:spacing w:after="0" w:line="240" w:lineRule="auto"/>
              <w:jc w:val="center"/>
            </w:pPr>
            <w:r>
              <w:rPr>
                <w:rFonts w:ascii="仿宋" w:hAnsi="仿宋" w:eastAsia="仿宋"/>
                <w:b w:val="0"/>
                <w:sz w:val="20"/>
              </w:rPr>
              <w:t>2026年6月、12月底</w:t>
            </w:r>
          </w:p>
        </w:tc>
        <w:tc>
          <w:tcPr>
            <w:tcW w:w="797" w:type="dxa"/>
            <w:vAlign w:val="center"/>
          </w:tcPr>
          <w:p w14:paraId="38A89352">
            <w:pPr>
              <w:spacing w:after="0" w:line="240" w:lineRule="auto"/>
              <w:jc w:val="center"/>
            </w:pPr>
          </w:p>
        </w:tc>
      </w:tr>
      <w:tr w14:paraId="04107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7" w:hRule="atLeast"/>
          <w:jc w:val="center"/>
        </w:trPr>
        <w:tc>
          <w:tcPr>
            <w:tcW w:w="1295" w:type="dxa"/>
            <w:vMerge w:val="continue"/>
          </w:tcPr>
          <w:p w14:paraId="25C99DF3">
            <w:pPr>
              <w:spacing w:after="0" w:line="240" w:lineRule="auto"/>
            </w:pPr>
          </w:p>
        </w:tc>
        <w:tc>
          <w:tcPr>
            <w:tcW w:w="3197" w:type="dxa"/>
            <w:vMerge w:val="continue"/>
          </w:tcPr>
          <w:p w14:paraId="182135AE">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0DD845B0">
            <w:pPr>
              <w:spacing w:after="0" w:line="240" w:lineRule="auto"/>
              <w:jc w:val="center"/>
            </w:pPr>
            <w:r>
              <w:rPr>
                <w:rFonts w:ascii="仿宋" w:hAnsi="仿宋" w:eastAsia="仿宋"/>
                <w:b w:val="0"/>
                <w:sz w:val="20"/>
              </w:rPr>
              <w:t>2</w:t>
            </w:r>
          </w:p>
        </w:tc>
        <w:tc>
          <w:tcPr>
            <w:tcW w:w="7252" w:type="dxa"/>
            <w:vAlign w:val="center"/>
          </w:tcPr>
          <w:p w14:paraId="040CD490">
            <w:pPr>
              <w:spacing w:after="0" w:line="240" w:lineRule="auto"/>
              <w:jc w:val="left"/>
            </w:pPr>
            <w:r>
              <w:rPr>
                <w:rFonts w:ascii="仿宋" w:hAnsi="仿宋" w:eastAsia="仿宋"/>
                <w:b w:val="0"/>
                <w:sz w:val="20"/>
              </w:rPr>
              <w:t>一是带头运用法治思维谋划喀什"三农"发展，统筹推进"绿剑护粮安"专项执法。二是以法治手段化解种子、农药、农畜产品安全领域群众涉农矛盾，破解学用脱节突出问题。三是带头讲授法治党课、参与"法治讲堂·逢九必讲"，落实领导干部学法、考法、述法、讲法全制度。</w:t>
            </w:r>
          </w:p>
        </w:tc>
        <w:tc>
          <w:tcPr>
            <w:tcW w:w="1701" w:type="dxa"/>
            <w:vAlign w:val="center"/>
          </w:tcPr>
          <w:p w14:paraId="166E8BA2">
            <w:pPr>
              <w:spacing w:after="0" w:line="240" w:lineRule="auto"/>
              <w:jc w:val="center"/>
            </w:pPr>
            <w:r>
              <w:rPr>
                <w:rFonts w:ascii="仿宋" w:hAnsi="仿宋" w:eastAsia="仿宋"/>
                <w:b w:val="0"/>
                <w:sz w:val="20"/>
              </w:rPr>
              <w:t>政策法规科</w:t>
            </w:r>
          </w:p>
        </w:tc>
        <w:tc>
          <w:tcPr>
            <w:tcW w:w="1633" w:type="dxa"/>
            <w:vAlign w:val="center"/>
          </w:tcPr>
          <w:p w14:paraId="7A0F27E8">
            <w:pPr>
              <w:spacing w:after="0" w:line="240" w:lineRule="auto"/>
              <w:jc w:val="center"/>
            </w:pPr>
            <w:r>
              <w:rPr>
                <w:rFonts w:hint="eastAsia"/>
                <w:b w:val="0"/>
                <w:sz w:val="20"/>
                <w:lang w:val="en-US" w:eastAsia="zh-CN"/>
              </w:rPr>
              <w:t>齐长江、吴攀</w:t>
            </w:r>
          </w:p>
        </w:tc>
        <w:tc>
          <w:tcPr>
            <w:tcW w:w="1684" w:type="dxa"/>
            <w:vAlign w:val="center"/>
          </w:tcPr>
          <w:p w14:paraId="25CB0C93">
            <w:pPr>
              <w:spacing w:after="0" w:line="240" w:lineRule="auto"/>
              <w:jc w:val="left"/>
            </w:pPr>
            <w:r>
              <w:rPr>
                <w:rFonts w:hint="eastAsia"/>
                <w:b w:val="0"/>
                <w:sz w:val="20"/>
                <w:lang w:val="en-US" w:eastAsia="zh-CN"/>
              </w:rPr>
              <w:t>局机关各科室、局属各单位</w:t>
            </w:r>
          </w:p>
        </w:tc>
        <w:tc>
          <w:tcPr>
            <w:tcW w:w="2050" w:type="dxa"/>
            <w:vAlign w:val="center"/>
          </w:tcPr>
          <w:p w14:paraId="5ACEEF4A">
            <w:pPr>
              <w:spacing w:after="0" w:line="240" w:lineRule="auto"/>
              <w:jc w:val="center"/>
            </w:pPr>
            <w:r>
              <w:rPr>
                <w:rFonts w:ascii="仿宋" w:hAnsi="仿宋" w:eastAsia="仿宋"/>
                <w:b w:val="0"/>
                <w:sz w:val="20"/>
              </w:rPr>
              <w:t>局班子成员，</w:t>
            </w:r>
            <w:r>
              <w:rPr>
                <w:rFonts w:hint="eastAsia"/>
                <w:b w:val="0"/>
                <w:sz w:val="20"/>
                <w:lang w:val="en-US" w:eastAsia="zh-CN"/>
              </w:rPr>
              <w:t>局机关各科室、局属各单位负责人</w:t>
            </w:r>
          </w:p>
        </w:tc>
        <w:tc>
          <w:tcPr>
            <w:tcW w:w="1435" w:type="dxa"/>
            <w:vAlign w:val="center"/>
          </w:tcPr>
          <w:p w14:paraId="0DDCBB6B">
            <w:pPr>
              <w:spacing w:after="0" w:line="240" w:lineRule="auto"/>
              <w:jc w:val="center"/>
            </w:pPr>
            <w:r>
              <w:rPr>
                <w:rFonts w:ascii="仿宋" w:hAnsi="仿宋" w:eastAsia="仿宋"/>
                <w:b w:val="0"/>
                <w:sz w:val="20"/>
              </w:rPr>
              <w:t>2026年12月底，长期坚持</w:t>
            </w:r>
          </w:p>
        </w:tc>
        <w:tc>
          <w:tcPr>
            <w:tcW w:w="797" w:type="dxa"/>
            <w:vAlign w:val="center"/>
          </w:tcPr>
          <w:p w14:paraId="6137645E">
            <w:pPr>
              <w:spacing w:after="0" w:line="240" w:lineRule="auto"/>
              <w:jc w:val="center"/>
            </w:pPr>
          </w:p>
        </w:tc>
      </w:tr>
      <w:tr w14:paraId="6ADA2D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295" w:type="dxa"/>
            <w:vMerge w:val="continue"/>
          </w:tcPr>
          <w:p w14:paraId="013BB1DD">
            <w:pPr>
              <w:spacing w:after="0" w:line="240" w:lineRule="auto"/>
            </w:pPr>
          </w:p>
        </w:tc>
        <w:tc>
          <w:tcPr>
            <w:tcW w:w="3197" w:type="dxa"/>
            <w:vMerge w:val="continue"/>
          </w:tcPr>
          <w:p w14:paraId="72D7B1DA">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31056993">
            <w:pPr>
              <w:spacing w:after="0" w:line="240" w:lineRule="auto"/>
              <w:jc w:val="center"/>
            </w:pPr>
            <w:r>
              <w:rPr>
                <w:rFonts w:ascii="仿宋" w:hAnsi="仿宋" w:eastAsia="仿宋"/>
                <w:b w:val="0"/>
                <w:sz w:val="20"/>
              </w:rPr>
              <w:t>3</w:t>
            </w:r>
          </w:p>
        </w:tc>
        <w:tc>
          <w:tcPr>
            <w:tcW w:w="7252" w:type="dxa"/>
            <w:vAlign w:val="center"/>
          </w:tcPr>
          <w:p w14:paraId="696B18EB">
            <w:pPr>
              <w:spacing w:after="0" w:line="240" w:lineRule="auto"/>
              <w:jc w:val="left"/>
            </w:pPr>
            <w:r>
              <w:rPr>
                <w:rFonts w:ascii="仿宋" w:hAnsi="仿宋" w:eastAsia="仿宋"/>
                <w:b w:val="0"/>
                <w:sz w:val="20"/>
              </w:rPr>
              <w:t>一是每年组织班子成员、</w:t>
            </w:r>
            <w:r>
              <w:rPr>
                <w:rFonts w:hint="eastAsia"/>
                <w:b w:val="0"/>
                <w:sz w:val="20"/>
                <w:lang w:val="en-US" w:eastAsia="zh-CN"/>
              </w:rPr>
              <w:t>局属各单位</w:t>
            </w:r>
            <w:r>
              <w:rPr>
                <w:rFonts w:ascii="仿宋" w:hAnsi="仿宋" w:eastAsia="仿宋"/>
                <w:b w:val="0"/>
                <w:sz w:val="20"/>
              </w:rPr>
              <w:t>主要负责人开展年度述法评议。二是将法治履职、督察整改成效纳入干部年度考核核心指标。三是年度考法不及格者，不予评优。</w:t>
            </w:r>
          </w:p>
        </w:tc>
        <w:tc>
          <w:tcPr>
            <w:tcW w:w="1701" w:type="dxa"/>
            <w:vAlign w:val="center"/>
          </w:tcPr>
          <w:p w14:paraId="1D5E7864">
            <w:pPr>
              <w:spacing w:after="0" w:line="240" w:lineRule="auto"/>
              <w:jc w:val="center"/>
            </w:pPr>
            <w:r>
              <w:rPr>
                <w:rFonts w:ascii="仿宋" w:hAnsi="仿宋" w:eastAsia="仿宋"/>
                <w:b w:val="0"/>
                <w:sz w:val="20"/>
              </w:rPr>
              <w:t>政策法规科</w:t>
            </w:r>
          </w:p>
        </w:tc>
        <w:tc>
          <w:tcPr>
            <w:tcW w:w="1633" w:type="dxa"/>
            <w:vAlign w:val="center"/>
          </w:tcPr>
          <w:p w14:paraId="6AF9D9EA">
            <w:pPr>
              <w:spacing w:after="0" w:line="240" w:lineRule="auto"/>
              <w:jc w:val="center"/>
            </w:pPr>
            <w:r>
              <w:rPr>
                <w:rFonts w:hint="eastAsia"/>
                <w:b w:val="0"/>
                <w:sz w:val="20"/>
                <w:lang w:val="en-US" w:eastAsia="zh-CN"/>
              </w:rPr>
              <w:t>齐长江、吴攀</w:t>
            </w:r>
          </w:p>
        </w:tc>
        <w:tc>
          <w:tcPr>
            <w:tcW w:w="1684" w:type="dxa"/>
            <w:vAlign w:val="center"/>
          </w:tcPr>
          <w:p w14:paraId="4D376427">
            <w:pPr>
              <w:spacing w:after="0" w:line="240" w:lineRule="auto"/>
              <w:jc w:val="left"/>
            </w:pPr>
            <w:r>
              <w:rPr>
                <w:rFonts w:hint="eastAsia"/>
                <w:b w:val="0"/>
                <w:sz w:val="20"/>
                <w:lang w:val="en-US" w:eastAsia="zh-CN"/>
              </w:rPr>
              <w:t>局机关各科室、局属各单位</w:t>
            </w:r>
          </w:p>
        </w:tc>
        <w:tc>
          <w:tcPr>
            <w:tcW w:w="2050" w:type="dxa"/>
            <w:vAlign w:val="center"/>
          </w:tcPr>
          <w:p w14:paraId="3F2E0F70">
            <w:pPr>
              <w:spacing w:after="0" w:line="240" w:lineRule="auto"/>
              <w:jc w:val="center"/>
            </w:pPr>
            <w:r>
              <w:rPr>
                <w:rFonts w:ascii="仿宋" w:hAnsi="仿宋" w:eastAsia="仿宋"/>
                <w:b w:val="0"/>
                <w:sz w:val="20"/>
              </w:rPr>
              <w:t>局班子成员，</w:t>
            </w:r>
            <w:r>
              <w:rPr>
                <w:rFonts w:hint="eastAsia"/>
                <w:b w:val="0"/>
                <w:sz w:val="20"/>
                <w:lang w:val="en-US" w:eastAsia="zh-CN"/>
              </w:rPr>
              <w:t>局机关各科室、局属各单位负责人</w:t>
            </w:r>
          </w:p>
        </w:tc>
        <w:tc>
          <w:tcPr>
            <w:tcW w:w="1435" w:type="dxa"/>
            <w:vAlign w:val="center"/>
          </w:tcPr>
          <w:p w14:paraId="6711C753">
            <w:pPr>
              <w:spacing w:after="0" w:line="240" w:lineRule="auto"/>
              <w:jc w:val="center"/>
            </w:pPr>
            <w:r>
              <w:rPr>
                <w:rFonts w:ascii="仿宋" w:hAnsi="仿宋" w:eastAsia="仿宋"/>
                <w:b w:val="0"/>
                <w:sz w:val="20"/>
              </w:rPr>
              <w:t>2026年12月底</w:t>
            </w:r>
          </w:p>
        </w:tc>
        <w:tc>
          <w:tcPr>
            <w:tcW w:w="797" w:type="dxa"/>
            <w:vAlign w:val="center"/>
          </w:tcPr>
          <w:p w14:paraId="2357B297">
            <w:pPr>
              <w:spacing w:after="0" w:line="240" w:lineRule="auto"/>
              <w:jc w:val="center"/>
            </w:pPr>
          </w:p>
        </w:tc>
      </w:tr>
      <w:tr w14:paraId="265A13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3" w:hRule="atLeast"/>
          <w:jc w:val="center"/>
        </w:trPr>
        <w:tc>
          <w:tcPr>
            <w:tcW w:w="1295" w:type="dxa"/>
            <w:vMerge w:val="continue"/>
          </w:tcPr>
          <w:p w14:paraId="33DA9310">
            <w:pPr>
              <w:spacing w:after="0" w:line="240" w:lineRule="auto"/>
            </w:pPr>
          </w:p>
        </w:tc>
        <w:tc>
          <w:tcPr>
            <w:tcW w:w="3197" w:type="dxa"/>
            <w:vMerge w:val="restart"/>
            <w:vAlign w:val="center"/>
          </w:tcPr>
          <w:p w14:paraId="7307383E">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二、充分发挥党组在推进本局法治建设中的领导作用，定期听取推进"一规划两纲要"和法治政府建设工作汇报，及时研究解决有关重大问题；将法治建设纳入本部门"十五五"规划和年度工作计划，与中心任务同部署、同推进、同督促、同考核、同奖惩。</w:t>
            </w:r>
          </w:p>
        </w:tc>
        <w:tc>
          <w:tcPr>
            <w:tcW w:w="636" w:type="dxa"/>
            <w:vAlign w:val="center"/>
          </w:tcPr>
          <w:p w14:paraId="651915A8">
            <w:pPr>
              <w:spacing w:after="0" w:line="240" w:lineRule="auto"/>
              <w:jc w:val="center"/>
            </w:pPr>
            <w:r>
              <w:rPr>
                <w:rFonts w:ascii="仿宋" w:hAnsi="仿宋" w:eastAsia="仿宋"/>
                <w:b w:val="0"/>
                <w:sz w:val="20"/>
              </w:rPr>
              <w:t>4</w:t>
            </w:r>
          </w:p>
        </w:tc>
        <w:tc>
          <w:tcPr>
            <w:tcW w:w="7252" w:type="dxa"/>
            <w:vAlign w:val="center"/>
          </w:tcPr>
          <w:p w14:paraId="18C5ADC8">
            <w:pPr>
              <w:spacing w:after="0" w:line="240" w:lineRule="auto"/>
              <w:jc w:val="left"/>
            </w:pPr>
            <w:r>
              <w:rPr>
                <w:rFonts w:ascii="仿宋" w:hAnsi="仿宋" w:eastAsia="仿宋"/>
                <w:b w:val="0"/>
                <w:sz w:val="20"/>
              </w:rPr>
              <w:t>一是履行全局法治建设总牵头职责，法治工作与农业农村业务同部署、同推进、同督查、同考核。二是每年至少2次专题召开党组会研究法治政府建设，审定年度法治工作计划、督察整改总体方案。三是党组书记每半年听取班子成员、</w:t>
            </w:r>
            <w:r>
              <w:rPr>
                <w:rFonts w:hint="eastAsia"/>
                <w:b w:val="0"/>
                <w:sz w:val="20"/>
                <w:lang w:val="en-US" w:eastAsia="zh-CN"/>
              </w:rPr>
              <w:t>局属各单位</w:t>
            </w:r>
            <w:r>
              <w:rPr>
                <w:rFonts w:ascii="仿宋" w:hAnsi="仿宋" w:eastAsia="仿宋"/>
                <w:b w:val="0"/>
                <w:sz w:val="20"/>
              </w:rPr>
              <w:t>主要领导关于推进法治建设工作汇报。</w:t>
            </w:r>
          </w:p>
        </w:tc>
        <w:tc>
          <w:tcPr>
            <w:tcW w:w="1701" w:type="dxa"/>
            <w:vAlign w:val="center"/>
          </w:tcPr>
          <w:p w14:paraId="24611BF9">
            <w:pPr>
              <w:spacing w:after="0" w:line="240" w:lineRule="auto"/>
              <w:jc w:val="center"/>
            </w:pPr>
            <w:r>
              <w:rPr>
                <w:rFonts w:ascii="仿宋" w:hAnsi="仿宋" w:eastAsia="仿宋"/>
                <w:b w:val="0"/>
                <w:sz w:val="20"/>
              </w:rPr>
              <w:t>政策法规科</w:t>
            </w:r>
          </w:p>
        </w:tc>
        <w:tc>
          <w:tcPr>
            <w:tcW w:w="1633" w:type="dxa"/>
            <w:vAlign w:val="center"/>
          </w:tcPr>
          <w:p w14:paraId="0CB3CC72">
            <w:pPr>
              <w:spacing w:after="0" w:line="240" w:lineRule="auto"/>
              <w:jc w:val="center"/>
            </w:pPr>
            <w:r>
              <w:rPr>
                <w:rFonts w:hint="eastAsia"/>
                <w:b w:val="0"/>
                <w:sz w:val="20"/>
                <w:lang w:val="en-US" w:eastAsia="zh-CN"/>
              </w:rPr>
              <w:t>齐长江、吴攀</w:t>
            </w:r>
          </w:p>
        </w:tc>
        <w:tc>
          <w:tcPr>
            <w:tcW w:w="1684" w:type="dxa"/>
            <w:vAlign w:val="center"/>
          </w:tcPr>
          <w:p w14:paraId="02EDEB4C">
            <w:pPr>
              <w:spacing w:after="0" w:line="240" w:lineRule="auto"/>
              <w:jc w:val="left"/>
            </w:pPr>
            <w:r>
              <w:rPr>
                <w:rFonts w:hint="eastAsia"/>
                <w:b w:val="0"/>
                <w:sz w:val="20"/>
                <w:lang w:val="en-US" w:eastAsia="zh-CN"/>
              </w:rPr>
              <w:t>局机关各科室、局属各单位</w:t>
            </w:r>
          </w:p>
        </w:tc>
        <w:tc>
          <w:tcPr>
            <w:tcW w:w="2050" w:type="dxa"/>
            <w:vAlign w:val="center"/>
          </w:tcPr>
          <w:p w14:paraId="4F45F6C3">
            <w:pPr>
              <w:spacing w:after="0" w:line="240" w:lineRule="auto"/>
              <w:jc w:val="center"/>
            </w:pPr>
            <w:r>
              <w:rPr>
                <w:rFonts w:ascii="仿宋" w:hAnsi="仿宋" w:eastAsia="仿宋"/>
                <w:b w:val="0"/>
                <w:sz w:val="20"/>
              </w:rPr>
              <w:t>局班子成员，</w:t>
            </w:r>
            <w:r>
              <w:rPr>
                <w:rFonts w:hint="eastAsia"/>
                <w:b w:val="0"/>
                <w:sz w:val="20"/>
                <w:lang w:val="en-US" w:eastAsia="zh-CN"/>
              </w:rPr>
              <w:t>局机关各科室、局属各单位负责人</w:t>
            </w:r>
          </w:p>
        </w:tc>
        <w:tc>
          <w:tcPr>
            <w:tcW w:w="1435" w:type="dxa"/>
            <w:vAlign w:val="center"/>
          </w:tcPr>
          <w:p w14:paraId="50946DC8">
            <w:pPr>
              <w:spacing w:after="0" w:line="240" w:lineRule="auto"/>
              <w:jc w:val="center"/>
            </w:pPr>
            <w:r>
              <w:rPr>
                <w:rFonts w:ascii="仿宋" w:hAnsi="仿宋" w:eastAsia="仿宋"/>
                <w:b w:val="0"/>
                <w:sz w:val="20"/>
              </w:rPr>
              <w:t>2026年12月底</w:t>
            </w:r>
          </w:p>
        </w:tc>
        <w:tc>
          <w:tcPr>
            <w:tcW w:w="797" w:type="dxa"/>
            <w:vAlign w:val="center"/>
          </w:tcPr>
          <w:p w14:paraId="5A60901D">
            <w:pPr>
              <w:spacing w:after="0" w:line="240" w:lineRule="auto"/>
              <w:jc w:val="center"/>
            </w:pPr>
          </w:p>
        </w:tc>
      </w:tr>
      <w:tr w14:paraId="7F50A6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0D6FE12C">
            <w:pPr>
              <w:spacing w:after="0" w:line="240" w:lineRule="auto"/>
            </w:pPr>
          </w:p>
        </w:tc>
        <w:tc>
          <w:tcPr>
            <w:tcW w:w="3197" w:type="dxa"/>
            <w:vMerge w:val="continue"/>
          </w:tcPr>
          <w:p w14:paraId="0F23AB5C">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472C3533">
            <w:pPr>
              <w:spacing w:after="0" w:line="240" w:lineRule="auto"/>
              <w:jc w:val="center"/>
            </w:pPr>
            <w:r>
              <w:rPr>
                <w:rFonts w:ascii="仿宋" w:hAnsi="仿宋" w:eastAsia="仿宋"/>
                <w:b w:val="0"/>
                <w:sz w:val="20"/>
              </w:rPr>
              <w:t>5</w:t>
            </w:r>
          </w:p>
        </w:tc>
        <w:tc>
          <w:tcPr>
            <w:tcW w:w="7252" w:type="dxa"/>
            <w:vAlign w:val="center"/>
          </w:tcPr>
          <w:p w14:paraId="7EDBC09B">
            <w:pPr>
              <w:spacing w:after="0" w:line="240" w:lineRule="auto"/>
              <w:jc w:val="left"/>
            </w:pPr>
            <w:r>
              <w:rPr>
                <w:rFonts w:ascii="仿宋" w:hAnsi="仿宋" w:eastAsia="仿宋"/>
                <w:b w:val="0"/>
                <w:sz w:val="20"/>
              </w:rPr>
              <w:t>一是牵头成立法治督察整改工作领导小组，本人任组长。二是落实重要工作亲自部署、重大问题亲自过问、重点环节亲自协调、整改任务亲自督办。三是统筹机关各科室、</w:t>
            </w:r>
            <w:r>
              <w:rPr>
                <w:rFonts w:hint="eastAsia"/>
                <w:b w:val="0"/>
                <w:sz w:val="20"/>
                <w:lang w:val="en-US" w:eastAsia="zh-CN"/>
              </w:rPr>
              <w:t>地区</w:t>
            </w:r>
            <w:r>
              <w:rPr>
                <w:rFonts w:ascii="仿宋" w:hAnsi="仿宋" w:eastAsia="仿宋"/>
                <w:b w:val="0"/>
                <w:sz w:val="20"/>
              </w:rPr>
              <w:t>农业执法队伍一体推进反馈问题整改，杜绝纸面整改、边改边犯。</w:t>
            </w:r>
          </w:p>
        </w:tc>
        <w:tc>
          <w:tcPr>
            <w:tcW w:w="1701" w:type="dxa"/>
            <w:vAlign w:val="center"/>
          </w:tcPr>
          <w:p w14:paraId="540F9B76">
            <w:pPr>
              <w:spacing w:after="0" w:line="240" w:lineRule="auto"/>
              <w:jc w:val="center"/>
            </w:pPr>
            <w:r>
              <w:rPr>
                <w:rFonts w:ascii="仿宋" w:hAnsi="仿宋" w:eastAsia="仿宋"/>
                <w:b w:val="0"/>
                <w:sz w:val="20"/>
              </w:rPr>
              <w:t>政策法规科</w:t>
            </w:r>
          </w:p>
        </w:tc>
        <w:tc>
          <w:tcPr>
            <w:tcW w:w="1633" w:type="dxa"/>
            <w:vAlign w:val="center"/>
          </w:tcPr>
          <w:p w14:paraId="40ADF45B">
            <w:pPr>
              <w:spacing w:after="0" w:line="240" w:lineRule="auto"/>
              <w:jc w:val="center"/>
            </w:pPr>
            <w:r>
              <w:rPr>
                <w:rFonts w:hint="eastAsia"/>
                <w:b w:val="0"/>
                <w:sz w:val="20"/>
                <w:lang w:val="en-US" w:eastAsia="zh-CN"/>
              </w:rPr>
              <w:t>齐长江、吴攀</w:t>
            </w:r>
          </w:p>
        </w:tc>
        <w:tc>
          <w:tcPr>
            <w:tcW w:w="1684" w:type="dxa"/>
            <w:vAlign w:val="center"/>
          </w:tcPr>
          <w:p w14:paraId="217F7FE3">
            <w:pPr>
              <w:spacing w:after="0" w:line="240" w:lineRule="auto"/>
              <w:jc w:val="left"/>
            </w:pPr>
            <w:r>
              <w:rPr>
                <w:rFonts w:hint="eastAsia"/>
                <w:b w:val="0"/>
                <w:sz w:val="20"/>
                <w:lang w:val="en-US" w:eastAsia="zh-CN"/>
              </w:rPr>
              <w:t>局机关各科室、局属各单位</w:t>
            </w:r>
          </w:p>
        </w:tc>
        <w:tc>
          <w:tcPr>
            <w:tcW w:w="2050" w:type="dxa"/>
            <w:vAlign w:val="center"/>
          </w:tcPr>
          <w:p w14:paraId="2487ADC1">
            <w:pPr>
              <w:spacing w:after="0" w:line="240" w:lineRule="auto"/>
              <w:jc w:val="center"/>
            </w:pPr>
            <w:r>
              <w:rPr>
                <w:rFonts w:ascii="仿宋" w:hAnsi="仿宋" w:eastAsia="仿宋"/>
                <w:b w:val="0"/>
                <w:sz w:val="20"/>
              </w:rPr>
              <w:t>局班子成员，</w:t>
            </w:r>
            <w:r>
              <w:rPr>
                <w:rFonts w:hint="eastAsia"/>
                <w:b w:val="0"/>
                <w:sz w:val="20"/>
                <w:lang w:val="en-US" w:eastAsia="zh-CN"/>
              </w:rPr>
              <w:t>局机关各科室、局属各单位负责人</w:t>
            </w:r>
          </w:p>
        </w:tc>
        <w:tc>
          <w:tcPr>
            <w:tcW w:w="1435" w:type="dxa"/>
            <w:vAlign w:val="center"/>
          </w:tcPr>
          <w:p w14:paraId="64289480">
            <w:pPr>
              <w:spacing w:after="0" w:line="240" w:lineRule="auto"/>
              <w:jc w:val="center"/>
            </w:pPr>
            <w:r>
              <w:rPr>
                <w:rFonts w:ascii="仿宋" w:hAnsi="仿宋" w:eastAsia="仿宋"/>
                <w:b w:val="0"/>
                <w:sz w:val="20"/>
              </w:rPr>
              <w:t>2026年12月底，长期坚持</w:t>
            </w:r>
          </w:p>
        </w:tc>
        <w:tc>
          <w:tcPr>
            <w:tcW w:w="797" w:type="dxa"/>
            <w:vAlign w:val="center"/>
          </w:tcPr>
          <w:p w14:paraId="4457D167">
            <w:pPr>
              <w:spacing w:after="0" w:line="240" w:lineRule="auto"/>
              <w:jc w:val="center"/>
            </w:pPr>
          </w:p>
        </w:tc>
      </w:tr>
      <w:tr w14:paraId="7759CB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00F29A37">
            <w:pPr>
              <w:spacing w:after="0" w:line="240" w:lineRule="auto"/>
            </w:pPr>
          </w:p>
        </w:tc>
        <w:tc>
          <w:tcPr>
            <w:tcW w:w="3197" w:type="dxa"/>
            <w:vMerge w:val="continue"/>
          </w:tcPr>
          <w:p w14:paraId="6B771800">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64E4A9AD">
            <w:pPr>
              <w:spacing w:after="0" w:line="240" w:lineRule="auto"/>
              <w:jc w:val="center"/>
            </w:pPr>
            <w:r>
              <w:rPr>
                <w:rFonts w:ascii="仿宋" w:hAnsi="仿宋" w:eastAsia="仿宋"/>
                <w:b w:val="0"/>
                <w:sz w:val="20"/>
              </w:rPr>
              <w:t>6</w:t>
            </w:r>
          </w:p>
        </w:tc>
        <w:tc>
          <w:tcPr>
            <w:tcW w:w="7252" w:type="dxa"/>
            <w:vAlign w:val="center"/>
          </w:tcPr>
          <w:p w14:paraId="70D31629">
            <w:pPr>
              <w:spacing w:after="0" w:line="240" w:lineRule="auto"/>
              <w:jc w:val="left"/>
            </w:pPr>
            <w:r>
              <w:rPr>
                <w:rFonts w:ascii="仿宋" w:hAnsi="仿宋" w:eastAsia="仿宋"/>
                <w:b w:val="0"/>
                <w:sz w:val="20"/>
              </w:rPr>
              <w:t>根据地委依法治地、行署法治政府工作要点，研究确定年度法治建设主要任务和具体举措。</w:t>
            </w:r>
          </w:p>
        </w:tc>
        <w:tc>
          <w:tcPr>
            <w:tcW w:w="1701" w:type="dxa"/>
            <w:vAlign w:val="center"/>
          </w:tcPr>
          <w:p w14:paraId="0FA436B8">
            <w:pPr>
              <w:spacing w:after="0" w:line="240" w:lineRule="auto"/>
              <w:jc w:val="center"/>
            </w:pPr>
            <w:r>
              <w:rPr>
                <w:rFonts w:ascii="仿宋" w:hAnsi="仿宋" w:eastAsia="仿宋"/>
                <w:b w:val="0"/>
                <w:sz w:val="20"/>
              </w:rPr>
              <w:t>政策法规科</w:t>
            </w:r>
          </w:p>
        </w:tc>
        <w:tc>
          <w:tcPr>
            <w:tcW w:w="1633" w:type="dxa"/>
            <w:vAlign w:val="center"/>
          </w:tcPr>
          <w:p w14:paraId="46F512FA">
            <w:pPr>
              <w:spacing w:after="0" w:line="240" w:lineRule="auto"/>
              <w:jc w:val="center"/>
            </w:pPr>
            <w:r>
              <w:rPr>
                <w:rFonts w:hint="eastAsia"/>
                <w:b w:val="0"/>
                <w:sz w:val="20"/>
                <w:lang w:val="en-US" w:eastAsia="zh-CN"/>
              </w:rPr>
              <w:t>齐长江、吴攀</w:t>
            </w:r>
          </w:p>
        </w:tc>
        <w:tc>
          <w:tcPr>
            <w:tcW w:w="1684" w:type="dxa"/>
            <w:vAlign w:val="center"/>
          </w:tcPr>
          <w:p w14:paraId="681247EF">
            <w:pPr>
              <w:spacing w:after="0" w:line="240" w:lineRule="auto"/>
              <w:jc w:val="left"/>
            </w:pPr>
            <w:r>
              <w:rPr>
                <w:rFonts w:hint="eastAsia"/>
                <w:b w:val="0"/>
                <w:sz w:val="20"/>
                <w:lang w:val="en-US" w:eastAsia="zh-CN"/>
              </w:rPr>
              <w:t>局机关各科室、局属各单位</w:t>
            </w:r>
          </w:p>
        </w:tc>
        <w:tc>
          <w:tcPr>
            <w:tcW w:w="2050" w:type="dxa"/>
            <w:vAlign w:val="center"/>
          </w:tcPr>
          <w:p w14:paraId="3371B1D6">
            <w:pPr>
              <w:spacing w:after="0" w:line="240" w:lineRule="auto"/>
              <w:jc w:val="center"/>
            </w:pPr>
            <w:r>
              <w:rPr>
                <w:rFonts w:hint="eastAsia"/>
                <w:b w:val="0"/>
                <w:sz w:val="20"/>
                <w:lang w:val="en-US" w:eastAsia="zh-CN"/>
              </w:rPr>
              <w:t>局机关各科室、局属各单位负责人</w:t>
            </w:r>
          </w:p>
        </w:tc>
        <w:tc>
          <w:tcPr>
            <w:tcW w:w="1435" w:type="dxa"/>
            <w:vAlign w:val="center"/>
          </w:tcPr>
          <w:p w14:paraId="6D0ECADA">
            <w:pPr>
              <w:spacing w:after="0" w:line="240" w:lineRule="auto"/>
              <w:jc w:val="center"/>
            </w:pPr>
            <w:r>
              <w:rPr>
                <w:rFonts w:ascii="仿宋" w:hAnsi="仿宋" w:eastAsia="仿宋"/>
                <w:b w:val="0"/>
                <w:sz w:val="20"/>
              </w:rPr>
              <w:t>2026年</w:t>
            </w:r>
            <w:r>
              <w:rPr>
                <w:rFonts w:hint="eastAsia"/>
                <w:b w:val="0"/>
                <w:sz w:val="20"/>
                <w:lang w:val="en-US" w:eastAsia="zh-CN"/>
              </w:rPr>
              <w:t>5</w:t>
            </w:r>
            <w:r>
              <w:rPr>
                <w:rFonts w:ascii="仿宋" w:hAnsi="仿宋" w:eastAsia="仿宋"/>
                <w:b w:val="0"/>
                <w:sz w:val="20"/>
              </w:rPr>
              <w:t>月底，长期坚持</w:t>
            </w:r>
          </w:p>
        </w:tc>
        <w:tc>
          <w:tcPr>
            <w:tcW w:w="797" w:type="dxa"/>
            <w:vAlign w:val="center"/>
          </w:tcPr>
          <w:p w14:paraId="4AF61E09">
            <w:pPr>
              <w:spacing w:after="0" w:line="240" w:lineRule="auto"/>
              <w:jc w:val="center"/>
            </w:pPr>
          </w:p>
        </w:tc>
      </w:tr>
      <w:tr w14:paraId="3CBA83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1295" w:type="dxa"/>
            <w:vMerge w:val="continue"/>
          </w:tcPr>
          <w:p w14:paraId="6EDF0F4C">
            <w:pPr>
              <w:spacing w:after="0" w:line="240" w:lineRule="auto"/>
            </w:pPr>
          </w:p>
        </w:tc>
        <w:tc>
          <w:tcPr>
            <w:tcW w:w="3197" w:type="dxa"/>
            <w:vMerge w:val="continue"/>
          </w:tcPr>
          <w:p w14:paraId="1D60275A">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16973D63">
            <w:pPr>
              <w:spacing w:after="0" w:line="240" w:lineRule="auto"/>
              <w:jc w:val="center"/>
            </w:pPr>
            <w:r>
              <w:rPr>
                <w:rFonts w:ascii="仿宋" w:hAnsi="仿宋" w:eastAsia="仿宋"/>
                <w:b w:val="0"/>
                <w:sz w:val="20"/>
              </w:rPr>
              <w:t>7</w:t>
            </w:r>
          </w:p>
        </w:tc>
        <w:tc>
          <w:tcPr>
            <w:tcW w:w="7252" w:type="dxa"/>
            <w:vAlign w:val="center"/>
          </w:tcPr>
          <w:p w14:paraId="62CC0BDA">
            <w:pPr>
              <w:spacing w:after="0" w:line="240" w:lineRule="auto"/>
              <w:jc w:val="left"/>
            </w:pPr>
            <w:r>
              <w:rPr>
                <w:rFonts w:ascii="仿宋" w:hAnsi="仿宋" w:eastAsia="仿宋"/>
                <w:b w:val="0"/>
                <w:sz w:val="20"/>
              </w:rPr>
              <w:t>一是是建立法治督察与纪检监察监督协作机制，定期组织整改"回头看"。</w:t>
            </w:r>
            <w:r>
              <w:rPr>
                <w:rFonts w:hint="eastAsia"/>
                <w:b w:val="0"/>
                <w:sz w:val="20"/>
                <w:lang w:val="en-US" w:eastAsia="zh-CN"/>
              </w:rPr>
              <w:t>二</w:t>
            </w:r>
            <w:r>
              <w:rPr>
                <w:rFonts w:ascii="仿宋" w:hAnsi="仿宋" w:eastAsia="仿宋"/>
                <w:b w:val="0"/>
                <w:sz w:val="20"/>
              </w:rPr>
              <w:t>是对虚假整改、整改滞后科室及责任人督促问责。</w:t>
            </w:r>
          </w:p>
        </w:tc>
        <w:tc>
          <w:tcPr>
            <w:tcW w:w="1701" w:type="dxa"/>
            <w:vAlign w:val="center"/>
          </w:tcPr>
          <w:p w14:paraId="02C5C0D3">
            <w:pPr>
              <w:spacing w:after="0" w:line="240" w:lineRule="auto"/>
              <w:jc w:val="center"/>
              <w:rPr>
                <w:rFonts w:hint="eastAsia" w:eastAsia="仿宋"/>
                <w:lang w:eastAsia="zh-CN"/>
              </w:rPr>
            </w:pPr>
            <w:r>
              <w:rPr>
                <w:rFonts w:ascii="仿宋" w:hAnsi="仿宋" w:eastAsia="仿宋"/>
                <w:b w:val="0"/>
                <w:sz w:val="20"/>
              </w:rPr>
              <w:t>机关纪委</w:t>
            </w:r>
          </w:p>
        </w:tc>
        <w:tc>
          <w:tcPr>
            <w:tcW w:w="1633" w:type="dxa"/>
            <w:vAlign w:val="center"/>
          </w:tcPr>
          <w:p w14:paraId="137EF82B">
            <w:pPr>
              <w:spacing w:after="0" w:line="240" w:lineRule="auto"/>
              <w:jc w:val="center"/>
              <w:rPr>
                <w:rFonts w:hint="default"/>
                <w:lang w:val="en-US"/>
              </w:rPr>
            </w:pPr>
            <w:r>
              <w:rPr>
                <w:rFonts w:hint="eastAsia"/>
                <w:b w:val="0"/>
                <w:sz w:val="20"/>
                <w:lang w:val="en-US" w:eastAsia="zh-CN"/>
              </w:rPr>
              <w:t>齐长江、蔡鑫源</w:t>
            </w:r>
          </w:p>
        </w:tc>
        <w:tc>
          <w:tcPr>
            <w:tcW w:w="1684" w:type="dxa"/>
            <w:vAlign w:val="center"/>
          </w:tcPr>
          <w:p w14:paraId="37D3FE20">
            <w:pPr>
              <w:spacing w:after="0" w:line="240" w:lineRule="auto"/>
              <w:jc w:val="left"/>
            </w:pPr>
            <w:r>
              <w:rPr>
                <w:rFonts w:hint="eastAsia"/>
                <w:b w:val="0"/>
                <w:sz w:val="20"/>
                <w:lang w:val="en-US" w:eastAsia="zh-CN"/>
              </w:rPr>
              <w:t>局机关各科室、局属各单位</w:t>
            </w:r>
          </w:p>
        </w:tc>
        <w:tc>
          <w:tcPr>
            <w:tcW w:w="2050" w:type="dxa"/>
            <w:vAlign w:val="center"/>
          </w:tcPr>
          <w:p w14:paraId="62EF12BA">
            <w:pPr>
              <w:spacing w:after="0" w:line="240" w:lineRule="auto"/>
              <w:jc w:val="center"/>
            </w:pPr>
            <w:r>
              <w:rPr>
                <w:rFonts w:hint="eastAsia"/>
                <w:b w:val="0"/>
                <w:sz w:val="20"/>
                <w:lang w:val="en-US" w:eastAsia="zh-CN"/>
              </w:rPr>
              <w:t>局机关各科室、局属各单位负责人</w:t>
            </w:r>
          </w:p>
        </w:tc>
        <w:tc>
          <w:tcPr>
            <w:tcW w:w="1435" w:type="dxa"/>
            <w:vAlign w:val="center"/>
          </w:tcPr>
          <w:p w14:paraId="2C043243">
            <w:pPr>
              <w:spacing w:after="0" w:line="240" w:lineRule="auto"/>
              <w:jc w:val="center"/>
            </w:pPr>
            <w:r>
              <w:rPr>
                <w:rFonts w:ascii="仿宋" w:hAnsi="仿宋" w:eastAsia="仿宋"/>
                <w:b w:val="0"/>
                <w:sz w:val="20"/>
              </w:rPr>
              <w:t>2026年12月底，长期坚持</w:t>
            </w:r>
          </w:p>
        </w:tc>
        <w:tc>
          <w:tcPr>
            <w:tcW w:w="797" w:type="dxa"/>
            <w:vAlign w:val="center"/>
          </w:tcPr>
          <w:p w14:paraId="352C1F7B">
            <w:pPr>
              <w:spacing w:after="0" w:line="240" w:lineRule="auto"/>
              <w:jc w:val="center"/>
            </w:pPr>
          </w:p>
        </w:tc>
      </w:tr>
      <w:tr w14:paraId="519BB1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4" w:hRule="atLeast"/>
          <w:jc w:val="center"/>
        </w:trPr>
        <w:tc>
          <w:tcPr>
            <w:tcW w:w="1295" w:type="dxa"/>
            <w:vMerge w:val="continue"/>
          </w:tcPr>
          <w:p w14:paraId="38C318FD">
            <w:pPr>
              <w:spacing w:after="0" w:line="240" w:lineRule="auto"/>
            </w:pPr>
          </w:p>
        </w:tc>
        <w:tc>
          <w:tcPr>
            <w:tcW w:w="3197" w:type="dxa"/>
            <w:vAlign w:val="center"/>
          </w:tcPr>
          <w:p w14:paraId="6A055FA3">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三、坚持全面从严治党、依规治党，加强党内制度建设，提高党内制度执行力。</w:t>
            </w:r>
          </w:p>
        </w:tc>
        <w:tc>
          <w:tcPr>
            <w:tcW w:w="636" w:type="dxa"/>
            <w:vAlign w:val="center"/>
          </w:tcPr>
          <w:p w14:paraId="124DF552">
            <w:pPr>
              <w:spacing w:after="0" w:line="240" w:lineRule="auto"/>
              <w:jc w:val="center"/>
            </w:pPr>
            <w:r>
              <w:rPr>
                <w:rFonts w:ascii="仿宋" w:hAnsi="仿宋" w:eastAsia="仿宋"/>
                <w:b w:val="0"/>
                <w:sz w:val="20"/>
              </w:rPr>
              <w:t>8</w:t>
            </w:r>
          </w:p>
        </w:tc>
        <w:tc>
          <w:tcPr>
            <w:tcW w:w="7252" w:type="dxa"/>
            <w:vAlign w:val="center"/>
          </w:tcPr>
          <w:p w14:paraId="0CA2B92D">
            <w:pPr>
              <w:spacing w:after="0" w:line="240" w:lineRule="auto"/>
              <w:jc w:val="left"/>
            </w:pPr>
            <w:r>
              <w:rPr>
                <w:rFonts w:ascii="仿宋" w:hAnsi="仿宋" w:eastAsia="仿宋"/>
                <w:b w:val="0"/>
                <w:sz w:val="20"/>
              </w:rPr>
              <w:t>一是对局党组制定的制度进行梳理并建立台账，对党内相关制度进行补充和修改完善。二是推动阶段性整改措施转化为长效制度，健全法治学习、行政决策、行政执法、政务服务、整改督办常态化机制。三是补齐制度执行漏洞，构建上下联动、纪法协同的农业农村法治建设体系。</w:t>
            </w:r>
          </w:p>
        </w:tc>
        <w:tc>
          <w:tcPr>
            <w:tcW w:w="1701" w:type="dxa"/>
            <w:vAlign w:val="center"/>
          </w:tcPr>
          <w:p w14:paraId="1D2F2371">
            <w:pPr>
              <w:spacing w:after="0" w:line="240" w:lineRule="auto"/>
              <w:jc w:val="center"/>
            </w:pPr>
            <w:r>
              <w:rPr>
                <w:rFonts w:ascii="仿宋" w:hAnsi="仿宋" w:eastAsia="仿宋"/>
                <w:b w:val="0"/>
                <w:sz w:val="20"/>
              </w:rPr>
              <w:t>政策法规科</w:t>
            </w:r>
          </w:p>
        </w:tc>
        <w:tc>
          <w:tcPr>
            <w:tcW w:w="1633" w:type="dxa"/>
            <w:vAlign w:val="center"/>
          </w:tcPr>
          <w:p w14:paraId="0DD296FD">
            <w:pPr>
              <w:spacing w:after="0" w:line="240" w:lineRule="auto"/>
              <w:jc w:val="center"/>
              <w:rPr>
                <w:rFonts w:hint="eastAsia" w:eastAsia="仿宋"/>
                <w:lang w:eastAsia="zh-CN"/>
              </w:rPr>
            </w:pPr>
            <w:r>
              <w:rPr>
                <w:rFonts w:hint="eastAsia"/>
                <w:b w:val="0"/>
                <w:sz w:val="20"/>
                <w:lang w:val="en-US" w:eastAsia="zh-CN"/>
              </w:rPr>
              <w:t>齐长江、吴攀</w:t>
            </w:r>
          </w:p>
        </w:tc>
        <w:tc>
          <w:tcPr>
            <w:tcW w:w="1684" w:type="dxa"/>
            <w:vAlign w:val="center"/>
          </w:tcPr>
          <w:p w14:paraId="5C7F210B">
            <w:pPr>
              <w:spacing w:after="0" w:line="240" w:lineRule="auto"/>
              <w:jc w:val="left"/>
            </w:pPr>
            <w:r>
              <w:rPr>
                <w:rFonts w:hint="eastAsia"/>
                <w:b w:val="0"/>
                <w:sz w:val="20"/>
                <w:lang w:val="en-US" w:eastAsia="zh-CN"/>
              </w:rPr>
              <w:t>机关党委、局机关各科室、局属各单位</w:t>
            </w:r>
          </w:p>
        </w:tc>
        <w:tc>
          <w:tcPr>
            <w:tcW w:w="2050" w:type="dxa"/>
            <w:vAlign w:val="center"/>
          </w:tcPr>
          <w:p w14:paraId="01D7CF15">
            <w:pPr>
              <w:spacing w:after="0" w:line="240" w:lineRule="auto"/>
              <w:jc w:val="center"/>
            </w:pPr>
            <w:r>
              <w:rPr>
                <w:rFonts w:ascii="仿宋" w:hAnsi="仿宋" w:eastAsia="仿宋"/>
                <w:b w:val="0"/>
                <w:sz w:val="20"/>
              </w:rPr>
              <w:t>局班子成员，站所负责人</w:t>
            </w:r>
          </w:p>
        </w:tc>
        <w:tc>
          <w:tcPr>
            <w:tcW w:w="1435" w:type="dxa"/>
            <w:vAlign w:val="center"/>
          </w:tcPr>
          <w:p w14:paraId="3EF805B2">
            <w:pPr>
              <w:spacing w:after="0" w:line="240" w:lineRule="auto"/>
              <w:jc w:val="center"/>
            </w:pPr>
            <w:r>
              <w:rPr>
                <w:rFonts w:ascii="仿宋" w:hAnsi="仿宋" w:eastAsia="仿宋"/>
                <w:b w:val="0"/>
                <w:sz w:val="20"/>
              </w:rPr>
              <w:t>2026年</w:t>
            </w:r>
            <w:r>
              <w:rPr>
                <w:rFonts w:hint="eastAsia"/>
                <w:b w:val="0"/>
                <w:sz w:val="20"/>
                <w:lang w:val="en-US" w:eastAsia="zh-CN"/>
              </w:rPr>
              <w:t>8</w:t>
            </w:r>
            <w:r>
              <w:rPr>
                <w:rFonts w:ascii="仿宋" w:hAnsi="仿宋" w:eastAsia="仿宋"/>
                <w:b w:val="0"/>
                <w:sz w:val="20"/>
              </w:rPr>
              <w:t>月底，长期坚持</w:t>
            </w:r>
          </w:p>
        </w:tc>
        <w:tc>
          <w:tcPr>
            <w:tcW w:w="797" w:type="dxa"/>
            <w:vAlign w:val="center"/>
          </w:tcPr>
          <w:p w14:paraId="6F925FF6">
            <w:pPr>
              <w:spacing w:after="0" w:line="240" w:lineRule="auto"/>
              <w:jc w:val="center"/>
            </w:pPr>
          </w:p>
        </w:tc>
      </w:tr>
      <w:tr w14:paraId="74EBCE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1" w:hRule="atLeast"/>
          <w:jc w:val="center"/>
        </w:trPr>
        <w:tc>
          <w:tcPr>
            <w:tcW w:w="1295" w:type="dxa"/>
            <w:vMerge w:val="continue"/>
          </w:tcPr>
          <w:p w14:paraId="2DCDF452">
            <w:pPr>
              <w:spacing w:after="0" w:line="240" w:lineRule="auto"/>
            </w:pPr>
          </w:p>
        </w:tc>
        <w:tc>
          <w:tcPr>
            <w:tcW w:w="3197" w:type="dxa"/>
            <w:vMerge w:val="restart"/>
            <w:vAlign w:val="center"/>
          </w:tcPr>
          <w:p w14:paraId="5913D7BB">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四、严格依法依规决策，落实政府法律顾问制度、公职律师制度，加强对本部门重大行政决策、行政规范性文件的合法合规性审查。</w:t>
            </w:r>
          </w:p>
        </w:tc>
        <w:tc>
          <w:tcPr>
            <w:tcW w:w="636" w:type="dxa"/>
            <w:vAlign w:val="center"/>
          </w:tcPr>
          <w:p w14:paraId="3A584522">
            <w:pPr>
              <w:spacing w:after="0" w:line="240" w:lineRule="auto"/>
              <w:jc w:val="center"/>
            </w:pPr>
            <w:r>
              <w:rPr>
                <w:rFonts w:ascii="仿宋" w:hAnsi="仿宋" w:eastAsia="仿宋"/>
                <w:b w:val="0"/>
                <w:sz w:val="20"/>
              </w:rPr>
              <w:t>9</w:t>
            </w:r>
          </w:p>
        </w:tc>
        <w:tc>
          <w:tcPr>
            <w:tcW w:w="7252" w:type="dxa"/>
            <w:vAlign w:val="center"/>
          </w:tcPr>
          <w:p w14:paraId="18D03262">
            <w:pPr>
              <w:spacing w:after="0" w:line="240" w:lineRule="auto"/>
              <w:jc w:val="left"/>
            </w:pPr>
            <w:r>
              <w:rPr>
                <w:rFonts w:ascii="仿宋" w:hAnsi="仿宋" w:eastAsia="仿宋"/>
                <w:b w:val="0"/>
                <w:sz w:val="20"/>
              </w:rPr>
              <w:t>一是严格把控重大行政决策法定程序，督促全员落实公众参与、专家论证、风险评估、合法性审查、集体讨论五大流程。二是所有重大事项必经法律顾问前置法律风险审查。三是严格落实"三重一大"集体决策制度及"四个不直接分管"制度。</w:t>
            </w:r>
          </w:p>
        </w:tc>
        <w:tc>
          <w:tcPr>
            <w:tcW w:w="1701" w:type="dxa"/>
            <w:vAlign w:val="center"/>
          </w:tcPr>
          <w:p w14:paraId="237A96D1">
            <w:pPr>
              <w:spacing w:after="0" w:line="240" w:lineRule="auto"/>
              <w:jc w:val="center"/>
            </w:pPr>
            <w:r>
              <w:rPr>
                <w:rFonts w:ascii="仿宋" w:hAnsi="仿宋" w:eastAsia="仿宋"/>
                <w:b w:val="0"/>
                <w:sz w:val="20"/>
              </w:rPr>
              <w:t>政策法规科</w:t>
            </w:r>
          </w:p>
        </w:tc>
        <w:tc>
          <w:tcPr>
            <w:tcW w:w="1633" w:type="dxa"/>
            <w:vAlign w:val="center"/>
          </w:tcPr>
          <w:p w14:paraId="5DE25101">
            <w:pPr>
              <w:spacing w:after="0" w:line="240" w:lineRule="auto"/>
              <w:jc w:val="center"/>
            </w:pPr>
            <w:r>
              <w:rPr>
                <w:rFonts w:hint="eastAsia"/>
                <w:b w:val="0"/>
                <w:sz w:val="20"/>
                <w:lang w:val="en-US" w:eastAsia="zh-CN"/>
              </w:rPr>
              <w:t>齐长江、吴攀</w:t>
            </w:r>
          </w:p>
        </w:tc>
        <w:tc>
          <w:tcPr>
            <w:tcW w:w="1684" w:type="dxa"/>
            <w:vAlign w:val="center"/>
          </w:tcPr>
          <w:p w14:paraId="0C4DEC7F">
            <w:pPr>
              <w:spacing w:after="0" w:line="240" w:lineRule="auto"/>
              <w:jc w:val="left"/>
            </w:pPr>
            <w:r>
              <w:rPr>
                <w:rFonts w:hint="eastAsia"/>
                <w:b w:val="0"/>
                <w:sz w:val="20"/>
                <w:lang w:val="en-US" w:eastAsia="zh-CN"/>
              </w:rPr>
              <w:t>局机关各科室、局属各单位</w:t>
            </w:r>
          </w:p>
        </w:tc>
        <w:tc>
          <w:tcPr>
            <w:tcW w:w="2050" w:type="dxa"/>
            <w:vAlign w:val="center"/>
          </w:tcPr>
          <w:p w14:paraId="71FD8253">
            <w:pPr>
              <w:spacing w:after="0" w:line="240" w:lineRule="auto"/>
              <w:jc w:val="center"/>
            </w:pPr>
            <w:r>
              <w:rPr>
                <w:rFonts w:hint="eastAsia"/>
                <w:b w:val="0"/>
                <w:sz w:val="20"/>
                <w:lang w:val="en-US" w:eastAsia="zh-CN"/>
              </w:rPr>
              <w:t>局机关各科室、局属各单位负责人</w:t>
            </w:r>
          </w:p>
        </w:tc>
        <w:tc>
          <w:tcPr>
            <w:tcW w:w="1435" w:type="dxa"/>
            <w:vAlign w:val="center"/>
          </w:tcPr>
          <w:p w14:paraId="0558A2F1">
            <w:pPr>
              <w:spacing w:after="0" w:line="240" w:lineRule="auto"/>
              <w:jc w:val="center"/>
            </w:pPr>
            <w:r>
              <w:rPr>
                <w:rFonts w:ascii="仿宋" w:hAnsi="仿宋" w:eastAsia="仿宋"/>
                <w:b w:val="0"/>
                <w:sz w:val="20"/>
              </w:rPr>
              <w:t>长期坚持</w:t>
            </w:r>
          </w:p>
        </w:tc>
        <w:tc>
          <w:tcPr>
            <w:tcW w:w="797" w:type="dxa"/>
            <w:vAlign w:val="center"/>
          </w:tcPr>
          <w:p w14:paraId="7B7978D2">
            <w:pPr>
              <w:spacing w:after="0" w:line="240" w:lineRule="auto"/>
              <w:jc w:val="center"/>
            </w:pPr>
          </w:p>
        </w:tc>
      </w:tr>
      <w:tr w14:paraId="0E7038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44" w:hRule="atLeast"/>
          <w:jc w:val="center"/>
        </w:trPr>
        <w:tc>
          <w:tcPr>
            <w:tcW w:w="1295" w:type="dxa"/>
            <w:vMerge w:val="continue"/>
          </w:tcPr>
          <w:p w14:paraId="1DD1071E">
            <w:pPr>
              <w:spacing w:after="0" w:line="240" w:lineRule="auto"/>
            </w:pPr>
          </w:p>
        </w:tc>
        <w:tc>
          <w:tcPr>
            <w:tcW w:w="3197" w:type="dxa"/>
            <w:vMerge w:val="continue"/>
          </w:tcPr>
          <w:p w14:paraId="07378461">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290D7724">
            <w:pPr>
              <w:spacing w:after="0" w:line="240" w:lineRule="auto"/>
              <w:jc w:val="center"/>
            </w:pPr>
            <w:r>
              <w:rPr>
                <w:rFonts w:ascii="仿宋" w:hAnsi="仿宋" w:eastAsia="仿宋"/>
                <w:b w:val="0"/>
                <w:sz w:val="20"/>
              </w:rPr>
              <w:t>10</w:t>
            </w:r>
          </w:p>
        </w:tc>
        <w:tc>
          <w:tcPr>
            <w:tcW w:w="7252" w:type="dxa"/>
            <w:vAlign w:val="center"/>
          </w:tcPr>
          <w:p w14:paraId="23F43EF2">
            <w:pPr>
              <w:spacing w:after="0" w:line="240" w:lineRule="auto"/>
              <w:jc w:val="left"/>
            </w:pPr>
            <w:r>
              <w:rPr>
                <w:rFonts w:ascii="仿宋" w:hAnsi="仿宋" w:eastAsia="仿宋"/>
                <w:b w:val="0"/>
                <w:sz w:val="20"/>
              </w:rPr>
              <w:t>一是牵头规范规范性文件全生命周期管理，督促落实起草、合法性审核、备案、"三统一"制度。二是每年组织全局规范性文件集中清理，杜绝"带病印发"。三是定期组织法律顾问解读文件认定标准，行政规范性文件报备率、及时率、规范率达到100%。</w:t>
            </w:r>
          </w:p>
        </w:tc>
        <w:tc>
          <w:tcPr>
            <w:tcW w:w="1701" w:type="dxa"/>
            <w:vAlign w:val="center"/>
          </w:tcPr>
          <w:p w14:paraId="79C9009F">
            <w:pPr>
              <w:spacing w:after="0" w:line="240" w:lineRule="auto"/>
              <w:jc w:val="center"/>
              <w:rPr>
                <w:rFonts w:hint="default" w:eastAsia="仿宋"/>
                <w:lang w:val="en-US" w:eastAsia="zh-CN"/>
              </w:rPr>
            </w:pPr>
            <w:r>
              <w:rPr>
                <w:rFonts w:ascii="仿宋" w:hAnsi="仿宋" w:eastAsia="仿宋"/>
                <w:b w:val="0"/>
                <w:sz w:val="20"/>
              </w:rPr>
              <w:t>政策法规科</w:t>
            </w:r>
            <w:r>
              <w:rPr>
                <w:rFonts w:hint="eastAsia"/>
                <w:b w:val="0"/>
                <w:sz w:val="20"/>
                <w:lang w:eastAsia="zh-CN"/>
              </w:rPr>
              <w:t>、</w:t>
            </w:r>
            <w:r>
              <w:rPr>
                <w:rFonts w:hint="eastAsia"/>
                <w:b w:val="0"/>
                <w:sz w:val="20"/>
                <w:lang w:val="en-US" w:eastAsia="zh-CN"/>
              </w:rPr>
              <w:t>局办公室</w:t>
            </w:r>
          </w:p>
        </w:tc>
        <w:tc>
          <w:tcPr>
            <w:tcW w:w="1633" w:type="dxa"/>
            <w:vAlign w:val="center"/>
          </w:tcPr>
          <w:p w14:paraId="404FD445">
            <w:pPr>
              <w:spacing w:after="0" w:line="240" w:lineRule="auto"/>
              <w:jc w:val="center"/>
            </w:pPr>
            <w:r>
              <w:rPr>
                <w:rFonts w:hint="eastAsia"/>
                <w:b w:val="0"/>
                <w:sz w:val="20"/>
                <w:lang w:val="en-US" w:eastAsia="zh-CN"/>
              </w:rPr>
              <w:t>齐长江、吴攀</w:t>
            </w:r>
          </w:p>
        </w:tc>
        <w:tc>
          <w:tcPr>
            <w:tcW w:w="1684" w:type="dxa"/>
            <w:vAlign w:val="center"/>
          </w:tcPr>
          <w:p w14:paraId="5925D05A">
            <w:pPr>
              <w:spacing w:after="0" w:line="240" w:lineRule="auto"/>
              <w:jc w:val="left"/>
            </w:pPr>
            <w:r>
              <w:rPr>
                <w:rFonts w:hint="eastAsia"/>
                <w:b w:val="0"/>
                <w:sz w:val="20"/>
                <w:lang w:val="en-US" w:eastAsia="zh-CN"/>
              </w:rPr>
              <w:t>局机关各科室、局属各单位</w:t>
            </w:r>
          </w:p>
        </w:tc>
        <w:tc>
          <w:tcPr>
            <w:tcW w:w="2050" w:type="dxa"/>
            <w:vAlign w:val="center"/>
          </w:tcPr>
          <w:p w14:paraId="6797CF0A">
            <w:pPr>
              <w:spacing w:after="0" w:line="240" w:lineRule="auto"/>
              <w:jc w:val="center"/>
            </w:pPr>
            <w:r>
              <w:rPr>
                <w:rFonts w:hint="eastAsia"/>
                <w:b w:val="0"/>
                <w:sz w:val="20"/>
                <w:lang w:val="en-US" w:eastAsia="zh-CN"/>
              </w:rPr>
              <w:t>局机关各科室、局属各单位负责人</w:t>
            </w:r>
          </w:p>
        </w:tc>
        <w:tc>
          <w:tcPr>
            <w:tcW w:w="1435" w:type="dxa"/>
            <w:vAlign w:val="center"/>
          </w:tcPr>
          <w:p w14:paraId="30FD7876">
            <w:pPr>
              <w:spacing w:after="0" w:line="240" w:lineRule="auto"/>
              <w:jc w:val="center"/>
            </w:pPr>
            <w:r>
              <w:rPr>
                <w:rFonts w:ascii="仿宋" w:hAnsi="仿宋" w:eastAsia="仿宋"/>
                <w:b w:val="0"/>
                <w:sz w:val="20"/>
              </w:rPr>
              <w:t>2026年12月底，长期坚持</w:t>
            </w:r>
          </w:p>
        </w:tc>
        <w:tc>
          <w:tcPr>
            <w:tcW w:w="797" w:type="dxa"/>
            <w:vAlign w:val="center"/>
          </w:tcPr>
          <w:p w14:paraId="12E4ACE0">
            <w:pPr>
              <w:spacing w:after="0" w:line="240" w:lineRule="auto"/>
              <w:jc w:val="center"/>
            </w:pPr>
          </w:p>
        </w:tc>
      </w:tr>
      <w:tr w14:paraId="554A4A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3D6F87F5">
            <w:pPr>
              <w:spacing w:after="0" w:line="240" w:lineRule="auto"/>
            </w:pPr>
          </w:p>
        </w:tc>
        <w:tc>
          <w:tcPr>
            <w:tcW w:w="3197" w:type="dxa"/>
            <w:vMerge w:val="continue"/>
          </w:tcPr>
          <w:p w14:paraId="66C06E38">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38491788">
            <w:pPr>
              <w:spacing w:after="0" w:line="240" w:lineRule="auto"/>
              <w:jc w:val="center"/>
            </w:pPr>
            <w:r>
              <w:rPr>
                <w:rFonts w:ascii="仿宋" w:hAnsi="仿宋" w:eastAsia="仿宋"/>
                <w:b w:val="0"/>
                <w:sz w:val="20"/>
              </w:rPr>
              <w:t>11</w:t>
            </w:r>
          </w:p>
        </w:tc>
        <w:tc>
          <w:tcPr>
            <w:tcW w:w="7252" w:type="dxa"/>
            <w:vAlign w:val="center"/>
          </w:tcPr>
          <w:p w14:paraId="1E21017A">
            <w:pPr>
              <w:spacing w:after="0" w:line="240" w:lineRule="auto"/>
              <w:jc w:val="left"/>
            </w:pPr>
            <w:r>
              <w:rPr>
                <w:rFonts w:ascii="仿宋" w:hAnsi="仿宋" w:eastAsia="仿宋"/>
                <w:b w:val="0"/>
                <w:sz w:val="20"/>
              </w:rPr>
              <w:t>一是完善法律顾问全流程管理制度，亲自审定法律顾问选聘、年度考核方案。二是明确法律顾问参与重大合同审查、行政处罚听证、行政复议、疑难涉法事项硬性要求，杜绝"聘而不用"。三是在制定重大决策、推进依法行政中听取法律顾问意见建议。</w:t>
            </w:r>
          </w:p>
        </w:tc>
        <w:tc>
          <w:tcPr>
            <w:tcW w:w="1701" w:type="dxa"/>
            <w:vAlign w:val="center"/>
          </w:tcPr>
          <w:p w14:paraId="38E0F6C7">
            <w:pPr>
              <w:spacing w:after="0" w:line="240" w:lineRule="auto"/>
              <w:jc w:val="center"/>
            </w:pPr>
            <w:r>
              <w:rPr>
                <w:rFonts w:ascii="仿宋" w:hAnsi="仿宋" w:eastAsia="仿宋"/>
                <w:b w:val="0"/>
                <w:sz w:val="20"/>
              </w:rPr>
              <w:t>政策法规科</w:t>
            </w:r>
          </w:p>
        </w:tc>
        <w:tc>
          <w:tcPr>
            <w:tcW w:w="1633" w:type="dxa"/>
            <w:vAlign w:val="center"/>
          </w:tcPr>
          <w:p w14:paraId="375731F1">
            <w:pPr>
              <w:spacing w:after="0" w:line="240" w:lineRule="auto"/>
              <w:jc w:val="center"/>
            </w:pPr>
            <w:r>
              <w:rPr>
                <w:rFonts w:hint="eastAsia"/>
                <w:b w:val="0"/>
                <w:sz w:val="20"/>
                <w:lang w:val="en-US" w:eastAsia="zh-CN"/>
              </w:rPr>
              <w:t>齐长江、吴攀</w:t>
            </w:r>
          </w:p>
        </w:tc>
        <w:tc>
          <w:tcPr>
            <w:tcW w:w="1684" w:type="dxa"/>
            <w:vAlign w:val="center"/>
          </w:tcPr>
          <w:p w14:paraId="2E80172A">
            <w:pPr>
              <w:spacing w:after="0" w:line="240" w:lineRule="auto"/>
              <w:jc w:val="left"/>
            </w:pPr>
            <w:r>
              <w:rPr>
                <w:rFonts w:hint="eastAsia"/>
                <w:b w:val="0"/>
                <w:sz w:val="20"/>
                <w:lang w:val="en-US" w:eastAsia="zh-CN"/>
              </w:rPr>
              <w:t>局机关各科室、局属各单位</w:t>
            </w:r>
          </w:p>
        </w:tc>
        <w:tc>
          <w:tcPr>
            <w:tcW w:w="2050" w:type="dxa"/>
            <w:vAlign w:val="center"/>
          </w:tcPr>
          <w:p w14:paraId="37C3B8C0">
            <w:pPr>
              <w:spacing w:after="0" w:line="240" w:lineRule="auto"/>
              <w:jc w:val="center"/>
            </w:pPr>
            <w:r>
              <w:rPr>
                <w:rFonts w:hint="eastAsia"/>
                <w:b w:val="0"/>
                <w:sz w:val="20"/>
                <w:lang w:val="en-US" w:eastAsia="zh-CN"/>
              </w:rPr>
              <w:t>局机关各科室、局属各单位负责人</w:t>
            </w:r>
          </w:p>
        </w:tc>
        <w:tc>
          <w:tcPr>
            <w:tcW w:w="1435" w:type="dxa"/>
            <w:shd w:val="clear"/>
            <w:vAlign w:val="center"/>
          </w:tcPr>
          <w:p w14:paraId="689B341E">
            <w:pPr>
              <w:spacing w:after="0" w:line="240" w:lineRule="auto"/>
              <w:jc w:val="center"/>
              <w:rPr>
                <w:rFonts w:ascii="仿宋" w:hAnsi="仿宋" w:eastAsia="仿宋" w:cstheme="minorBidi"/>
                <w:sz w:val="24"/>
                <w:szCs w:val="22"/>
                <w:lang w:val="en-US" w:eastAsia="en-US" w:bidi="ar-SA"/>
              </w:rPr>
            </w:pPr>
            <w:r>
              <w:rPr>
                <w:rFonts w:ascii="仿宋" w:hAnsi="仿宋" w:eastAsia="仿宋"/>
                <w:b w:val="0"/>
                <w:sz w:val="20"/>
              </w:rPr>
              <w:t>2026年12月底，长期坚持</w:t>
            </w:r>
          </w:p>
        </w:tc>
        <w:tc>
          <w:tcPr>
            <w:tcW w:w="797" w:type="dxa"/>
            <w:vAlign w:val="center"/>
          </w:tcPr>
          <w:p w14:paraId="7163D67A">
            <w:pPr>
              <w:spacing w:after="0" w:line="240" w:lineRule="auto"/>
              <w:jc w:val="center"/>
            </w:pPr>
          </w:p>
        </w:tc>
      </w:tr>
      <w:tr w14:paraId="48D335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5CE0BE20">
            <w:pPr>
              <w:spacing w:after="0" w:line="240" w:lineRule="auto"/>
            </w:pPr>
          </w:p>
        </w:tc>
        <w:tc>
          <w:tcPr>
            <w:tcW w:w="3197" w:type="dxa"/>
            <w:vMerge w:val="restart"/>
            <w:vAlign w:val="center"/>
          </w:tcPr>
          <w:p w14:paraId="05C9522B">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五、支持本部门各科室依法依规履行职能；自觉带头并督促领导班子其他成员依法办事，不得干预执法活动、不插手具体案件处理。</w:t>
            </w:r>
          </w:p>
        </w:tc>
        <w:tc>
          <w:tcPr>
            <w:tcW w:w="636" w:type="dxa"/>
            <w:vAlign w:val="center"/>
          </w:tcPr>
          <w:p w14:paraId="2D4AE3ED">
            <w:pPr>
              <w:spacing w:after="0" w:line="240" w:lineRule="auto"/>
              <w:jc w:val="center"/>
            </w:pPr>
            <w:r>
              <w:rPr>
                <w:rFonts w:ascii="仿宋" w:hAnsi="仿宋" w:eastAsia="仿宋"/>
                <w:b w:val="0"/>
                <w:sz w:val="20"/>
              </w:rPr>
              <w:t>12</w:t>
            </w:r>
          </w:p>
        </w:tc>
        <w:tc>
          <w:tcPr>
            <w:tcW w:w="7252" w:type="dxa"/>
            <w:vAlign w:val="center"/>
          </w:tcPr>
          <w:p w14:paraId="5756AC40">
            <w:pPr>
              <w:spacing w:after="0" w:line="240" w:lineRule="auto"/>
              <w:jc w:val="left"/>
            </w:pPr>
            <w:r>
              <w:rPr>
                <w:rFonts w:ascii="仿宋" w:hAnsi="仿宋" w:eastAsia="仿宋"/>
                <w:b w:val="0"/>
                <w:sz w:val="20"/>
              </w:rPr>
              <w:t>一是局党组每半年听取一次</w:t>
            </w:r>
            <w:r>
              <w:rPr>
                <w:rFonts w:hint="eastAsia"/>
                <w:b w:val="0"/>
                <w:sz w:val="20"/>
                <w:lang w:val="en-US" w:eastAsia="zh-CN"/>
              </w:rPr>
              <w:t>局属各单位</w:t>
            </w:r>
            <w:r>
              <w:rPr>
                <w:rFonts w:ascii="仿宋" w:hAnsi="仿宋" w:eastAsia="仿宋"/>
                <w:b w:val="0"/>
                <w:sz w:val="20"/>
              </w:rPr>
              <w:t>推进法治建设的工作汇报，及时研究解决推进法治建设工作中遇到的问题。二是带头尊法守法、依法用权，不违规干预具体执法、司法案件。三是督促班子成员、各科室、县市执法负责人落实分管领域法治建设"一岗双责"。</w:t>
            </w:r>
          </w:p>
        </w:tc>
        <w:tc>
          <w:tcPr>
            <w:tcW w:w="1701" w:type="dxa"/>
            <w:vAlign w:val="center"/>
          </w:tcPr>
          <w:p w14:paraId="5027DA8D">
            <w:pPr>
              <w:spacing w:after="0" w:line="240" w:lineRule="auto"/>
              <w:jc w:val="center"/>
            </w:pPr>
            <w:r>
              <w:rPr>
                <w:rFonts w:ascii="仿宋" w:hAnsi="仿宋" w:eastAsia="仿宋"/>
                <w:b w:val="0"/>
                <w:sz w:val="20"/>
              </w:rPr>
              <w:t>政策法规科</w:t>
            </w:r>
          </w:p>
        </w:tc>
        <w:tc>
          <w:tcPr>
            <w:tcW w:w="1633" w:type="dxa"/>
            <w:vAlign w:val="center"/>
          </w:tcPr>
          <w:p w14:paraId="011AF49B">
            <w:pPr>
              <w:spacing w:after="0" w:line="240" w:lineRule="auto"/>
              <w:jc w:val="center"/>
            </w:pPr>
            <w:r>
              <w:rPr>
                <w:rFonts w:hint="eastAsia"/>
                <w:b w:val="0"/>
                <w:sz w:val="20"/>
                <w:lang w:val="en-US" w:eastAsia="zh-CN"/>
              </w:rPr>
              <w:t>齐长江、吴攀</w:t>
            </w:r>
          </w:p>
        </w:tc>
        <w:tc>
          <w:tcPr>
            <w:tcW w:w="1684" w:type="dxa"/>
            <w:vAlign w:val="center"/>
          </w:tcPr>
          <w:p w14:paraId="5E94FFD4">
            <w:pPr>
              <w:spacing w:after="0" w:line="240" w:lineRule="auto"/>
              <w:jc w:val="left"/>
              <w:rPr>
                <w:rFonts w:hint="default" w:eastAsia="仿宋"/>
                <w:lang w:val="en-US" w:eastAsia="zh-CN"/>
              </w:rPr>
            </w:pPr>
            <w:r>
              <w:rPr>
                <w:rFonts w:hint="eastAsia"/>
                <w:b w:val="0"/>
                <w:sz w:val="20"/>
                <w:lang w:val="en-US" w:eastAsia="zh-CN"/>
              </w:rPr>
              <w:t>局属各单位、各县市农业农村局</w:t>
            </w:r>
          </w:p>
        </w:tc>
        <w:tc>
          <w:tcPr>
            <w:tcW w:w="2050" w:type="dxa"/>
            <w:vAlign w:val="center"/>
          </w:tcPr>
          <w:p w14:paraId="3A063D0C">
            <w:pPr>
              <w:spacing w:after="0" w:line="240" w:lineRule="auto"/>
              <w:jc w:val="center"/>
            </w:pPr>
            <w:r>
              <w:rPr>
                <w:rFonts w:hint="eastAsia"/>
                <w:b w:val="0"/>
                <w:sz w:val="20"/>
                <w:lang w:val="en-US" w:eastAsia="zh-CN"/>
              </w:rPr>
              <w:t>局属各单位、各县市农业农村局</w:t>
            </w:r>
            <w:r>
              <w:rPr>
                <w:rFonts w:ascii="仿宋" w:hAnsi="仿宋" w:eastAsia="仿宋"/>
                <w:b w:val="0"/>
                <w:sz w:val="20"/>
              </w:rPr>
              <w:t>负责人</w:t>
            </w:r>
          </w:p>
        </w:tc>
        <w:tc>
          <w:tcPr>
            <w:tcW w:w="1435" w:type="dxa"/>
            <w:vAlign w:val="center"/>
          </w:tcPr>
          <w:p w14:paraId="5942E158">
            <w:pPr>
              <w:spacing w:after="0" w:line="240" w:lineRule="auto"/>
              <w:jc w:val="center"/>
            </w:pPr>
            <w:r>
              <w:rPr>
                <w:rFonts w:ascii="仿宋" w:hAnsi="仿宋" w:eastAsia="仿宋"/>
                <w:b w:val="0"/>
                <w:sz w:val="20"/>
              </w:rPr>
              <w:t>2026年6月、12月，长期坚持</w:t>
            </w:r>
          </w:p>
        </w:tc>
        <w:tc>
          <w:tcPr>
            <w:tcW w:w="797" w:type="dxa"/>
            <w:vAlign w:val="center"/>
          </w:tcPr>
          <w:p w14:paraId="3ABF5F47">
            <w:pPr>
              <w:spacing w:after="0" w:line="240" w:lineRule="auto"/>
              <w:jc w:val="center"/>
            </w:pPr>
          </w:p>
        </w:tc>
      </w:tr>
      <w:tr w14:paraId="56222D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5B3C41D3">
            <w:pPr>
              <w:spacing w:after="0" w:line="240" w:lineRule="auto"/>
            </w:pPr>
          </w:p>
        </w:tc>
        <w:tc>
          <w:tcPr>
            <w:tcW w:w="3197" w:type="dxa"/>
            <w:vMerge w:val="continue"/>
          </w:tcPr>
          <w:p w14:paraId="2E22B6A9">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3DD70F35">
            <w:pPr>
              <w:spacing w:after="0" w:line="240" w:lineRule="auto"/>
              <w:jc w:val="center"/>
            </w:pPr>
            <w:r>
              <w:rPr>
                <w:rFonts w:ascii="仿宋" w:hAnsi="仿宋" w:eastAsia="仿宋"/>
                <w:b w:val="0"/>
                <w:sz w:val="20"/>
              </w:rPr>
              <w:t>13</w:t>
            </w:r>
          </w:p>
        </w:tc>
        <w:tc>
          <w:tcPr>
            <w:tcW w:w="7252" w:type="dxa"/>
            <w:vAlign w:val="center"/>
          </w:tcPr>
          <w:p w14:paraId="0B783459">
            <w:pPr>
              <w:spacing w:after="0" w:line="240" w:lineRule="auto"/>
              <w:jc w:val="left"/>
            </w:pPr>
            <w:r>
              <w:rPr>
                <w:rFonts w:ascii="仿宋" w:hAnsi="仿宋" w:eastAsia="仿宋"/>
                <w:b w:val="0"/>
                <w:sz w:val="20"/>
              </w:rPr>
              <w:t>本系统县处级领导干部坚决做到不打听、不过问、不干预执法活动、不插手具体案件处理。</w:t>
            </w:r>
          </w:p>
        </w:tc>
        <w:tc>
          <w:tcPr>
            <w:tcW w:w="1701" w:type="dxa"/>
            <w:vAlign w:val="center"/>
          </w:tcPr>
          <w:p w14:paraId="694554E6">
            <w:pPr>
              <w:spacing w:after="0" w:line="240" w:lineRule="auto"/>
              <w:jc w:val="center"/>
            </w:pPr>
            <w:r>
              <w:rPr>
                <w:rFonts w:ascii="仿宋" w:hAnsi="仿宋" w:eastAsia="仿宋"/>
                <w:b w:val="0"/>
                <w:sz w:val="20"/>
              </w:rPr>
              <w:t>领导干部</w:t>
            </w:r>
          </w:p>
        </w:tc>
        <w:tc>
          <w:tcPr>
            <w:tcW w:w="1633" w:type="dxa"/>
            <w:vAlign w:val="center"/>
          </w:tcPr>
          <w:p w14:paraId="441BDCB6">
            <w:pPr>
              <w:spacing w:after="0" w:line="240" w:lineRule="auto"/>
              <w:jc w:val="center"/>
              <w:rPr>
                <w:rFonts w:hint="eastAsia" w:eastAsia="仿宋"/>
                <w:lang w:eastAsia="zh-CN"/>
              </w:rPr>
            </w:pPr>
            <w:r>
              <w:rPr>
                <w:rFonts w:hint="eastAsia"/>
                <w:b w:val="0"/>
                <w:sz w:val="20"/>
                <w:lang w:val="en-US" w:eastAsia="zh-CN"/>
              </w:rPr>
              <w:t>申运峰</w:t>
            </w:r>
          </w:p>
        </w:tc>
        <w:tc>
          <w:tcPr>
            <w:tcW w:w="1684" w:type="dxa"/>
            <w:vAlign w:val="center"/>
          </w:tcPr>
          <w:p w14:paraId="2EA11151">
            <w:pPr>
              <w:spacing w:after="0" w:line="240" w:lineRule="auto"/>
              <w:jc w:val="left"/>
            </w:pPr>
            <w:r>
              <w:rPr>
                <w:rFonts w:ascii="仿宋" w:hAnsi="仿宋" w:eastAsia="仿宋"/>
                <w:b w:val="0"/>
                <w:sz w:val="20"/>
              </w:rPr>
              <w:t>局党组、</w:t>
            </w:r>
            <w:r>
              <w:rPr>
                <w:rFonts w:hint="eastAsia"/>
                <w:b w:val="0"/>
                <w:sz w:val="20"/>
                <w:lang w:val="en-US" w:eastAsia="zh-CN"/>
              </w:rPr>
              <w:t>局属各单位</w:t>
            </w:r>
          </w:p>
        </w:tc>
        <w:tc>
          <w:tcPr>
            <w:tcW w:w="2050" w:type="dxa"/>
            <w:vAlign w:val="center"/>
          </w:tcPr>
          <w:p w14:paraId="42ADE76E">
            <w:pPr>
              <w:spacing w:after="0" w:line="240" w:lineRule="auto"/>
              <w:jc w:val="center"/>
            </w:pPr>
            <w:r>
              <w:rPr>
                <w:rFonts w:ascii="仿宋" w:hAnsi="仿宋" w:eastAsia="仿宋"/>
                <w:b w:val="0"/>
                <w:sz w:val="20"/>
              </w:rPr>
              <w:t>本系统县处级领导干部</w:t>
            </w:r>
          </w:p>
        </w:tc>
        <w:tc>
          <w:tcPr>
            <w:tcW w:w="1435" w:type="dxa"/>
            <w:vAlign w:val="center"/>
          </w:tcPr>
          <w:p w14:paraId="2D195F25">
            <w:pPr>
              <w:spacing w:after="0" w:line="240" w:lineRule="auto"/>
              <w:jc w:val="center"/>
            </w:pPr>
            <w:r>
              <w:rPr>
                <w:rFonts w:ascii="仿宋" w:hAnsi="仿宋" w:eastAsia="仿宋"/>
                <w:b w:val="0"/>
                <w:sz w:val="20"/>
              </w:rPr>
              <w:t>长期坚持</w:t>
            </w:r>
          </w:p>
        </w:tc>
        <w:tc>
          <w:tcPr>
            <w:tcW w:w="797" w:type="dxa"/>
            <w:vAlign w:val="center"/>
          </w:tcPr>
          <w:p w14:paraId="2F03F105">
            <w:pPr>
              <w:spacing w:after="0" w:line="240" w:lineRule="auto"/>
              <w:jc w:val="center"/>
            </w:pPr>
          </w:p>
        </w:tc>
      </w:tr>
      <w:tr w14:paraId="2E37CB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4" w:hRule="atLeast"/>
          <w:jc w:val="center"/>
        </w:trPr>
        <w:tc>
          <w:tcPr>
            <w:tcW w:w="1295" w:type="dxa"/>
            <w:vMerge w:val="continue"/>
          </w:tcPr>
          <w:p w14:paraId="43F1CA6D">
            <w:pPr>
              <w:spacing w:after="0" w:line="240" w:lineRule="auto"/>
            </w:pPr>
          </w:p>
        </w:tc>
        <w:tc>
          <w:tcPr>
            <w:tcW w:w="3197" w:type="dxa"/>
            <w:vMerge w:val="continue"/>
          </w:tcPr>
          <w:p w14:paraId="29D6EE52">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12BC283F">
            <w:pPr>
              <w:spacing w:after="0" w:line="240" w:lineRule="auto"/>
              <w:jc w:val="center"/>
            </w:pPr>
            <w:r>
              <w:rPr>
                <w:rFonts w:ascii="仿宋" w:hAnsi="仿宋" w:eastAsia="仿宋"/>
                <w:b w:val="0"/>
                <w:sz w:val="20"/>
              </w:rPr>
              <w:t>14</w:t>
            </w:r>
          </w:p>
        </w:tc>
        <w:tc>
          <w:tcPr>
            <w:tcW w:w="7252" w:type="dxa"/>
            <w:vAlign w:val="center"/>
          </w:tcPr>
          <w:p w14:paraId="36390318">
            <w:pPr>
              <w:spacing w:after="0" w:line="240" w:lineRule="auto"/>
              <w:jc w:val="left"/>
            </w:pPr>
            <w:r>
              <w:rPr>
                <w:rFonts w:ascii="仿宋" w:hAnsi="仿宋" w:eastAsia="仿宋"/>
                <w:b w:val="0"/>
                <w:sz w:val="20"/>
              </w:rPr>
              <w:t>一是本系统县处级领导干部要把依法办事情况作为领导班子民主生活会重要内容进行对照检查。二是通过党组理论学习中心组和各支部经常性学法，不断强化各级干部职工法治意识。</w:t>
            </w:r>
          </w:p>
        </w:tc>
        <w:tc>
          <w:tcPr>
            <w:tcW w:w="1701" w:type="dxa"/>
            <w:vAlign w:val="center"/>
          </w:tcPr>
          <w:p w14:paraId="4675CB7E">
            <w:pPr>
              <w:spacing w:after="0" w:line="240" w:lineRule="auto"/>
              <w:jc w:val="center"/>
            </w:pPr>
            <w:r>
              <w:rPr>
                <w:rFonts w:ascii="仿宋" w:hAnsi="仿宋" w:eastAsia="仿宋"/>
                <w:b w:val="0"/>
                <w:sz w:val="20"/>
              </w:rPr>
              <w:t>领导干部</w:t>
            </w:r>
          </w:p>
        </w:tc>
        <w:tc>
          <w:tcPr>
            <w:tcW w:w="1633" w:type="dxa"/>
            <w:vAlign w:val="center"/>
          </w:tcPr>
          <w:p w14:paraId="6AF827DD">
            <w:pPr>
              <w:spacing w:after="0" w:line="240" w:lineRule="auto"/>
              <w:jc w:val="center"/>
            </w:pPr>
            <w:r>
              <w:rPr>
                <w:rFonts w:hint="eastAsia"/>
                <w:b w:val="0"/>
                <w:sz w:val="20"/>
                <w:lang w:val="en-US" w:eastAsia="zh-CN"/>
              </w:rPr>
              <w:t>申运峰</w:t>
            </w:r>
          </w:p>
        </w:tc>
        <w:tc>
          <w:tcPr>
            <w:tcW w:w="1684" w:type="dxa"/>
            <w:vAlign w:val="center"/>
          </w:tcPr>
          <w:p w14:paraId="2C24ED09">
            <w:pPr>
              <w:spacing w:after="0" w:line="240" w:lineRule="auto"/>
              <w:jc w:val="left"/>
            </w:pPr>
            <w:r>
              <w:rPr>
                <w:rFonts w:ascii="仿宋" w:hAnsi="仿宋" w:eastAsia="仿宋"/>
                <w:b w:val="0"/>
                <w:sz w:val="20"/>
              </w:rPr>
              <w:t>局党组、</w:t>
            </w:r>
            <w:r>
              <w:rPr>
                <w:rFonts w:hint="eastAsia"/>
                <w:b w:val="0"/>
                <w:sz w:val="20"/>
                <w:lang w:val="en-US" w:eastAsia="zh-CN"/>
              </w:rPr>
              <w:t>局属各单位</w:t>
            </w:r>
          </w:p>
        </w:tc>
        <w:tc>
          <w:tcPr>
            <w:tcW w:w="2050" w:type="dxa"/>
            <w:vAlign w:val="center"/>
          </w:tcPr>
          <w:p w14:paraId="79989115">
            <w:pPr>
              <w:spacing w:after="0" w:line="240" w:lineRule="auto"/>
              <w:jc w:val="center"/>
            </w:pPr>
            <w:r>
              <w:rPr>
                <w:rFonts w:ascii="仿宋" w:hAnsi="仿宋" w:eastAsia="仿宋"/>
                <w:b w:val="0"/>
                <w:sz w:val="20"/>
              </w:rPr>
              <w:t>本系统县处级领导干部</w:t>
            </w:r>
          </w:p>
        </w:tc>
        <w:tc>
          <w:tcPr>
            <w:tcW w:w="1435" w:type="dxa"/>
            <w:vAlign w:val="center"/>
          </w:tcPr>
          <w:p w14:paraId="1FD00A35">
            <w:pPr>
              <w:spacing w:after="0" w:line="240" w:lineRule="auto"/>
              <w:jc w:val="center"/>
            </w:pPr>
            <w:r>
              <w:rPr>
                <w:rFonts w:ascii="仿宋" w:hAnsi="仿宋" w:eastAsia="仿宋"/>
                <w:b w:val="0"/>
                <w:sz w:val="20"/>
              </w:rPr>
              <w:t>2026年12月底，长期坚持</w:t>
            </w:r>
          </w:p>
        </w:tc>
        <w:tc>
          <w:tcPr>
            <w:tcW w:w="797" w:type="dxa"/>
            <w:vAlign w:val="center"/>
          </w:tcPr>
          <w:p w14:paraId="03DF318F">
            <w:pPr>
              <w:spacing w:after="0" w:line="240" w:lineRule="auto"/>
              <w:jc w:val="center"/>
            </w:pPr>
          </w:p>
        </w:tc>
      </w:tr>
      <w:tr w14:paraId="3A81A5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52" w:hRule="atLeast"/>
          <w:jc w:val="center"/>
        </w:trPr>
        <w:tc>
          <w:tcPr>
            <w:tcW w:w="1295" w:type="dxa"/>
            <w:vMerge w:val="continue"/>
          </w:tcPr>
          <w:p w14:paraId="68BB4E2B">
            <w:pPr>
              <w:spacing w:after="0" w:line="240" w:lineRule="auto"/>
            </w:pPr>
          </w:p>
        </w:tc>
        <w:tc>
          <w:tcPr>
            <w:tcW w:w="3197" w:type="dxa"/>
            <w:vMerge w:val="restart"/>
            <w:vAlign w:val="center"/>
          </w:tcPr>
          <w:p w14:paraId="189FFFAA">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六、坚持重视法治素养和法治能力的用人导向，加强法治工作队伍建设。</w:t>
            </w:r>
          </w:p>
        </w:tc>
        <w:tc>
          <w:tcPr>
            <w:tcW w:w="636" w:type="dxa"/>
            <w:vAlign w:val="center"/>
          </w:tcPr>
          <w:p w14:paraId="71EDE8D4">
            <w:pPr>
              <w:spacing w:after="0" w:line="240" w:lineRule="auto"/>
              <w:jc w:val="center"/>
            </w:pPr>
            <w:r>
              <w:rPr>
                <w:rFonts w:ascii="仿宋" w:hAnsi="仿宋" w:eastAsia="仿宋"/>
                <w:b w:val="0"/>
                <w:sz w:val="20"/>
              </w:rPr>
              <w:t>15</w:t>
            </w:r>
          </w:p>
        </w:tc>
        <w:tc>
          <w:tcPr>
            <w:tcW w:w="7252" w:type="dxa"/>
            <w:vAlign w:val="center"/>
          </w:tcPr>
          <w:p w14:paraId="140B80CE">
            <w:pPr>
              <w:spacing w:after="0" w:line="240" w:lineRule="auto"/>
              <w:jc w:val="left"/>
            </w:pPr>
            <w:r>
              <w:rPr>
                <w:rFonts w:ascii="仿宋" w:hAnsi="仿宋" w:eastAsia="仿宋"/>
                <w:b w:val="0"/>
                <w:sz w:val="20"/>
              </w:rPr>
              <w:t>一是配齐基层法治与执法力量，统筹解决县市执法大队专业人员不足、乡镇涉农赋权承接能力薄弱问题。二是保障法律顾问、执法培训、案卷评查、普法宣传专项经费。三是督促各县市配齐各领域专业执法人员（每专业不少于2人）。</w:t>
            </w:r>
          </w:p>
        </w:tc>
        <w:tc>
          <w:tcPr>
            <w:tcW w:w="1701" w:type="dxa"/>
            <w:vAlign w:val="center"/>
          </w:tcPr>
          <w:p w14:paraId="682BDADE">
            <w:pPr>
              <w:spacing w:after="0" w:line="240" w:lineRule="auto"/>
              <w:jc w:val="center"/>
              <w:rPr>
                <w:rFonts w:hint="default" w:eastAsia="仿宋"/>
                <w:lang w:val="en-US" w:eastAsia="zh-CN"/>
              </w:rPr>
            </w:pPr>
            <w:r>
              <w:rPr>
                <w:rFonts w:hint="eastAsia"/>
                <w:b w:val="0"/>
                <w:sz w:val="20"/>
                <w:lang w:val="en-US" w:eastAsia="zh-CN"/>
              </w:rPr>
              <w:t>机关党委</w:t>
            </w:r>
          </w:p>
        </w:tc>
        <w:tc>
          <w:tcPr>
            <w:tcW w:w="1633" w:type="dxa"/>
            <w:vAlign w:val="center"/>
          </w:tcPr>
          <w:p w14:paraId="54817C09">
            <w:pPr>
              <w:spacing w:after="0" w:line="240" w:lineRule="auto"/>
              <w:jc w:val="center"/>
            </w:pPr>
            <w:r>
              <w:rPr>
                <w:rFonts w:hint="eastAsia"/>
                <w:b w:val="0"/>
                <w:sz w:val="20"/>
                <w:lang w:val="en-US" w:eastAsia="zh-CN"/>
              </w:rPr>
              <w:t>齐长江、</w:t>
            </w:r>
            <w:r>
              <w:rPr>
                <w:rFonts w:hint="eastAsia" w:ascii="仿宋" w:hAnsi="仿宋" w:eastAsia="仿宋"/>
                <w:b w:val="0"/>
                <w:sz w:val="20"/>
              </w:rPr>
              <w:t>阿依古丽·哈布多拉</w:t>
            </w:r>
          </w:p>
        </w:tc>
        <w:tc>
          <w:tcPr>
            <w:tcW w:w="1684" w:type="dxa"/>
            <w:vAlign w:val="center"/>
          </w:tcPr>
          <w:p w14:paraId="1651C31D">
            <w:pPr>
              <w:spacing w:after="0" w:line="240" w:lineRule="auto"/>
              <w:jc w:val="left"/>
            </w:pPr>
            <w:r>
              <w:rPr>
                <w:rFonts w:hint="eastAsia"/>
                <w:b w:val="0"/>
                <w:sz w:val="20"/>
                <w:lang w:val="en-US" w:eastAsia="zh-CN"/>
              </w:rPr>
              <w:t>地区农业综合行政执法支队</w:t>
            </w:r>
            <w:r>
              <w:rPr>
                <w:rFonts w:ascii="仿宋" w:hAnsi="仿宋" w:eastAsia="仿宋"/>
                <w:b w:val="0"/>
                <w:sz w:val="20"/>
              </w:rPr>
              <w:t>，各县市农业农村局</w:t>
            </w:r>
          </w:p>
        </w:tc>
        <w:tc>
          <w:tcPr>
            <w:tcW w:w="2050" w:type="dxa"/>
            <w:vAlign w:val="center"/>
          </w:tcPr>
          <w:p w14:paraId="78A24138">
            <w:pPr>
              <w:spacing w:after="0" w:line="240" w:lineRule="auto"/>
              <w:jc w:val="center"/>
            </w:pPr>
            <w:r>
              <w:rPr>
                <w:rFonts w:ascii="仿宋" w:hAnsi="仿宋" w:eastAsia="仿宋"/>
                <w:b w:val="0"/>
                <w:sz w:val="20"/>
              </w:rPr>
              <w:t>局班子成员，</w:t>
            </w:r>
            <w:r>
              <w:rPr>
                <w:rFonts w:hint="eastAsia"/>
                <w:b w:val="0"/>
                <w:sz w:val="20"/>
                <w:lang w:val="en-US" w:eastAsia="zh-CN"/>
              </w:rPr>
              <w:t>局属各单位、各县市农业农村局</w:t>
            </w:r>
            <w:r>
              <w:rPr>
                <w:rFonts w:ascii="仿宋" w:hAnsi="仿宋" w:eastAsia="仿宋"/>
                <w:b w:val="0"/>
                <w:sz w:val="20"/>
              </w:rPr>
              <w:t>负责人</w:t>
            </w:r>
          </w:p>
        </w:tc>
        <w:tc>
          <w:tcPr>
            <w:tcW w:w="1435" w:type="dxa"/>
            <w:vAlign w:val="center"/>
          </w:tcPr>
          <w:p w14:paraId="5ED700E3">
            <w:pPr>
              <w:spacing w:after="0" w:line="240" w:lineRule="auto"/>
              <w:jc w:val="center"/>
            </w:pPr>
            <w:r>
              <w:rPr>
                <w:rFonts w:ascii="仿宋" w:hAnsi="仿宋" w:eastAsia="仿宋"/>
                <w:b w:val="0"/>
                <w:sz w:val="20"/>
              </w:rPr>
              <w:t>2026年12月底，长期坚持</w:t>
            </w:r>
          </w:p>
        </w:tc>
        <w:tc>
          <w:tcPr>
            <w:tcW w:w="797" w:type="dxa"/>
            <w:vAlign w:val="center"/>
          </w:tcPr>
          <w:p w14:paraId="0F0E60E7">
            <w:pPr>
              <w:spacing w:after="0" w:line="240" w:lineRule="auto"/>
              <w:jc w:val="center"/>
            </w:pPr>
          </w:p>
        </w:tc>
      </w:tr>
      <w:tr w14:paraId="25351F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53D55000">
            <w:pPr>
              <w:spacing w:after="0" w:line="240" w:lineRule="auto"/>
            </w:pPr>
          </w:p>
        </w:tc>
        <w:tc>
          <w:tcPr>
            <w:tcW w:w="3197" w:type="dxa"/>
            <w:vMerge w:val="continue"/>
          </w:tcPr>
          <w:p w14:paraId="6AEA4724">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488218D4">
            <w:pPr>
              <w:spacing w:after="0" w:line="240" w:lineRule="auto"/>
              <w:jc w:val="center"/>
            </w:pPr>
            <w:r>
              <w:rPr>
                <w:rFonts w:ascii="仿宋" w:hAnsi="仿宋" w:eastAsia="仿宋"/>
                <w:b w:val="0"/>
                <w:sz w:val="20"/>
              </w:rPr>
              <w:t>16</w:t>
            </w:r>
          </w:p>
        </w:tc>
        <w:tc>
          <w:tcPr>
            <w:tcW w:w="7252" w:type="dxa"/>
            <w:vAlign w:val="center"/>
          </w:tcPr>
          <w:p w14:paraId="77784854">
            <w:pPr>
              <w:spacing w:after="0" w:line="240" w:lineRule="auto"/>
              <w:jc w:val="left"/>
            </w:pPr>
            <w:r>
              <w:rPr>
                <w:rFonts w:ascii="仿宋" w:hAnsi="仿宋" w:eastAsia="仿宋"/>
                <w:b w:val="0"/>
                <w:sz w:val="20"/>
              </w:rPr>
              <w:t>一是局党组班子及班子成员在年度工作中，要把法治建设工作作为重要内容进行述职。二是把干部尊法学法守法用法和依法办事能力作为干部考核评优标准重要内容，纳入年度考核。</w:t>
            </w:r>
          </w:p>
        </w:tc>
        <w:tc>
          <w:tcPr>
            <w:tcW w:w="1701" w:type="dxa"/>
            <w:vAlign w:val="center"/>
          </w:tcPr>
          <w:p w14:paraId="2F6C74E1">
            <w:pPr>
              <w:spacing w:after="0" w:line="240" w:lineRule="auto"/>
              <w:jc w:val="center"/>
            </w:pPr>
            <w:r>
              <w:rPr>
                <w:rFonts w:hint="eastAsia"/>
                <w:b w:val="0"/>
                <w:sz w:val="20"/>
                <w:lang w:val="en-US" w:eastAsia="zh-CN"/>
              </w:rPr>
              <w:t>机关党委</w:t>
            </w:r>
            <w:r>
              <w:rPr>
                <w:rFonts w:ascii="仿宋" w:hAnsi="仿宋" w:eastAsia="仿宋"/>
                <w:b w:val="0"/>
                <w:sz w:val="20"/>
              </w:rPr>
              <w:t>、政策法规科</w:t>
            </w:r>
          </w:p>
        </w:tc>
        <w:tc>
          <w:tcPr>
            <w:tcW w:w="1633" w:type="dxa"/>
            <w:vAlign w:val="center"/>
          </w:tcPr>
          <w:p w14:paraId="730FC642">
            <w:pPr>
              <w:spacing w:after="0" w:line="240" w:lineRule="auto"/>
              <w:jc w:val="center"/>
            </w:pPr>
            <w:r>
              <w:rPr>
                <w:rFonts w:hint="eastAsia"/>
                <w:b w:val="0"/>
                <w:sz w:val="20"/>
                <w:lang w:val="en-US" w:eastAsia="zh-CN"/>
              </w:rPr>
              <w:t>齐长江、</w:t>
            </w:r>
            <w:r>
              <w:rPr>
                <w:rFonts w:hint="eastAsia" w:ascii="仿宋" w:hAnsi="仿宋" w:eastAsia="仿宋"/>
                <w:b w:val="0"/>
                <w:sz w:val="20"/>
              </w:rPr>
              <w:t>阿依古丽·哈布多拉</w:t>
            </w:r>
          </w:p>
        </w:tc>
        <w:tc>
          <w:tcPr>
            <w:tcW w:w="1684" w:type="dxa"/>
            <w:vAlign w:val="center"/>
          </w:tcPr>
          <w:p w14:paraId="5E7A813B">
            <w:pPr>
              <w:spacing w:after="0" w:line="240" w:lineRule="auto"/>
              <w:jc w:val="left"/>
            </w:pPr>
            <w:r>
              <w:rPr>
                <w:rFonts w:hint="eastAsia"/>
                <w:b w:val="0"/>
                <w:sz w:val="20"/>
                <w:lang w:val="en-US" w:eastAsia="zh-CN"/>
              </w:rPr>
              <w:t>局机关各科室、局属各单位</w:t>
            </w:r>
          </w:p>
        </w:tc>
        <w:tc>
          <w:tcPr>
            <w:tcW w:w="2050" w:type="dxa"/>
            <w:vAlign w:val="center"/>
          </w:tcPr>
          <w:p w14:paraId="48DACCB2">
            <w:pPr>
              <w:spacing w:after="0" w:line="240" w:lineRule="auto"/>
              <w:jc w:val="center"/>
            </w:pPr>
            <w:r>
              <w:rPr>
                <w:rFonts w:ascii="仿宋" w:hAnsi="仿宋" w:eastAsia="仿宋"/>
                <w:b w:val="0"/>
                <w:sz w:val="20"/>
              </w:rPr>
              <w:t>局班子成员、</w:t>
            </w:r>
            <w:r>
              <w:rPr>
                <w:rFonts w:hint="eastAsia"/>
                <w:b w:val="0"/>
                <w:sz w:val="20"/>
                <w:lang w:val="en-US" w:eastAsia="zh-CN"/>
              </w:rPr>
              <w:t>局属各单位</w:t>
            </w:r>
            <w:r>
              <w:rPr>
                <w:rFonts w:ascii="仿宋" w:hAnsi="仿宋" w:eastAsia="仿宋"/>
                <w:b w:val="0"/>
                <w:sz w:val="20"/>
              </w:rPr>
              <w:t>负责人</w:t>
            </w:r>
          </w:p>
        </w:tc>
        <w:tc>
          <w:tcPr>
            <w:tcW w:w="1435" w:type="dxa"/>
            <w:vAlign w:val="center"/>
          </w:tcPr>
          <w:p w14:paraId="6F103E6D">
            <w:pPr>
              <w:spacing w:after="0" w:line="240" w:lineRule="auto"/>
              <w:jc w:val="center"/>
            </w:pPr>
            <w:r>
              <w:rPr>
                <w:rFonts w:ascii="仿宋" w:hAnsi="仿宋" w:eastAsia="仿宋"/>
                <w:b w:val="0"/>
                <w:sz w:val="20"/>
              </w:rPr>
              <w:t>2026年12月底，长期坚持</w:t>
            </w:r>
          </w:p>
        </w:tc>
        <w:tc>
          <w:tcPr>
            <w:tcW w:w="797" w:type="dxa"/>
            <w:vAlign w:val="center"/>
          </w:tcPr>
          <w:p w14:paraId="7F7123A2">
            <w:pPr>
              <w:spacing w:after="0" w:line="240" w:lineRule="auto"/>
              <w:jc w:val="center"/>
            </w:pPr>
          </w:p>
        </w:tc>
      </w:tr>
      <w:tr w14:paraId="7B210B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95" w:type="dxa"/>
            <w:vMerge w:val="continue"/>
          </w:tcPr>
          <w:p w14:paraId="20B3814F">
            <w:pPr>
              <w:spacing w:after="0" w:line="240" w:lineRule="auto"/>
            </w:pPr>
          </w:p>
        </w:tc>
        <w:tc>
          <w:tcPr>
            <w:tcW w:w="3197" w:type="dxa"/>
            <w:vMerge w:val="continue"/>
          </w:tcPr>
          <w:p w14:paraId="2B130201">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52742035">
            <w:pPr>
              <w:spacing w:after="0" w:line="240" w:lineRule="auto"/>
              <w:jc w:val="center"/>
            </w:pPr>
            <w:r>
              <w:rPr>
                <w:rFonts w:ascii="仿宋" w:hAnsi="仿宋" w:eastAsia="仿宋"/>
                <w:b w:val="0"/>
                <w:sz w:val="20"/>
              </w:rPr>
              <w:t>17</w:t>
            </w:r>
          </w:p>
        </w:tc>
        <w:tc>
          <w:tcPr>
            <w:tcW w:w="7252" w:type="dxa"/>
            <w:vAlign w:val="center"/>
          </w:tcPr>
          <w:p w14:paraId="25178247">
            <w:pPr>
              <w:spacing w:after="0" w:line="240" w:lineRule="auto"/>
              <w:jc w:val="left"/>
            </w:pPr>
            <w:r>
              <w:rPr>
                <w:rFonts w:ascii="仿宋" w:hAnsi="仿宋" w:eastAsia="仿宋"/>
                <w:b w:val="0"/>
                <w:sz w:val="20"/>
              </w:rPr>
              <w:t>一是落实党组管理干部任前法律知识、党内法规知识考试制度，将干部任前考试结果与任用履职相挂钩。二是树立法治导向用人标准，将依法办事、法治履职、整改成效作为干部评优、提拔重要依据。</w:t>
            </w:r>
          </w:p>
        </w:tc>
        <w:tc>
          <w:tcPr>
            <w:tcW w:w="1701" w:type="dxa"/>
            <w:vAlign w:val="center"/>
          </w:tcPr>
          <w:p w14:paraId="4017C398">
            <w:pPr>
              <w:spacing w:after="0" w:line="240" w:lineRule="auto"/>
              <w:jc w:val="center"/>
            </w:pPr>
            <w:r>
              <w:rPr>
                <w:rFonts w:hint="eastAsia"/>
                <w:b w:val="0"/>
                <w:sz w:val="20"/>
                <w:lang w:val="en-US" w:eastAsia="zh-CN"/>
              </w:rPr>
              <w:t>机关党委</w:t>
            </w:r>
            <w:r>
              <w:rPr>
                <w:rFonts w:ascii="仿宋" w:hAnsi="仿宋" w:eastAsia="仿宋"/>
                <w:b w:val="0"/>
                <w:sz w:val="20"/>
              </w:rPr>
              <w:t>、政策法规科</w:t>
            </w:r>
          </w:p>
        </w:tc>
        <w:tc>
          <w:tcPr>
            <w:tcW w:w="1633" w:type="dxa"/>
            <w:vAlign w:val="center"/>
          </w:tcPr>
          <w:p w14:paraId="65E9C87E">
            <w:pPr>
              <w:spacing w:after="0" w:line="240" w:lineRule="auto"/>
              <w:jc w:val="center"/>
            </w:pPr>
            <w:r>
              <w:rPr>
                <w:rFonts w:hint="eastAsia"/>
                <w:b w:val="0"/>
                <w:sz w:val="20"/>
                <w:lang w:val="en-US" w:eastAsia="zh-CN"/>
              </w:rPr>
              <w:t>齐长江、</w:t>
            </w:r>
            <w:r>
              <w:rPr>
                <w:rFonts w:hint="eastAsia" w:ascii="仿宋" w:hAnsi="仿宋" w:eastAsia="仿宋"/>
                <w:b w:val="0"/>
                <w:sz w:val="20"/>
              </w:rPr>
              <w:t>阿依古丽·哈布多拉</w:t>
            </w:r>
          </w:p>
        </w:tc>
        <w:tc>
          <w:tcPr>
            <w:tcW w:w="1684" w:type="dxa"/>
            <w:vAlign w:val="center"/>
          </w:tcPr>
          <w:p w14:paraId="06AD7193">
            <w:pPr>
              <w:spacing w:after="0" w:line="240" w:lineRule="auto"/>
              <w:jc w:val="left"/>
            </w:pPr>
            <w:r>
              <w:rPr>
                <w:rFonts w:hint="eastAsia"/>
                <w:b w:val="0"/>
                <w:sz w:val="20"/>
                <w:lang w:val="en-US" w:eastAsia="zh-CN"/>
              </w:rPr>
              <w:t>局机关各科室、局属各单位</w:t>
            </w:r>
          </w:p>
        </w:tc>
        <w:tc>
          <w:tcPr>
            <w:tcW w:w="2050" w:type="dxa"/>
            <w:vAlign w:val="center"/>
          </w:tcPr>
          <w:p w14:paraId="52E8F438">
            <w:pPr>
              <w:spacing w:after="0" w:line="240" w:lineRule="auto"/>
              <w:jc w:val="center"/>
            </w:pPr>
            <w:r>
              <w:rPr>
                <w:rFonts w:ascii="仿宋" w:hAnsi="仿宋" w:eastAsia="仿宋"/>
                <w:b w:val="0"/>
                <w:sz w:val="20"/>
              </w:rPr>
              <w:t>局班子成员、</w:t>
            </w:r>
            <w:r>
              <w:rPr>
                <w:rFonts w:hint="eastAsia"/>
                <w:b w:val="0"/>
                <w:sz w:val="20"/>
                <w:lang w:val="en-US" w:eastAsia="zh-CN"/>
              </w:rPr>
              <w:t>局属各单位</w:t>
            </w:r>
            <w:r>
              <w:rPr>
                <w:rFonts w:ascii="仿宋" w:hAnsi="仿宋" w:eastAsia="仿宋"/>
                <w:b w:val="0"/>
                <w:sz w:val="20"/>
              </w:rPr>
              <w:t>负责人</w:t>
            </w:r>
          </w:p>
        </w:tc>
        <w:tc>
          <w:tcPr>
            <w:tcW w:w="1435" w:type="dxa"/>
            <w:vAlign w:val="center"/>
          </w:tcPr>
          <w:p w14:paraId="3515E333">
            <w:pPr>
              <w:spacing w:after="0" w:line="240" w:lineRule="auto"/>
              <w:jc w:val="center"/>
            </w:pPr>
            <w:r>
              <w:rPr>
                <w:rFonts w:ascii="仿宋" w:hAnsi="仿宋" w:eastAsia="仿宋"/>
                <w:b w:val="0"/>
                <w:sz w:val="20"/>
              </w:rPr>
              <w:t>长期坚持</w:t>
            </w:r>
          </w:p>
        </w:tc>
        <w:tc>
          <w:tcPr>
            <w:tcW w:w="797" w:type="dxa"/>
            <w:vAlign w:val="center"/>
          </w:tcPr>
          <w:p w14:paraId="22CFBACC">
            <w:pPr>
              <w:spacing w:after="0" w:line="240" w:lineRule="auto"/>
              <w:jc w:val="center"/>
            </w:pPr>
          </w:p>
        </w:tc>
      </w:tr>
      <w:tr w14:paraId="17AC01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8" w:hRule="atLeast"/>
          <w:jc w:val="center"/>
        </w:trPr>
        <w:tc>
          <w:tcPr>
            <w:tcW w:w="1295" w:type="dxa"/>
            <w:vMerge w:val="continue"/>
          </w:tcPr>
          <w:p w14:paraId="26ADF20C">
            <w:pPr>
              <w:spacing w:after="0" w:line="240" w:lineRule="auto"/>
            </w:pPr>
          </w:p>
        </w:tc>
        <w:tc>
          <w:tcPr>
            <w:tcW w:w="3197" w:type="dxa"/>
            <w:vMerge w:val="continue"/>
          </w:tcPr>
          <w:p w14:paraId="23CD8778">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7FE5B438">
            <w:pPr>
              <w:spacing w:after="0" w:line="240" w:lineRule="auto"/>
              <w:jc w:val="center"/>
            </w:pPr>
            <w:r>
              <w:rPr>
                <w:rFonts w:ascii="仿宋" w:hAnsi="仿宋" w:eastAsia="仿宋"/>
                <w:b w:val="0"/>
                <w:sz w:val="20"/>
              </w:rPr>
              <w:t>18</w:t>
            </w:r>
          </w:p>
        </w:tc>
        <w:tc>
          <w:tcPr>
            <w:tcW w:w="7252" w:type="dxa"/>
            <w:vAlign w:val="center"/>
          </w:tcPr>
          <w:p w14:paraId="70B6882C">
            <w:pPr>
              <w:spacing w:after="0" w:line="240" w:lineRule="auto"/>
              <w:jc w:val="left"/>
            </w:pPr>
            <w:r>
              <w:rPr>
                <w:rFonts w:ascii="仿宋" w:hAnsi="仿宋" w:eastAsia="仿宋"/>
                <w:b w:val="0"/>
                <w:sz w:val="20"/>
              </w:rPr>
              <w:t>一是把遵守法律、依法办事作为考察干部的重要内容，相同条件下优先提拔使用法治素养好、依法办事能力强的干部。二是开展违纪违法典型案例警示教育，有效运用监督执纪"第一种形态"。三是注重建设高素质懂法守法用法的干部队伍。</w:t>
            </w:r>
          </w:p>
        </w:tc>
        <w:tc>
          <w:tcPr>
            <w:tcW w:w="1701" w:type="dxa"/>
            <w:vAlign w:val="center"/>
          </w:tcPr>
          <w:p w14:paraId="168BC4BE">
            <w:pPr>
              <w:spacing w:after="0" w:line="240" w:lineRule="auto"/>
              <w:jc w:val="center"/>
            </w:pPr>
            <w:r>
              <w:rPr>
                <w:rFonts w:hint="eastAsia"/>
                <w:b w:val="0"/>
                <w:sz w:val="20"/>
                <w:lang w:val="en-US" w:eastAsia="zh-CN"/>
              </w:rPr>
              <w:t>机关党委</w:t>
            </w:r>
            <w:r>
              <w:rPr>
                <w:rFonts w:ascii="仿宋" w:hAnsi="仿宋" w:eastAsia="仿宋"/>
                <w:b w:val="0"/>
                <w:sz w:val="20"/>
              </w:rPr>
              <w:t>、政策法规科</w:t>
            </w:r>
          </w:p>
        </w:tc>
        <w:tc>
          <w:tcPr>
            <w:tcW w:w="1633" w:type="dxa"/>
            <w:vAlign w:val="center"/>
          </w:tcPr>
          <w:p w14:paraId="3AE0BC67">
            <w:pPr>
              <w:spacing w:after="0" w:line="240" w:lineRule="auto"/>
              <w:jc w:val="center"/>
            </w:pPr>
            <w:r>
              <w:rPr>
                <w:rFonts w:hint="eastAsia"/>
                <w:b w:val="0"/>
                <w:sz w:val="20"/>
                <w:lang w:val="en-US" w:eastAsia="zh-CN"/>
              </w:rPr>
              <w:t>齐长江、</w:t>
            </w:r>
            <w:r>
              <w:rPr>
                <w:rFonts w:hint="eastAsia" w:ascii="仿宋" w:hAnsi="仿宋" w:eastAsia="仿宋"/>
                <w:b w:val="0"/>
                <w:sz w:val="20"/>
              </w:rPr>
              <w:t>阿依古丽·哈布多拉</w:t>
            </w:r>
          </w:p>
        </w:tc>
        <w:tc>
          <w:tcPr>
            <w:tcW w:w="1684" w:type="dxa"/>
            <w:vAlign w:val="center"/>
          </w:tcPr>
          <w:p w14:paraId="483632BF">
            <w:pPr>
              <w:spacing w:after="0" w:line="240" w:lineRule="auto"/>
              <w:jc w:val="left"/>
            </w:pPr>
            <w:r>
              <w:rPr>
                <w:rFonts w:hint="eastAsia"/>
                <w:b w:val="0"/>
                <w:sz w:val="20"/>
                <w:lang w:val="en-US" w:eastAsia="zh-CN"/>
              </w:rPr>
              <w:t>局机关各科室、局属各单位</w:t>
            </w:r>
          </w:p>
        </w:tc>
        <w:tc>
          <w:tcPr>
            <w:tcW w:w="2050" w:type="dxa"/>
            <w:vAlign w:val="center"/>
          </w:tcPr>
          <w:p w14:paraId="7287D183">
            <w:pPr>
              <w:spacing w:after="0" w:line="240" w:lineRule="auto"/>
              <w:jc w:val="center"/>
            </w:pPr>
            <w:r>
              <w:rPr>
                <w:rFonts w:ascii="仿宋" w:hAnsi="仿宋" w:eastAsia="仿宋"/>
                <w:b w:val="0"/>
                <w:sz w:val="20"/>
              </w:rPr>
              <w:t>局班子成员、</w:t>
            </w:r>
            <w:r>
              <w:rPr>
                <w:rFonts w:hint="eastAsia"/>
                <w:b w:val="0"/>
                <w:sz w:val="20"/>
                <w:lang w:val="en-US" w:eastAsia="zh-CN"/>
              </w:rPr>
              <w:t>局属各单位</w:t>
            </w:r>
            <w:r>
              <w:rPr>
                <w:rFonts w:ascii="仿宋" w:hAnsi="仿宋" w:eastAsia="仿宋"/>
                <w:b w:val="0"/>
                <w:sz w:val="20"/>
              </w:rPr>
              <w:t>负责人</w:t>
            </w:r>
          </w:p>
        </w:tc>
        <w:tc>
          <w:tcPr>
            <w:tcW w:w="1435" w:type="dxa"/>
            <w:vAlign w:val="center"/>
          </w:tcPr>
          <w:p w14:paraId="3CE74E11">
            <w:pPr>
              <w:spacing w:after="0" w:line="240" w:lineRule="auto"/>
              <w:jc w:val="center"/>
            </w:pPr>
            <w:r>
              <w:rPr>
                <w:rFonts w:ascii="仿宋" w:hAnsi="仿宋" w:eastAsia="仿宋"/>
                <w:b w:val="0"/>
                <w:sz w:val="20"/>
              </w:rPr>
              <w:t>长期坚持</w:t>
            </w:r>
          </w:p>
        </w:tc>
        <w:tc>
          <w:tcPr>
            <w:tcW w:w="797" w:type="dxa"/>
            <w:vAlign w:val="center"/>
          </w:tcPr>
          <w:p w14:paraId="370AAE41">
            <w:pPr>
              <w:spacing w:after="0" w:line="240" w:lineRule="auto"/>
              <w:jc w:val="center"/>
            </w:pPr>
          </w:p>
        </w:tc>
      </w:tr>
      <w:tr w14:paraId="536C87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5B3610B9">
            <w:pPr>
              <w:spacing w:after="0" w:line="240" w:lineRule="auto"/>
            </w:pPr>
          </w:p>
        </w:tc>
        <w:tc>
          <w:tcPr>
            <w:tcW w:w="3197" w:type="dxa"/>
            <w:vMerge w:val="restart"/>
            <w:vAlign w:val="center"/>
          </w:tcPr>
          <w:p w14:paraId="35A10486">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七、推进法治文化建设和法治宣传教育，把宪法法律和党内法规列入党组理论学习中心组集体学习计划。</w:t>
            </w:r>
          </w:p>
        </w:tc>
        <w:tc>
          <w:tcPr>
            <w:tcW w:w="636" w:type="dxa"/>
            <w:vAlign w:val="center"/>
          </w:tcPr>
          <w:p w14:paraId="54C2E567">
            <w:pPr>
              <w:spacing w:after="0" w:line="240" w:lineRule="auto"/>
              <w:jc w:val="center"/>
            </w:pPr>
            <w:r>
              <w:rPr>
                <w:rFonts w:ascii="仿宋" w:hAnsi="仿宋" w:eastAsia="仿宋"/>
                <w:b w:val="0"/>
                <w:sz w:val="20"/>
              </w:rPr>
              <w:t>19</w:t>
            </w:r>
          </w:p>
        </w:tc>
        <w:tc>
          <w:tcPr>
            <w:tcW w:w="7252" w:type="dxa"/>
            <w:vAlign w:val="center"/>
          </w:tcPr>
          <w:p w14:paraId="5FF15378">
            <w:pPr>
              <w:spacing w:after="0" w:line="240" w:lineRule="auto"/>
              <w:jc w:val="left"/>
            </w:pPr>
            <w:r>
              <w:rPr>
                <w:rFonts w:ascii="仿宋" w:hAnsi="仿宋" w:eastAsia="仿宋"/>
                <w:b w:val="0"/>
                <w:sz w:val="20"/>
              </w:rPr>
              <w:t>一是党组书记带头讲法治课，每年至少开展一次法治讲课。二是通过党组中心组集体学习和支部"三会一课"不断强化法律知识学习，深入学习宣传习近平法治思想。</w:t>
            </w:r>
          </w:p>
        </w:tc>
        <w:tc>
          <w:tcPr>
            <w:tcW w:w="1701" w:type="dxa"/>
            <w:vAlign w:val="center"/>
          </w:tcPr>
          <w:p w14:paraId="21FB47FB">
            <w:pPr>
              <w:spacing w:after="0" w:line="240" w:lineRule="auto"/>
              <w:jc w:val="center"/>
            </w:pPr>
            <w:r>
              <w:rPr>
                <w:rFonts w:hint="eastAsia"/>
                <w:b w:val="0"/>
                <w:sz w:val="20"/>
                <w:lang w:val="en-US" w:eastAsia="zh-CN"/>
              </w:rPr>
              <w:t>机关党委</w:t>
            </w:r>
          </w:p>
        </w:tc>
        <w:tc>
          <w:tcPr>
            <w:tcW w:w="1633" w:type="dxa"/>
            <w:vAlign w:val="center"/>
          </w:tcPr>
          <w:p w14:paraId="4B049FA2">
            <w:pPr>
              <w:spacing w:after="0" w:line="240" w:lineRule="auto"/>
              <w:jc w:val="center"/>
            </w:pPr>
            <w:r>
              <w:rPr>
                <w:rFonts w:hint="eastAsia"/>
                <w:b w:val="0"/>
                <w:sz w:val="20"/>
                <w:lang w:val="en-US" w:eastAsia="zh-CN"/>
              </w:rPr>
              <w:t>齐长江、</w:t>
            </w:r>
            <w:r>
              <w:rPr>
                <w:rFonts w:hint="eastAsia" w:ascii="仿宋" w:hAnsi="仿宋" w:eastAsia="仿宋"/>
                <w:b w:val="0"/>
                <w:sz w:val="20"/>
              </w:rPr>
              <w:t>阿依古丽·哈布多拉</w:t>
            </w:r>
          </w:p>
        </w:tc>
        <w:tc>
          <w:tcPr>
            <w:tcW w:w="1684" w:type="dxa"/>
            <w:vAlign w:val="center"/>
          </w:tcPr>
          <w:p w14:paraId="07B6C8F4">
            <w:pPr>
              <w:spacing w:after="0" w:line="240" w:lineRule="auto"/>
              <w:jc w:val="left"/>
            </w:pPr>
            <w:r>
              <w:rPr>
                <w:rFonts w:hint="eastAsia"/>
                <w:b w:val="0"/>
                <w:sz w:val="20"/>
                <w:lang w:val="en-US" w:eastAsia="zh-CN"/>
              </w:rPr>
              <w:t>局机关各科室、局属各单位</w:t>
            </w:r>
          </w:p>
        </w:tc>
        <w:tc>
          <w:tcPr>
            <w:tcW w:w="2050" w:type="dxa"/>
            <w:vAlign w:val="center"/>
          </w:tcPr>
          <w:p w14:paraId="4579AAA3">
            <w:pPr>
              <w:spacing w:after="0" w:line="240" w:lineRule="auto"/>
              <w:jc w:val="center"/>
            </w:pPr>
            <w:r>
              <w:rPr>
                <w:rFonts w:ascii="仿宋" w:hAnsi="仿宋" w:eastAsia="仿宋"/>
                <w:b w:val="0"/>
                <w:sz w:val="20"/>
              </w:rPr>
              <w:t>局班子成员、</w:t>
            </w:r>
            <w:r>
              <w:rPr>
                <w:rFonts w:hint="eastAsia"/>
                <w:b w:val="0"/>
                <w:sz w:val="20"/>
                <w:lang w:val="en-US" w:eastAsia="zh-CN"/>
              </w:rPr>
              <w:t>局属各单位</w:t>
            </w:r>
            <w:r>
              <w:rPr>
                <w:rFonts w:ascii="仿宋" w:hAnsi="仿宋" w:eastAsia="仿宋"/>
                <w:b w:val="0"/>
                <w:sz w:val="20"/>
              </w:rPr>
              <w:t>负责人</w:t>
            </w:r>
          </w:p>
        </w:tc>
        <w:tc>
          <w:tcPr>
            <w:tcW w:w="1435" w:type="dxa"/>
            <w:vAlign w:val="center"/>
          </w:tcPr>
          <w:p w14:paraId="3E5E844D">
            <w:pPr>
              <w:spacing w:after="0" w:line="240" w:lineRule="auto"/>
              <w:jc w:val="center"/>
            </w:pPr>
            <w:r>
              <w:rPr>
                <w:rFonts w:ascii="仿宋" w:hAnsi="仿宋" w:eastAsia="仿宋"/>
                <w:b w:val="0"/>
                <w:sz w:val="20"/>
              </w:rPr>
              <w:t>12月，长期坚持</w:t>
            </w:r>
          </w:p>
        </w:tc>
        <w:tc>
          <w:tcPr>
            <w:tcW w:w="797" w:type="dxa"/>
            <w:vAlign w:val="center"/>
          </w:tcPr>
          <w:p w14:paraId="3954B67A">
            <w:pPr>
              <w:spacing w:after="0" w:line="240" w:lineRule="auto"/>
              <w:jc w:val="center"/>
            </w:pPr>
          </w:p>
        </w:tc>
      </w:tr>
      <w:tr w14:paraId="1A9C9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295" w:type="dxa"/>
            <w:vMerge w:val="continue"/>
          </w:tcPr>
          <w:p w14:paraId="30D5E901">
            <w:pPr>
              <w:spacing w:after="0" w:line="240" w:lineRule="auto"/>
            </w:pPr>
          </w:p>
        </w:tc>
        <w:tc>
          <w:tcPr>
            <w:tcW w:w="3197" w:type="dxa"/>
            <w:vMerge w:val="continue"/>
          </w:tcPr>
          <w:p w14:paraId="242FCED2">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6C6151FB">
            <w:pPr>
              <w:spacing w:after="0" w:line="240" w:lineRule="auto"/>
              <w:jc w:val="center"/>
            </w:pPr>
            <w:r>
              <w:rPr>
                <w:rFonts w:ascii="仿宋" w:hAnsi="仿宋" w:eastAsia="仿宋"/>
                <w:b w:val="0"/>
                <w:sz w:val="20"/>
              </w:rPr>
              <w:t>20</w:t>
            </w:r>
          </w:p>
        </w:tc>
        <w:tc>
          <w:tcPr>
            <w:tcW w:w="7252" w:type="dxa"/>
            <w:vAlign w:val="center"/>
          </w:tcPr>
          <w:p w14:paraId="41A41C90">
            <w:pPr>
              <w:spacing w:after="0" w:line="240" w:lineRule="auto"/>
              <w:jc w:val="left"/>
            </w:pPr>
            <w:r>
              <w:rPr>
                <w:rFonts w:ascii="仿宋" w:hAnsi="仿宋" w:eastAsia="仿宋"/>
                <w:b w:val="0"/>
                <w:sz w:val="20"/>
              </w:rPr>
              <w:t>一是审定年度涉农普法责任清单，落实"谁执法谁普法"责任制。二是结合3·15、宪法宣传周、丰收节、农资下乡等节点部署普法活动。三是大力加强社会主义法治文化建设，制作宣传专栏、宣传展板，营造浓厚法治建设氛围。</w:t>
            </w:r>
          </w:p>
        </w:tc>
        <w:tc>
          <w:tcPr>
            <w:tcW w:w="1701" w:type="dxa"/>
            <w:vAlign w:val="center"/>
          </w:tcPr>
          <w:p w14:paraId="7B3BAE27">
            <w:pPr>
              <w:spacing w:after="0" w:line="240" w:lineRule="auto"/>
              <w:jc w:val="center"/>
              <w:rPr>
                <w:rFonts w:hint="default" w:eastAsia="仿宋"/>
                <w:lang w:val="en-US" w:eastAsia="zh-CN"/>
              </w:rPr>
            </w:pPr>
            <w:r>
              <w:rPr>
                <w:rFonts w:ascii="仿宋" w:hAnsi="仿宋" w:eastAsia="仿宋"/>
                <w:b w:val="0"/>
                <w:sz w:val="20"/>
              </w:rPr>
              <w:t>政策法规科</w:t>
            </w:r>
            <w:r>
              <w:rPr>
                <w:rFonts w:hint="eastAsia"/>
                <w:b w:val="0"/>
                <w:sz w:val="20"/>
                <w:lang w:eastAsia="zh-CN"/>
              </w:rPr>
              <w:t>、</w:t>
            </w:r>
            <w:r>
              <w:rPr>
                <w:rFonts w:hint="eastAsia"/>
                <w:b w:val="0"/>
                <w:sz w:val="20"/>
                <w:lang w:val="en-US" w:eastAsia="zh-CN"/>
              </w:rPr>
              <w:t>地区农业综合行政执法支队</w:t>
            </w:r>
          </w:p>
        </w:tc>
        <w:tc>
          <w:tcPr>
            <w:tcW w:w="1633" w:type="dxa"/>
            <w:vAlign w:val="center"/>
          </w:tcPr>
          <w:p w14:paraId="334E612E">
            <w:pPr>
              <w:spacing w:after="0" w:line="240" w:lineRule="auto"/>
              <w:jc w:val="center"/>
              <w:rPr>
                <w:rFonts w:hint="default"/>
                <w:lang w:val="en-US"/>
              </w:rPr>
            </w:pPr>
            <w:r>
              <w:rPr>
                <w:rFonts w:hint="eastAsia"/>
                <w:b w:val="0"/>
                <w:sz w:val="20"/>
                <w:lang w:val="en-US" w:eastAsia="zh-CN"/>
              </w:rPr>
              <w:t>齐长江、吴攀</w:t>
            </w:r>
          </w:p>
        </w:tc>
        <w:tc>
          <w:tcPr>
            <w:tcW w:w="1684" w:type="dxa"/>
            <w:shd w:val="clear"/>
            <w:vAlign w:val="center"/>
          </w:tcPr>
          <w:p w14:paraId="08F5548F">
            <w:pPr>
              <w:spacing w:after="0" w:line="240" w:lineRule="auto"/>
              <w:jc w:val="left"/>
              <w:rPr>
                <w:rFonts w:ascii="仿宋" w:hAnsi="仿宋" w:eastAsia="仿宋" w:cstheme="minorBidi"/>
                <w:sz w:val="24"/>
                <w:szCs w:val="22"/>
                <w:lang w:val="en-US" w:eastAsia="en-US" w:bidi="ar-SA"/>
              </w:rPr>
            </w:pPr>
            <w:r>
              <w:rPr>
                <w:rFonts w:hint="eastAsia"/>
                <w:b w:val="0"/>
                <w:sz w:val="20"/>
                <w:lang w:val="en-US" w:eastAsia="zh-CN"/>
              </w:rPr>
              <w:t>局机关各科室、局属各单位</w:t>
            </w:r>
          </w:p>
        </w:tc>
        <w:tc>
          <w:tcPr>
            <w:tcW w:w="2050" w:type="dxa"/>
            <w:shd w:val="clear"/>
            <w:vAlign w:val="center"/>
          </w:tcPr>
          <w:p w14:paraId="57E64C53">
            <w:pPr>
              <w:spacing w:after="0" w:line="240" w:lineRule="auto"/>
              <w:jc w:val="left"/>
              <w:rPr>
                <w:rFonts w:hint="default" w:ascii="仿宋" w:hAnsi="仿宋" w:eastAsia="仿宋" w:cstheme="minorBidi"/>
                <w:sz w:val="24"/>
                <w:szCs w:val="22"/>
                <w:lang w:val="en-US" w:eastAsia="en-US" w:bidi="ar-SA"/>
              </w:rPr>
            </w:pPr>
            <w:r>
              <w:rPr>
                <w:rFonts w:hint="eastAsia"/>
                <w:b w:val="0"/>
                <w:sz w:val="20"/>
                <w:lang w:val="en-US" w:eastAsia="zh-CN"/>
              </w:rPr>
              <w:t>局机关各科室、局属各单位负责人</w:t>
            </w:r>
          </w:p>
        </w:tc>
        <w:tc>
          <w:tcPr>
            <w:tcW w:w="1435" w:type="dxa"/>
            <w:vAlign w:val="center"/>
          </w:tcPr>
          <w:p w14:paraId="2B29793C">
            <w:pPr>
              <w:spacing w:after="0" w:line="240" w:lineRule="auto"/>
              <w:jc w:val="center"/>
            </w:pPr>
            <w:r>
              <w:rPr>
                <w:rFonts w:ascii="仿宋" w:hAnsi="仿宋" w:eastAsia="仿宋"/>
                <w:b w:val="0"/>
                <w:sz w:val="20"/>
              </w:rPr>
              <w:t>长期坚持</w:t>
            </w:r>
          </w:p>
        </w:tc>
        <w:tc>
          <w:tcPr>
            <w:tcW w:w="797" w:type="dxa"/>
            <w:vAlign w:val="center"/>
          </w:tcPr>
          <w:p w14:paraId="5ACB3E01">
            <w:pPr>
              <w:spacing w:after="0" w:line="240" w:lineRule="auto"/>
              <w:jc w:val="center"/>
            </w:pPr>
          </w:p>
        </w:tc>
      </w:tr>
      <w:tr w14:paraId="129C5B5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restart"/>
            <w:vAlign w:val="center"/>
          </w:tcPr>
          <w:p w14:paraId="157FAFD9">
            <w:pPr>
              <w:spacing w:after="0" w:line="240" w:lineRule="auto"/>
              <w:jc w:val="center"/>
            </w:pPr>
            <w:r>
              <w:rPr>
                <w:rFonts w:hint="eastAsia"/>
                <w:b w:val="0"/>
                <w:sz w:val="20"/>
                <w:lang w:val="en-US" w:eastAsia="zh-CN"/>
              </w:rPr>
              <w:t>刘志赋</w:t>
            </w:r>
            <w:r>
              <w:rPr>
                <w:rFonts w:ascii="仿宋" w:hAnsi="仿宋" w:eastAsia="仿宋"/>
                <w:b w:val="0"/>
                <w:sz w:val="20"/>
              </w:rPr>
              <w:t>（党组副书记、局长）</w:t>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r>
              <w:rPr>
                <w:rFonts w:ascii="仿宋" w:hAnsi="仿宋" w:eastAsia="仿宋"/>
                <w:b w:val="0"/>
                <w:sz w:val="20"/>
              </w:rPr>
              <w:br w:type="textWrapping"/>
            </w:r>
          </w:p>
        </w:tc>
        <w:tc>
          <w:tcPr>
            <w:tcW w:w="3197" w:type="dxa"/>
            <w:vMerge w:val="restart"/>
            <w:vAlign w:val="center"/>
          </w:tcPr>
          <w:p w14:paraId="58951D93">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一、组织落实党中央、国务院、自治区、地委关于法治政府建设的决策部署，制定本部门法治政府建设实施规划、年度计划并组织实施，研究解决本部门法治政府建设有关重大问题并及时请示汇报。</w:t>
            </w:r>
          </w:p>
        </w:tc>
        <w:tc>
          <w:tcPr>
            <w:tcW w:w="636" w:type="dxa"/>
            <w:vAlign w:val="center"/>
          </w:tcPr>
          <w:p w14:paraId="3BCADE3A">
            <w:pPr>
              <w:spacing w:after="0" w:line="240" w:lineRule="auto"/>
              <w:jc w:val="center"/>
            </w:pPr>
            <w:r>
              <w:rPr>
                <w:rFonts w:ascii="仿宋" w:hAnsi="仿宋" w:eastAsia="仿宋"/>
                <w:b w:val="0"/>
                <w:sz w:val="20"/>
              </w:rPr>
              <w:t>1</w:t>
            </w:r>
          </w:p>
        </w:tc>
        <w:tc>
          <w:tcPr>
            <w:tcW w:w="7252" w:type="dxa"/>
            <w:vAlign w:val="center"/>
          </w:tcPr>
          <w:p w14:paraId="236BE936">
            <w:pPr>
              <w:spacing w:after="0" w:line="240" w:lineRule="auto"/>
              <w:jc w:val="left"/>
            </w:pPr>
            <w:r>
              <w:rPr>
                <w:rFonts w:ascii="仿宋" w:hAnsi="仿宋" w:eastAsia="仿宋"/>
                <w:b w:val="0"/>
                <w:sz w:val="20"/>
              </w:rPr>
              <w:t>一是每半年听取各站所负责人落实法治政府建设工作汇报，及时研究解决法治政府建设中的重大问题。二是对本系统推进法治政府建设各项工作做到亲自抓、重点抓。三是履行第一责任人职责，主动抓好本系统法治政府建设工作。</w:t>
            </w:r>
          </w:p>
        </w:tc>
        <w:tc>
          <w:tcPr>
            <w:tcW w:w="1701" w:type="dxa"/>
            <w:vAlign w:val="center"/>
          </w:tcPr>
          <w:p w14:paraId="157FD61D">
            <w:pPr>
              <w:spacing w:after="0" w:line="240" w:lineRule="auto"/>
              <w:jc w:val="center"/>
            </w:pPr>
            <w:r>
              <w:rPr>
                <w:rFonts w:ascii="仿宋" w:hAnsi="仿宋" w:eastAsia="仿宋"/>
                <w:b w:val="0"/>
                <w:sz w:val="20"/>
              </w:rPr>
              <w:t>政策法规科</w:t>
            </w:r>
          </w:p>
        </w:tc>
        <w:tc>
          <w:tcPr>
            <w:tcW w:w="1633" w:type="dxa"/>
            <w:vAlign w:val="center"/>
          </w:tcPr>
          <w:p w14:paraId="560832C8">
            <w:pPr>
              <w:spacing w:after="0" w:line="240" w:lineRule="auto"/>
              <w:jc w:val="center"/>
            </w:pPr>
            <w:r>
              <w:rPr>
                <w:rFonts w:hint="eastAsia"/>
                <w:b w:val="0"/>
                <w:sz w:val="20"/>
                <w:lang w:val="en-US" w:eastAsia="zh-CN"/>
              </w:rPr>
              <w:t>齐长江、吴攀</w:t>
            </w:r>
          </w:p>
        </w:tc>
        <w:tc>
          <w:tcPr>
            <w:tcW w:w="1684" w:type="dxa"/>
            <w:vAlign w:val="center"/>
          </w:tcPr>
          <w:p w14:paraId="63118FFF">
            <w:pPr>
              <w:spacing w:after="0" w:line="240" w:lineRule="auto"/>
              <w:jc w:val="left"/>
            </w:pPr>
            <w:r>
              <w:rPr>
                <w:rFonts w:hint="eastAsia"/>
                <w:b w:val="0"/>
                <w:sz w:val="20"/>
                <w:lang w:val="en-US" w:eastAsia="zh-CN"/>
              </w:rPr>
              <w:t>局机关各科室、局属各单位</w:t>
            </w:r>
          </w:p>
        </w:tc>
        <w:tc>
          <w:tcPr>
            <w:tcW w:w="2050" w:type="dxa"/>
            <w:vAlign w:val="center"/>
          </w:tcPr>
          <w:p w14:paraId="54192F8D">
            <w:pPr>
              <w:spacing w:after="0" w:line="240" w:lineRule="auto"/>
              <w:jc w:val="center"/>
            </w:pPr>
            <w:r>
              <w:rPr>
                <w:rFonts w:ascii="仿宋" w:hAnsi="仿宋" w:eastAsia="仿宋"/>
                <w:b w:val="0"/>
                <w:sz w:val="20"/>
              </w:rPr>
              <w:t>局班子成员，</w:t>
            </w:r>
            <w:r>
              <w:rPr>
                <w:rFonts w:hint="eastAsia"/>
                <w:b w:val="0"/>
                <w:sz w:val="20"/>
                <w:lang w:val="en-US" w:eastAsia="zh-CN"/>
              </w:rPr>
              <w:t>局机关各科室、局属各单位负责人</w:t>
            </w:r>
          </w:p>
        </w:tc>
        <w:tc>
          <w:tcPr>
            <w:tcW w:w="1435" w:type="dxa"/>
            <w:vAlign w:val="center"/>
          </w:tcPr>
          <w:p w14:paraId="4FEE095A">
            <w:pPr>
              <w:spacing w:after="0" w:line="240" w:lineRule="auto"/>
              <w:jc w:val="center"/>
            </w:pPr>
            <w:r>
              <w:rPr>
                <w:rFonts w:ascii="仿宋" w:hAnsi="仿宋" w:eastAsia="仿宋"/>
                <w:b w:val="0"/>
                <w:sz w:val="20"/>
              </w:rPr>
              <w:t>长期坚持</w:t>
            </w:r>
          </w:p>
        </w:tc>
        <w:tc>
          <w:tcPr>
            <w:tcW w:w="797" w:type="dxa"/>
            <w:vAlign w:val="center"/>
          </w:tcPr>
          <w:p w14:paraId="6D93B122">
            <w:pPr>
              <w:spacing w:after="0" w:line="240" w:lineRule="auto"/>
              <w:jc w:val="center"/>
            </w:pPr>
          </w:p>
        </w:tc>
      </w:tr>
      <w:tr w14:paraId="02BB6F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260717E1">
            <w:pPr>
              <w:spacing w:after="0" w:line="240" w:lineRule="auto"/>
            </w:pPr>
          </w:p>
        </w:tc>
        <w:tc>
          <w:tcPr>
            <w:tcW w:w="3197" w:type="dxa"/>
            <w:vMerge w:val="continue"/>
          </w:tcPr>
          <w:p w14:paraId="67DBF2F6">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0A816554">
            <w:pPr>
              <w:spacing w:after="0" w:line="240" w:lineRule="auto"/>
              <w:jc w:val="center"/>
            </w:pPr>
            <w:r>
              <w:rPr>
                <w:rFonts w:ascii="仿宋" w:hAnsi="仿宋" w:eastAsia="仿宋"/>
                <w:b w:val="0"/>
                <w:sz w:val="20"/>
              </w:rPr>
              <w:t>2</w:t>
            </w:r>
          </w:p>
        </w:tc>
        <w:tc>
          <w:tcPr>
            <w:tcW w:w="7252" w:type="dxa"/>
            <w:vAlign w:val="center"/>
          </w:tcPr>
          <w:p w14:paraId="6CD3F2CF">
            <w:pPr>
              <w:spacing w:after="0" w:line="240" w:lineRule="auto"/>
              <w:jc w:val="left"/>
            </w:pPr>
            <w:r>
              <w:rPr>
                <w:rFonts w:ascii="仿宋" w:hAnsi="仿宋" w:eastAsia="仿宋"/>
                <w:b w:val="0"/>
                <w:sz w:val="20"/>
              </w:rPr>
              <w:t>一是在年度个人述职报告中专门对法治政府建设工作情况进行报告。二是督促局相关科室按时向社会公开法治政府建设情况。三是履行法治政府建设主体责任，结合农业农村行业特点，落实好法治政府建设各项任务，主动向党组报告法治政府建设中的重大问题。</w:t>
            </w:r>
          </w:p>
        </w:tc>
        <w:tc>
          <w:tcPr>
            <w:tcW w:w="1701" w:type="dxa"/>
            <w:vAlign w:val="center"/>
          </w:tcPr>
          <w:p w14:paraId="232923DB">
            <w:pPr>
              <w:spacing w:after="0" w:line="240" w:lineRule="auto"/>
              <w:jc w:val="center"/>
            </w:pPr>
            <w:r>
              <w:rPr>
                <w:rFonts w:ascii="仿宋" w:hAnsi="仿宋" w:eastAsia="仿宋"/>
                <w:b w:val="0"/>
                <w:sz w:val="20"/>
              </w:rPr>
              <w:t>政策法规科</w:t>
            </w:r>
          </w:p>
        </w:tc>
        <w:tc>
          <w:tcPr>
            <w:tcW w:w="1633" w:type="dxa"/>
            <w:vAlign w:val="center"/>
          </w:tcPr>
          <w:p w14:paraId="6D225E46">
            <w:pPr>
              <w:spacing w:after="0" w:line="240" w:lineRule="auto"/>
              <w:jc w:val="center"/>
            </w:pPr>
            <w:r>
              <w:rPr>
                <w:rFonts w:hint="eastAsia"/>
                <w:b w:val="0"/>
                <w:sz w:val="20"/>
                <w:lang w:val="en-US" w:eastAsia="zh-CN"/>
              </w:rPr>
              <w:t>齐长江、吴攀</w:t>
            </w:r>
          </w:p>
        </w:tc>
        <w:tc>
          <w:tcPr>
            <w:tcW w:w="1684" w:type="dxa"/>
            <w:vAlign w:val="center"/>
          </w:tcPr>
          <w:p w14:paraId="79DEF646">
            <w:pPr>
              <w:spacing w:after="0" w:line="240" w:lineRule="auto"/>
              <w:jc w:val="left"/>
            </w:pPr>
            <w:r>
              <w:rPr>
                <w:rFonts w:hint="eastAsia"/>
                <w:b w:val="0"/>
                <w:sz w:val="20"/>
                <w:lang w:val="en-US" w:eastAsia="zh-CN"/>
              </w:rPr>
              <w:t>局机关各科室、局属各单位</w:t>
            </w:r>
          </w:p>
        </w:tc>
        <w:tc>
          <w:tcPr>
            <w:tcW w:w="2050" w:type="dxa"/>
            <w:vAlign w:val="center"/>
          </w:tcPr>
          <w:p w14:paraId="0C5966BB">
            <w:pPr>
              <w:spacing w:after="0" w:line="240" w:lineRule="auto"/>
              <w:jc w:val="center"/>
            </w:pPr>
            <w:r>
              <w:rPr>
                <w:rFonts w:ascii="仿宋" w:hAnsi="仿宋" w:eastAsia="仿宋"/>
                <w:b w:val="0"/>
                <w:sz w:val="20"/>
              </w:rPr>
              <w:t>局班子成员，</w:t>
            </w:r>
            <w:r>
              <w:rPr>
                <w:rFonts w:hint="eastAsia"/>
                <w:b w:val="0"/>
                <w:sz w:val="20"/>
                <w:lang w:val="en-US" w:eastAsia="zh-CN"/>
              </w:rPr>
              <w:t>局机关各科室、局属各单位负责人</w:t>
            </w:r>
          </w:p>
        </w:tc>
        <w:tc>
          <w:tcPr>
            <w:tcW w:w="1435" w:type="dxa"/>
            <w:vAlign w:val="center"/>
          </w:tcPr>
          <w:p w14:paraId="1EE0B60D">
            <w:pPr>
              <w:spacing w:after="0" w:line="240" w:lineRule="auto"/>
              <w:jc w:val="center"/>
            </w:pPr>
            <w:r>
              <w:rPr>
                <w:rFonts w:ascii="仿宋" w:hAnsi="仿宋" w:eastAsia="仿宋"/>
                <w:b w:val="0"/>
                <w:sz w:val="20"/>
              </w:rPr>
              <w:t>12月底，长期坚持</w:t>
            </w:r>
          </w:p>
        </w:tc>
        <w:tc>
          <w:tcPr>
            <w:tcW w:w="797" w:type="dxa"/>
            <w:vAlign w:val="center"/>
          </w:tcPr>
          <w:p w14:paraId="2FAA92E4">
            <w:pPr>
              <w:spacing w:after="0" w:line="240" w:lineRule="auto"/>
              <w:jc w:val="center"/>
            </w:pPr>
          </w:p>
        </w:tc>
      </w:tr>
      <w:tr w14:paraId="7CF56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160DD277">
            <w:pPr>
              <w:spacing w:after="0" w:line="240" w:lineRule="auto"/>
            </w:pPr>
          </w:p>
        </w:tc>
        <w:tc>
          <w:tcPr>
            <w:tcW w:w="3197" w:type="dxa"/>
            <w:vMerge w:val="continue"/>
          </w:tcPr>
          <w:p w14:paraId="686B83E7">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00A4E0D1">
            <w:pPr>
              <w:spacing w:after="0" w:line="240" w:lineRule="auto"/>
              <w:jc w:val="center"/>
            </w:pPr>
            <w:r>
              <w:rPr>
                <w:rFonts w:ascii="仿宋" w:hAnsi="仿宋" w:eastAsia="仿宋"/>
                <w:b w:val="0"/>
                <w:sz w:val="20"/>
              </w:rPr>
              <w:t>3</w:t>
            </w:r>
          </w:p>
        </w:tc>
        <w:tc>
          <w:tcPr>
            <w:tcW w:w="7252" w:type="dxa"/>
            <w:vAlign w:val="center"/>
          </w:tcPr>
          <w:p w14:paraId="7DD6D304">
            <w:pPr>
              <w:spacing w:after="0" w:line="240" w:lineRule="auto"/>
              <w:jc w:val="left"/>
            </w:pPr>
            <w:r>
              <w:rPr>
                <w:rFonts w:ascii="仿宋" w:hAnsi="仿宋" w:eastAsia="仿宋"/>
                <w:b w:val="0"/>
                <w:sz w:val="20"/>
              </w:rPr>
              <w:t>一是实行整改周调度、月汇总制度，动态更新问题、责任、时限、措施四张整改清单。二是定期开展实地督导、案卷核查，闭环管控督察反馈问题整改全过程。三是及时结合行署法治督查反馈问题执行整改方案，抓好各类问题的整改。</w:t>
            </w:r>
          </w:p>
        </w:tc>
        <w:tc>
          <w:tcPr>
            <w:tcW w:w="1701" w:type="dxa"/>
            <w:vAlign w:val="center"/>
          </w:tcPr>
          <w:p w14:paraId="3E181025">
            <w:pPr>
              <w:spacing w:after="0" w:line="240" w:lineRule="auto"/>
              <w:jc w:val="center"/>
            </w:pPr>
            <w:r>
              <w:rPr>
                <w:rFonts w:ascii="仿宋" w:hAnsi="仿宋" w:eastAsia="仿宋"/>
                <w:b w:val="0"/>
                <w:sz w:val="20"/>
              </w:rPr>
              <w:t>政策法规科</w:t>
            </w:r>
          </w:p>
        </w:tc>
        <w:tc>
          <w:tcPr>
            <w:tcW w:w="1633" w:type="dxa"/>
            <w:vAlign w:val="center"/>
          </w:tcPr>
          <w:p w14:paraId="0738AAFE">
            <w:pPr>
              <w:spacing w:after="0" w:line="240" w:lineRule="auto"/>
              <w:jc w:val="center"/>
            </w:pPr>
            <w:r>
              <w:rPr>
                <w:rFonts w:hint="eastAsia"/>
                <w:b w:val="0"/>
                <w:sz w:val="20"/>
                <w:lang w:val="en-US" w:eastAsia="zh-CN"/>
              </w:rPr>
              <w:t>齐长江、吴攀</w:t>
            </w:r>
          </w:p>
        </w:tc>
        <w:tc>
          <w:tcPr>
            <w:tcW w:w="1684" w:type="dxa"/>
            <w:vAlign w:val="center"/>
          </w:tcPr>
          <w:p w14:paraId="0123F0FD">
            <w:pPr>
              <w:spacing w:after="0" w:line="240" w:lineRule="auto"/>
              <w:jc w:val="left"/>
            </w:pPr>
            <w:r>
              <w:rPr>
                <w:rFonts w:hint="eastAsia"/>
                <w:b w:val="0"/>
                <w:sz w:val="20"/>
                <w:lang w:val="en-US" w:eastAsia="zh-CN"/>
              </w:rPr>
              <w:t>地区农业综合行政执法支队，局机关各科室、局属各单位</w:t>
            </w:r>
          </w:p>
        </w:tc>
        <w:tc>
          <w:tcPr>
            <w:tcW w:w="2050" w:type="dxa"/>
            <w:vAlign w:val="center"/>
          </w:tcPr>
          <w:p w14:paraId="46B68C46">
            <w:pPr>
              <w:spacing w:after="0" w:line="240" w:lineRule="auto"/>
              <w:jc w:val="left"/>
            </w:pPr>
            <w:r>
              <w:rPr>
                <w:rFonts w:hint="eastAsia"/>
                <w:b w:val="0"/>
                <w:sz w:val="20"/>
                <w:lang w:val="en-US" w:eastAsia="zh-CN"/>
              </w:rPr>
              <w:t>局机关各科室、局属各单位负责人</w:t>
            </w:r>
          </w:p>
        </w:tc>
        <w:tc>
          <w:tcPr>
            <w:tcW w:w="1435" w:type="dxa"/>
            <w:vAlign w:val="center"/>
          </w:tcPr>
          <w:p w14:paraId="240AE780">
            <w:pPr>
              <w:spacing w:after="0" w:line="240" w:lineRule="auto"/>
              <w:jc w:val="center"/>
            </w:pPr>
            <w:r>
              <w:rPr>
                <w:rFonts w:ascii="仿宋" w:hAnsi="仿宋" w:eastAsia="仿宋"/>
                <w:b w:val="0"/>
                <w:sz w:val="20"/>
              </w:rPr>
              <w:t>2026年12月底，长期坚持</w:t>
            </w:r>
          </w:p>
        </w:tc>
        <w:tc>
          <w:tcPr>
            <w:tcW w:w="797" w:type="dxa"/>
            <w:vAlign w:val="center"/>
          </w:tcPr>
          <w:p w14:paraId="7B05329F">
            <w:pPr>
              <w:spacing w:after="0" w:line="240" w:lineRule="auto"/>
              <w:jc w:val="center"/>
            </w:pPr>
          </w:p>
        </w:tc>
      </w:tr>
      <w:tr w14:paraId="6FC3565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4F918375">
            <w:pPr>
              <w:spacing w:after="0" w:line="240" w:lineRule="auto"/>
            </w:pPr>
          </w:p>
        </w:tc>
        <w:tc>
          <w:tcPr>
            <w:tcW w:w="3197" w:type="dxa"/>
            <w:vMerge w:val="restart"/>
            <w:vAlign w:val="center"/>
          </w:tcPr>
          <w:p w14:paraId="6D1F6FB6">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二、全面正确履行政府职能，推进政府职能转变和简政放权、放管结合、优化服务，激发市场活力和创造力，推动经济社会高质量发展。</w:t>
            </w:r>
          </w:p>
        </w:tc>
        <w:tc>
          <w:tcPr>
            <w:tcW w:w="636" w:type="dxa"/>
            <w:vAlign w:val="center"/>
          </w:tcPr>
          <w:p w14:paraId="4B64356C">
            <w:pPr>
              <w:spacing w:after="0" w:line="240" w:lineRule="auto"/>
              <w:jc w:val="center"/>
            </w:pPr>
            <w:r>
              <w:rPr>
                <w:rFonts w:ascii="仿宋" w:hAnsi="仿宋" w:eastAsia="仿宋"/>
                <w:b w:val="0"/>
                <w:sz w:val="20"/>
              </w:rPr>
              <w:t>4</w:t>
            </w:r>
          </w:p>
        </w:tc>
        <w:tc>
          <w:tcPr>
            <w:tcW w:w="7252" w:type="dxa"/>
            <w:vAlign w:val="center"/>
          </w:tcPr>
          <w:p w14:paraId="701B2613">
            <w:pPr>
              <w:spacing w:after="0" w:line="240" w:lineRule="auto"/>
              <w:jc w:val="left"/>
            </w:pPr>
            <w:r>
              <w:rPr>
                <w:rFonts w:ascii="仿宋" w:hAnsi="仿宋" w:eastAsia="仿宋"/>
                <w:b w:val="0"/>
                <w:sz w:val="20"/>
              </w:rPr>
              <w:t>一是统筹推进涉农"放管服"改革，督促全部涉农事项进驻政务大厅。二是落实综窗授权、一网通办、压缩办事时限，设立专人咨询办理窗口。三是对本系统本行业依法治农、依法行政进行深入调研，形成边界清晰、分工合理、权责一致、运行高效的依法治农体系。</w:t>
            </w:r>
          </w:p>
        </w:tc>
        <w:tc>
          <w:tcPr>
            <w:tcW w:w="1701" w:type="dxa"/>
            <w:vAlign w:val="center"/>
          </w:tcPr>
          <w:p w14:paraId="713138D5">
            <w:pPr>
              <w:spacing w:after="0" w:line="240" w:lineRule="auto"/>
              <w:jc w:val="center"/>
              <w:rPr>
                <w:rFonts w:hint="default" w:eastAsia="仿宋"/>
                <w:lang w:val="en-US" w:eastAsia="zh-CN"/>
              </w:rPr>
            </w:pPr>
            <w:r>
              <w:rPr>
                <w:rFonts w:ascii="仿宋" w:hAnsi="仿宋" w:eastAsia="仿宋"/>
                <w:b w:val="0"/>
                <w:sz w:val="20"/>
              </w:rPr>
              <w:t>政策法规科</w:t>
            </w:r>
          </w:p>
        </w:tc>
        <w:tc>
          <w:tcPr>
            <w:tcW w:w="1633" w:type="dxa"/>
            <w:vAlign w:val="center"/>
          </w:tcPr>
          <w:p w14:paraId="01B3672C">
            <w:pPr>
              <w:spacing w:after="0" w:line="240" w:lineRule="auto"/>
              <w:jc w:val="center"/>
            </w:pPr>
            <w:r>
              <w:rPr>
                <w:rFonts w:hint="eastAsia"/>
                <w:b w:val="0"/>
                <w:sz w:val="20"/>
                <w:lang w:val="en-US" w:eastAsia="zh-CN"/>
              </w:rPr>
              <w:t>齐长江、吴攀</w:t>
            </w:r>
          </w:p>
        </w:tc>
        <w:tc>
          <w:tcPr>
            <w:tcW w:w="1684" w:type="dxa"/>
            <w:vAlign w:val="center"/>
          </w:tcPr>
          <w:p w14:paraId="618E1D4E">
            <w:pPr>
              <w:spacing w:after="0" w:line="240" w:lineRule="auto"/>
              <w:jc w:val="left"/>
              <w:rPr>
                <w:rFonts w:hint="default"/>
                <w:lang w:val="en-US"/>
              </w:rPr>
            </w:pPr>
            <w:r>
              <w:rPr>
                <w:rFonts w:hint="eastAsia"/>
                <w:b w:val="0"/>
                <w:sz w:val="20"/>
                <w:lang w:val="en-US" w:eastAsia="zh-CN"/>
              </w:rPr>
              <w:t>种植业与种业管理科、农田建设与农牧渔场管理科、地区农业综合行政执法支队、地区种业发展中心、地区水产技术推广站</w:t>
            </w:r>
          </w:p>
        </w:tc>
        <w:tc>
          <w:tcPr>
            <w:tcW w:w="2050" w:type="dxa"/>
            <w:vAlign w:val="center"/>
          </w:tcPr>
          <w:p w14:paraId="12B84FCD">
            <w:pPr>
              <w:spacing w:after="0" w:line="240" w:lineRule="auto"/>
              <w:jc w:val="center"/>
            </w:pPr>
            <w:r>
              <w:rPr>
                <w:rFonts w:hint="eastAsia"/>
                <w:b w:val="0"/>
                <w:sz w:val="20"/>
                <w:lang w:val="en-US" w:eastAsia="zh-CN"/>
              </w:rPr>
              <w:t>局机关各科室、有行政审批事项的局属单位</w:t>
            </w:r>
            <w:r>
              <w:rPr>
                <w:rFonts w:ascii="仿宋" w:hAnsi="仿宋" w:eastAsia="仿宋"/>
                <w:b w:val="0"/>
                <w:sz w:val="20"/>
              </w:rPr>
              <w:t>负责人</w:t>
            </w:r>
          </w:p>
        </w:tc>
        <w:tc>
          <w:tcPr>
            <w:tcW w:w="1435" w:type="dxa"/>
            <w:vAlign w:val="center"/>
          </w:tcPr>
          <w:p w14:paraId="1C676443">
            <w:pPr>
              <w:spacing w:after="0" w:line="240" w:lineRule="auto"/>
              <w:jc w:val="center"/>
            </w:pPr>
            <w:r>
              <w:rPr>
                <w:rFonts w:ascii="仿宋" w:hAnsi="仿宋" w:eastAsia="仿宋"/>
                <w:b w:val="0"/>
                <w:sz w:val="20"/>
              </w:rPr>
              <w:t>长期坚持</w:t>
            </w:r>
          </w:p>
        </w:tc>
        <w:tc>
          <w:tcPr>
            <w:tcW w:w="797" w:type="dxa"/>
            <w:vAlign w:val="center"/>
          </w:tcPr>
          <w:p w14:paraId="55B7FF36">
            <w:pPr>
              <w:spacing w:after="0" w:line="240" w:lineRule="auto"/>
              <w:jc w:val="center"/>
            </w:pPr>
          </w:p>
        </w:tc>
      </w:tr>
      <w:tr w14:paraId="1A5F63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3" w:hRule="atLeast"/>
          <w:jc w:val="center"/>
        </w:trPr>
        <w:tc>
          <w:tcPr>
            <w:tcW w:w="1295" w:type="dxa"/>
            <w:vMerge w:val="continue"/>
          </w:tcPr>
          <w:p w14:paraId="26258818">
            <w:pPr>
              <w:spacing w:after="0" w:line="240" w:lineRule="auto"/>
            </w:pPr>
          </w:p>
        </w:tc>
        <w:tc>
          <w:tcPr>
            <w:tcW w:w="3197" w:type="dxa"/>
            <w:vMerge w:val="continue"/>
          </w:tcPr>
          <w:p w14:paraId="3C15016E">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29DF6554">
            <w:pPr>
              <w:spacing w:after="0" w:line="240" w:lineRule="auto"/>
              <w:jc w:val="center"/>
            </w:pPr>
            <w:r>
              <w:rPr>
                <w:rFonts w:ascii="仿宋" w:hAnsi="仿宋" w:eastAsia="仿宋"/>
                <w:b w:val="0"/>
                <w:sz w:val="20"/>
              </w:rPr>
              <w:t>5</w:t>
            </w:r>
          </w:p>
        </w:tc>
        <w:tc>
          <w:tcPr>
            <w:tcW w:w="7252" w:type="dxa"/>
            <w:vAlign w:val="center"/>
          </w:tcPr>
          <w:p w14:paraId="57A65262">
            <w:pPr>
              <w:spacing w:after="0" w:line="240" w:lineRule="auto"/>
              <w:jc w:val="left"/>
            </w:pPr>
            <w:r>
              <w:rPr>
                <w:rFonts w:ascii="仿宋" w:hAnsi="仿宋" w:eastAsia="仿宋"/>
                <w:b w:val="0"/>
                <w:sz w:val="20"/>
              </w:rPr>
              <w:t>一是优化涉企监管方式，落实基层减负，审定"综合查一次"清单。二是推行跨部门联合"双随机、一公开"抽查，减少重复检查。三是严格督办企业账款清欠、政府履约工作，防范监管扰企、营商环境短板问题。</w:t>
            </w:r>
          </w:p>
        </w:tc>
        <w:tc>
          <w:tcPr>
            <w:tcW w:w="1701" w:type="dxa"/>
            <w:vAlign w:val="center"/>
          </w:tcPr>
          <w:p w14:paraId="6EC83F76">
            <w:pPr>
              <w:spacing w:after="0" w:line="240" w:lineRule="auto"/>
              <w:jc w:val="center"/>
              <w:rPr>
                <w:rFonts w:hint="default" w:eastAsia="仿宋"/>
                <w:lang w:val="en-US" w:eastAsia="zh-CN"/>
              </w:rPr>
            </w:pPr>
            <w:r>
              <w:rPr>
                <w:rFonts w:hint="eastAsia"/>
                <w:b w:val="0"/>
                <w:sz w:val="20"/>
                <w:lang w:val="en-US" w:eastAsia="zh-CN"/>
              </w:rPr>
              <w:t>政策法规科</w:t>
            </w:r>
          </w:p>
        </w:tc>
        <w:tc>
          <w:tcPr>
            <w:tcW w:w="1633" w:type="dxa"/>
            <w:vAlign w:val="center"/>
          </w:tcPr>
          <w:p w14:paraId="0FD268B3">
            <w:pPr>
              <w:spacing w:after="0" w:line="240" w:lineRule="auto"/>
              <w:jc w:val="center"/>
              <w:rPr>
                <w:rFonts w:hint="default" w:eastAsia="仿宋"/>
                <w:lang w:val="en-US" w:eastAsia="zh-CN"/>
              </w:rPr>
            </w:pPr>
            <w:r>
              <w:rPr>
                <w:rFonts w:hint="eastAsia"/>
                <w:b w:val="0"/>
                <w:sz w:val="20"/>
                <w:lang w:val="en-US" w:eastAsia="zh-CN"/>
              </w:rPr>
              <w:t>郭小平、吴攀</w:t>
            </w:r>
          </w:p>
        </w:tc>
        <w:tc>
          <w:tcPr>
            <w:tcW w:w="1684" w:type="dxa"/>
            <w:vAlign w:val="center"/>
          </w:tcPr>
          <w:p w14:paraId="1C2B5EA6">
            <w:pPr>
              <w:spacing w:after="0" w:line="240" w:lineRule="auto"/>
              <w:jc w:val="left"/>
              <w:rPr>
                <w:rFonts w:hint="default" w:eastAsia="仿宋"/>
                <w:lang w:val="en-US" w:eastAsia="zh-CN"/>
              </w:rPr>
            </w:pPr>
            <w:r>
              <w:rPr>
                <w:rFonts w:hint="eastAsia"/>
                <w:b w:val="0"/>
                <w:sz w:val="20"/>
                <w:lang w:val="en-US" w:eastAsia="zh-CN"/>
              </w:rPr>
              <w:t>农产品质量安全监管科、农田建设与农牧渔场管理科、地区农业综合行政执法支队，局属各单位</w:t>
            </w:r>
          </w:p>
        </w:tc>
        <w:tc>
          <w:tcPr>
            <w:tcW w:w="2050" w:type="dxa"/>
            <w:vAlign w:val="center"/>
          </w:tcPr>
          <w:p w14:paraId="64BB3CE0">
            <w:pPr>
              <w:spacing w:after="0" w:line="240" w:lineRule="auto"/>
              <w:jc w:val="center"/>
            </w:pPr>
            <w:r>
              <w:rPr>
                <w:rFonts w:hint="eastAsia"/>
                <w:b w:val="0"/>
                <w:sz w:val="20"/>
                <w:lang w:val="en-US" w:eastAsia="zh-CN"/>
              </w:rPr>
              <w:t>有涉农项目的局机关各科室、局属各单位负责人</w:t>
            </w:r>
          </w:p>
        </w:tc>
        <w:tc>
          <w:tcPr>
            <w:tcW w:w="1435" w:type="dxa"/>
            <w:vAlign w:val="center"/>
          </w:tcPr>
          <w:p w14:paraId="2A6FA1CA">
            <w:pPr>
              <w:spacing w:after="0" w:line="240" w:lineRule="auto"/>
              <w:jc w:val="center"/>
            </w:pPr>
            <w:r>
              <w:rPr>
                <w:rFonts w:ascii="仿宋" w:hAnsi="仿宋" w:eastAsia="仿宋"/>
                <w:b w:val="0"/>
                <w:sz w:val="20"/>
              </w:rPr>
              <w:t>2026年12月底，长期坚持</w:t>
            </w:r>
          </w:p>
        </w:tc>
        <w:tc>
          <w:tcPr>
            <w:tcW w:w="797" w:type="dxa"/>
            <w:vAlign w:val="center"/>
          </w:tcPr>
          <w:p w14:paraId="75075FC5">
            <w:pPr>
              <w:spacing w:after="0" w:line="240" w:lineRule="auto"/>
              <w:jc w:val="center"/>
            </w:pPr>
          </w:p>
        </w:tc>
      </w:tr>
      <w:tr w14:paraId="3AD2C6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3" w:hRule="atLeast"/>
          <w:jc w:val="center"/>
        </w:trPr>
        <w:tc>
          <w:tcPr>
            <w:tcW w:w="1295" w:type="dxa"/>
            <w:vMerge w:val="continue"/>
          </w:tcPr>
          <w:p w14:paraId="79DEA07B">
            <w:pPr>
              <w:spacing w:after="0" w:line="240" w:lineRule="auto"/>
            </w:pPr>
          </w:p>
        </w:tc>
        <w:tc>
          <w:tcPr>
            <w:tcW w:w="3197" w:type="dxa"/>
            <w:vMerge w:val="continue"/>
          </w:tcPr>
          <w:p w14:paraId="3D3C1994">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43A0EC3D">
            <w:pPr>
              <w:spacing w:after="0" w:line="240" w:lineRule="auto"/>
              <w:jc w:val="center"/>
            </w:pPr>
            <w:r>
              <w:rPr>
                <w:rFonts w:ascii="仿宋" w:hAnsi="仿宋" w:eastAsia="仿宋"/>
                <w:b w:val="0"/>
                <w:sz w:val="20"/>
              </w:rPr>
              <w:t>6</w:t>
            </w:r>
          </w:p>
        </w:tc>
        <w:tc>
          <w:tcPr>
            <w:tcW w:w="7252" w:type="dxa"/>
            <w:vAlign w:val="center"/>
          </w:tcPr>
          <w:p w14:paraId="7E5818F0">
            <w:pPr>
              <w:spacing w:after="0" w:line="240" w:lineRule="auto"/>
              <w:jc w:val="left"/>
            </w:pPr>
            <w:r>
              <w:rPr>
                <w:rFonts w:ascii="仿宋" w:hAnsi="仿宋" w:eastAsia="仿宋"/>
                <w:b w:val="0"/>
                <w:sz w:val="20"/>
              </w:rPr>
              <w:t>一是强化驻地区行政审批局服务窗口服务，提升窗口服务质量。二是及时办理企业呈报的种子生产经营许可证、农药经营许可证等各类行政许可证件。</w:t>
            </w:r>
          </w:p>
        </w:tc>
        <w:tc>
          <w:tcPr>
            <w:tcW w:w="1701" w:type="dxa"/>
            <w:vAlign w:val="center"/>
          </w:tcPr>
          <w:p w14:paraId="36C1EC1E">
            <w:pPr>
              <w:spacing w:after="0" w:line="240" w:lineRule="auto"/>
              <w:jc w:val="center"/>
            </w:pPr>
            <w:r>
              <w:rPr>
                <w:rFonts w:hint="eastAsia"/>
                <w:b w:val="0"/>
                <w:sz w:val="20"/>
                <w:lang w:val="en-US" w:eastAsia="zh-CN"/>
              </w:rPr>
              <w:t>局办公室</w:t>
            </w:r>
          </w:p>
        </w:tc>
        <w:tc>
          <w:tcPr>
            <w:tcW w:w="1633" w:type="dxa"/>
            <w:vAlign w:val="center"/>
          </w:tcPr>
          <w:p w14:paraId="22A6DDEE">
            <w:pPr>
              <w:spacing w:after="0" w:line="240" w:lineRule="auto"/>
              <w:jc w:val="center"/>
              <w:rPr>
                <w:rFonts w:hint="default"/>
                <w:lang w:val="en-US"/>
              </w:rPr>
            </w:pPr>
            <w:r>
              <w:rPr>
                <w:rFonts w:hint="eastAsia"/>
                <w:b w:val="0"/>
                <w:sz w:val="20"/>
                <w:lang w:val="en-US" w:eastAsia="zh-CN"/>
              </w:rPr>
              <w:t>齐长江、胡新武</w:t>
            </w:r>
          </w:p>
        </w:tc>
        <w:tc>
          <w:tcPr>
            <w:tcW w:w="1684" w:type="dxa"/>
            <w:vAlign w:val="center"/>
          </w:tcPr>
          <w:p w14:paraId="3DAAF0ED">
            <w:pPr>
              <w:spacing w:after="0" w:line="240" w:lineRule="auto"/>
              <w:jc w:val="left"/>
              <w:rPr>
                <w:rFonts w:hint="default"/>
                <w:lang w:val="en-US"/>
              </w:rPr>
            </w:pPr>
            <w:r>
              <w:rPr>
                <w:rFonts w:hint="eastAsia"/>
                <w:b w:val="0"/>
                <w:sz w:val="20"/>
                <w:lang w:val="en-US" w:eastAsia="zh-CN"/>
              </w:rPr>
              <w:t>种植业与种业管理科、地区种业中心、地区植物保护站、地区水产技术推广站</w:t>
            </w:r>
          </w:p>
        </w:tc>
        <w:tc>
          <w:tcPr>
            <w:tcW w:w="2050" w:type="dxa"/>
            <w:vAlign w:val="center"/>
          </w:tcPr>
          <w:p w14:paraId="18C9DFB5">
            <w:pPr>
              <w:spacing w:after="0" w:line="240" w:lineRule="auto"/>
              <w:jc w:val="center"/>
            </w:pPr>
            <w:r>
              <w:rPr>
                <w:rFonts w:hint="eastAsia"/>
                <w:b w:val="0"/>
                <w:sz w:val="20"/>
                <w:lang w:val="en-US" w:eastAsia="zh-CN"/>
              </w:rPr>
              <w:t>有行政审批事项的局机关各科室、局属各单位负责人</w:t>
            </w:r>
          </w:p>
        </w:tc>
        <w:tc>
          <w:tcPr>
            <w:tcW w:w="1435" w:type="dxa"/>
            <w:vAlign w:val="center"/>
          </w:tcPr>
          <w:p w14:paraId="21148DDE">
            <w:pPr>
              <w:spacing w:after="0" w:line="240" w:lineRule="auto"/>
              <w:jc w:val="center"/>
            </w:pPr>
            <w:r>
              <w:rPr>
                <w:rFonts w:ascii="仿宋" w:hAnsi="仿宋" w:eastAsia="仿宋"/>
                <w:b w:val="0"/>
                <w:sz w:val="20"/>
              </w:rPr>
              <w:t>长期坚持</w:t>
            </w:r>
          </w:p>
        </w:tc>
        <w:tc>
          <w:tcPr>
            <w:tcW w:w="797" w:type="dxa"/>
            <w:vAlign w:val="center"/>
          </w:tcPr>
          <w:p w14:paraId="3F63CD6D">
            <w:pPr>
              <w:spacing w:after="0" w:line="240" w:lineRule="auto"/>
              <w:jc w:val="center"/>
            </w:pPr>
          </w:p>
        </w:tc>
      </w:tr>
      <w:tr w14:paraId="1092B1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jc w:val="center"/>
        </w:trPr>
        <w:tc>
          <w:tcPr>
            <w:tcW w:w="1295" w:type="dxa"/>
            <w:vMerge w:val="continue"/>
          </w:tcPr>
          <w:p w14:paraId="145A08C3">
            <w:pPr>
              <w:spacing w:after="0" w:line="240" w:lineRule="auto"/>
            </w:pPr>
          </w:p>
        </w:tc>
        <w:tc>
          <w:tcPr>
            <w:tcW w:w="3197" w:type="dxa"/>
            <w:vMerge w:val="continue"/>
          </w:tcPr>
          <w:p w14:paraId="76956CC6">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06D669EE">
            <w:pPr>
              <w:spacing w:after="0" w:line="240" w:lineRule="auto"/>
              <w:jc w:val="center"/>
            </w:pPr>
            <w:r>
              <w:rPr>
                <w:rFonts w:ascii="仿宋" w:hAnsi="仿宋" w:eastAsia="仿宋"/>
                <w:b w:val="0"/>
                <w:sz w:val="20"/>
              </w:rPr>
              <w:t>7</w:t>
            </w:r>
          </w:p>
        </w:tc>
        <w:tc>
          <w:tcPr>
            <w:tcW w:w="7252" w:type="dxa"/>
            <w:vAlign w:val="center"/>
          </w:tcPr>
          <w:p w14:paraId="189C96D0">
            <w:pPr>
              <w:spacing w:after="0" w:line="240" w:lineRule="auto"/>
              <w:jc w:val="left"/>
            </w:pPr>
            <w:r>
              <w:rPr>
                <w:rFonts w:ascii="仿宋" w:hAnsi="仿宋" w:eastAsia="仿宋"/>
                <w:b w:val="0"/>
                <w:sz w:val="20"/>
              </w:rPr>
              <w:t>一是重点抓好依法开展农药、肥料、种子等领域审批前期审查工作。二是推进农业行业各类项目资金、招商引资、企业落地等方面的事前审批向事中事后监管转变。</w:t>
            </w:r>
          </w:p>
        </w:tc>
        <w:tc>
          <w:tcPr>
            <w:tcW w:w="1701" w:type="dxa"/>
            <w:vAlign w:val="center"/>
          </w:tcPr>
          <w:p w14:paraId="6B2ED593">
            <w:pPr>
              <w:spacing w:after="0" w:line="240" w:lineRule="auto"/>
              <w:jc w:val="center"/>
            </w:pPr>
            <w:r>
              <w:rPr>
                <w:rFonts w:hint="eastAsia"/>
                <w:b w:val="0"/>
                <w:sz w:val="20"/>
                <w:lang w:val="en-US" w:eastAsia="zh-CN"/>
              </w:rPr>
              <w:t>政策法规科</w:t>
            </w:r>
          </w:p>
        </w:tc>
        <w:tc>
          <w:tcPr>
            <w:tcW w:w="1633" w:type="dxa"/>
            <w:vAlign w:val="center"/>
          </w:tcPr>
          <w:p w14:paraId="50AEA021">
            <w:pPr>
              <w:spacing w:after="0" w:line="240" w:lineRule="auto"/>
              <w:jc w:val="center"/>
            </w:pPr>
            <w:r>
              <w:rPr>
                <w:rFonts w:hint="eastAsia"/>
                <w:b w:val="0"/>
                <w:sz w:val="20"/>
                <w:lang w:val="en-US" w:eastAsia="zh-CN"/>
              </w:rPr>
              <w:t>齐长江、吴攀</w:t>
            </w:r>
          </w:p>
        </w:tc>
        <w:tc>
          <w:tcPr>
            <w:tcW w:w="1684" w:type="dxa"/>
            <w:vAlign w:val="center"/>
          </w:tcPr>
          <w:p w14:paraId="0C4984DC">
            <w:pPr>
              <w:spacing w:after="0" w:line="240" w:lineRule="auto"/>
              <w:jc w:val="left"/>
              <w:rPr>
                <w:rFonts w:hint="default" w:eastAsia="仿宋"/>
                <w:lang w:val="en-US" w:eastAsia="zh-CN"/>
              </w:rPr>
            </w:pPr>
            <w:r>
              <w:rPr>
                <w:rFonts w:hint="eastAsia"/>
                <w:b w:val="0"/>
                <w:sz w:val="20"/>
                <w:lang w:val="en-US" w:eastAsia="zh-CN"/>
              </w:rPr>
              <w:t>有行政许可、检查、处罚职责的机关科室、局属单位</w:t>
            </w:r>
          </w:p>
        </w:tc>
        <w:tc>
          <w:tcPr>
            <w:tcW w:w="2050" w:type="dxa"/>
            <w:vAlign w:val="center"/>
          </w:tcPr>
          <w:p w14:paraId="2867522C">
            <w:pPr>
              <w:spacing w:after="0" w:line="240" w:lineRule="auto"/>
              <w:jc w:val="center"/>
            </w:pPr>
            <w:r>
              <w:rPr>
                <w:rFonts w:hint="eastAsia"/>
                <w:b w:val="0"/>
                <w:sz w:val="20"/>
                <w:lang w:val="en-US" w:eastAsia="zh-CN"/>
              </w:rPr>
              <w:t>有行政许可、检查、处罚职责的机关科室、局属单位</w:t>
            </w:r>
            <w:r>
              <w:rPr>
                <w:rFonts w:ascii="仿宋" w:hAnsi="仿宋" w:eastAsia="仿宋"/>
                <w:b w:val="0"/>
                <w:sz w:val="20"/>
              </w:rPr>
              <w:t>负责人</w:t>
            </w:r>
          </w:p>
        </w:tc>
        <w:tc>
          <w:tcPr>
            <w:tcW w:w="1435" w:type="dxa"/>
            <w:vAlign w:val="center"/>
          </w:tcPr>
          <w:p w14:paraId="5EF9B4A1">
            <w:pPr>
              <w:spacing w:after="0" w:line="240" w:lineRule="auto"/>
              <w:jc w:val="center"/>
            </w:pPr>
            <w:r>
              <w:rPr>
                <w:rFonts w:ascii="仿宋" w:hAnsi="仿宋" w:eastAsia="仿宋"/>
                <w:b w:val="0"/>
                <w:sz w:val="20"/>
              </w:rPr>
              <w:t>长期坚持</w:t>
            </w:r>
          </w:p>
        </w:tc>
        <w:tc>
          <w:tcPr>
            <w:tcW w:w="797" w:type="dxa"/>
            <w:vAlign w:val="center"/>
          </w:tcPr>
          <w:p w14:paraId="1B9080FD">
            <w:pPr>
              <w:spacing w:after="0" w:line="240" w:lineRule="auto"/>
              <w:jc w:val="center"/>
            </w:pPr>
          </w:p>
        </w:tc>
      </w:tr>
      <w:tr w14:paraId="711D30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7" w:hRule="atLeast"/>
          <w:jc w:val="center"/>
        </w:trPr>
        <w:tc>
          <w:tcPr>
            <w:tcW w:w="1295" w:type="dxa"/>
            <w:vMerge w:val="continue"/>
          </w:tcPr>
          <w:p w14:paraId="11A3A080">
            <w:pPr>
              <w:spacing w:after="0" w:line="240" w:lineRule="auto"/>
            </w:pPr>
          </w:p>
        </w:tc>
        <w:tc>
          <w:tcPr>
            <w:tcW w:w="3197" w:type="dxa"/>
            <w:vMerge w:val="restart"/>
            <w:vAlign w:val="center"/>
          </w:tcPr>
          <w:p w14:paraId="27E00E66">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三、严格执行重大行政决策法定程序，认真落实政府法律顾问制度、公职律师制度；依法起草政府规章和制定行政规范性文件，加强行政规范性文件报送备案和清理工作，全面实行行政规范性文件合法性审核机制；切实推进政务公开，加快推进政务诚信建设。</w:t>
            </w:r>
          </w:p>
        </w:tc>
        <w:tc>
          <w:tcPr>
            <w:tcW w:w="636" w:type="dxa"/>
            <w:vAlign w:val="center"/>
          </w:tcPr>
          <w:p w14:paraId="11B9C73C">
            <w:pPr>
              <w:spacing w:after="0" w:line="240" w:lineRule="auto"/>
              <w:jc w:val="center"/>
            </w:pPr>
            <w:r>
              <w:rPr>
                <w:rFonts w:ascii="仿宋" w:hAnsi="仿宋" w:eastAsia="仿宋"/>
                <w:b w:val="0"/>
                <w:sz w:val="20"/>
              </w:rPr>
              <w:t>8</w:t>
            </w:r>
          </w:p>
        </w:tc>
        <w:tc>
          <w:tcPr>
            <w:tcW w:w="7252" w:type="dxa"/>
            <w:vAlign w:val="center"/>
          </w:tcPr>
          <w:p w14:paraId="3891A245">
            <w:pPr>
              <w:spacing w:after="0" w:line="240" w:lineRule="auto"/>
              <w:jc w:val="left"/>
            </w:pPr>
            <w:r>
              <w:rPr>
                <w:rFonts w:ascii="仿宋" w:hAnsi="仿宋" w:eastAsia="仿宋"/>
                <w:b w:val="0"/>
                <w:sz w:val="20"/>
              </w:rPr>
              <w:t>一是组织各级领导干部学习《重大行政决策程序暂行条例》《自治区重大行政决策程序规定》，并严格落实相关规定。二是坚持重大行政决策接受社会、群众监督，增强公众参与实效。三是确保所有重大行政决策都严格履行合法性审查和集体讨论决定程序。</w:t>
            </w:r>
          </w:p>
        </w:tc>
        <w:tc>
          <w:tcPr>
            <w:tcW w:w="1701" w:type="dxa"/>
            <w:vAlign w:val="center"/>
          </w:tcPr>
          <w:p w14:paraId="2B2E2AD1">
            <w:pPr>
              <w:spacing w:after="0" w:line="240" w:lineRule="auto"/>
              <w:jc w:val="center"/>
            </w:pPr>
            <w:r>
              <w:rPr>
                <w:rFonts w:ascii="仿宋" w:hAnsi="仿宋" w:eastAsia="仿宋"/>
                <w:b w:val="0"/>
                <w:sz w:val="20"/>
              </w:rPr>
              <w:t>政策法规科</w:t>
            </w:r>
          </w:p>
        </w:tc>
        <w:tc>
          <w:tcPr>
            <w:tcW w:w="1633" w:type="dxa"/>
            <w:vAlign w:val="center"/>
          </w:tcPr>
          <w:p w14:paraId="7D134CCE">
            <w:pPr>
              <w:spacing w:after="0" w:line="240" w:lineRule="auto"/>
              <w:jc w:val="center"/>
            </w:pPr>
            <w:r>
              <w:rPr>
                <w:rFonts w:hint="eastAsia"/>
                <w:b w:val="0"/>
                <w:sz w:val="20"/>
                <w:lang w:val="en-US" w:eastAsia="zh-CN"/>
              </w:rPr>
              <w:t>齐长江、吴攀</w:t>
            </w:r>
          </w:p>
        </w:tc>
        <w:tc>
          <w:tcPr>
            <w:tcW w:w="1684" w:type="dxa"/>
            <w:vAlign w:val="center"/>
          </w:tcPr>
          <w:p w14:paraId="0FF864AC">
            <w:pPr>
              <w:spacing w:after="0" w:line="240" w:lineRule="auto"/>
              <w:jc w:val="left"/>
            </w:pPr>
            <w:r>
              <w:rPr>
                <w:rFonts w:hint="eastAsia"/>
                <w:b w:val="0"/>
                <w:sz w:val="20"/>
                <w:lang w:val="en-US" w:eastAsia="zh-CN"/>
              </w:rPr>
              <w:t>局机关各科室、局属各单位</w:t>
            </w:r>
          </w:p>
        </w:tc>
        <w:tc>
          <w:tcPr>
            <w:tcW w:w="2050" w:type="dxa"/>
            <w:vAlign w:val="center"/>
          </w:tcPr>
          <w:p w14:paraId="3D2B6C25">
            <w:pPr>
              <w:spacing w:after="0" w:line="240" w:lineRule="auto"/>
              <w:jc w:val="left"/>
            </w:pPr>
            <w:r>
              <w:rPr>
                <w:rFonts w:hint="eastAsia"/>
                <w:b w:val="0"/>
                <w:sz w:val="20"/>
                <w:lang w:val="en-US" w:eastAsia="zh-CN"/>
              </w:rPr>
              <w:t>局机关各科室、局属各单位负责人</w:t>
            </w:r>
          </w:p>
        </w:tc>
        <w:tc>
          <w:tcPr>
            <w:tcW w:w="1435" w:type="dxa"/>
            <w:vAlign w:val="center"/>
          </w:tcPr>
          <w:p w14:paraId="5AA8DDBA">
            <w:pPr>
              <w:spacing w:after="0" w:line="240" w:lineRule="auto"/>
              <w:jc w:val="center"/>
            </w:pPr>
            <w:r>
              <w:rPr>
                <w:rFonts w:ascii="仿宋" w:hAnsi="仿宋" w:eastAsia="仿宋"/>
                <w:b w:val="0"/>
                <w:sz w:val="20"/>
              </w:rPr>
              <w:t>长期坚持</w:t>
            </w:r>
          </w:p>
        </w:tc>
        <w:tc>
          <w:tcPr>
            <w:tcW w:w="797" w:type="dxa"/>
            <w:vAlign w:val="center"/>
          </w:tcPr>
          <w:p w14:paraId="18701C17">
            <w:pPr>
              <w:spacing w:after="0" w:line="240" w:lineRule="auto"/>
              <w:jc w:val="center"/>
            </w:pPr>
          </w:p>
        </w:tc>
      </w:tr>
      <w:tr w14:paraId="6B627F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4" w:hRule="atLeast"/>
          <w:jc w:val="center"/>
        </w:trPr>
        <w:tc>
          <w:tcPr>
            <w:tcW w:w="1295" w:type="dxa"/>
            <w:vMerge w:val="continue"/>
          </w:tcPr>
          <w:p w14:paraId="45CEEAC9">
            <w:pPr>
              <w:spacing w:after="0" w:line="240" w:lineRule="auto"/>
            </w:pPr>
          </w:p>
        </w:tc>
        <w:tc>
          <w:tcPr>
            <w:tcW w:w="3197" w:type="dxa"/>
            <w:vMerge w:val="continue"/>
          </w:tcPr>
          <w:p w14:paraId="2E9FFDAD">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49686F94">
            <w:pPr>
              <w:spacing w:after="0" w:line="240" w:lineRule="auto"/>
              <w:jc w:val="center"/>
            </w:pPr>
            <w:r>
              <w:rPr>
                <w:rFonts w:ascii="仿宋" w:hAnsi="仿宋" w:eastAsia="仿宋"/>
                <w:b w:val="0"/>
                <w:sz w:val="20"/>
              </w:rPr>
              <w:t>9</w:t>
            </w:r>
          </w:p>
        </w:tc>
        <w:tc>
          <w:tcPr>
            <w:tcW w:w="7252" w:type="dxa"/>
            <w:vAlign w:val="center"/>
          </w:tcPr>
          <w:p w14:paraId="6F5264C9">
            <w:pPr>
              <w:spacing w:after="0" w:line="240" w:lineRule="auto"/>
              <w:jc w:val="left"/>
            </w:pPr>
            <w:r>
              <w:rPr>
                <w:rFonts w:ascii="仿宋" w:hAnsi="仿宋" w:eastAsia="仿宋"/>
                <w:b w:val="0"/>
                <w:sz w:val="20"/>
              </w:rPr>
              <w:t>一是落实法律顾问制度，聘请有资质、经验丰富的法律顾问。二是在制定重大决策、推进依法行政中听取法律顾问的意见建议，有效发挥法律顾问的作用。三是明确法律顾问参与重大合同审查、行政处罚听证、行政复议等硬性要求。</w:t>
            </w:r>
          </w:p>
        </w:tc>
        <w:tc>
          <w:tcPr>
            <w:tcW w:w="1701" w:type="dxa"/>
            <w:vAlign w:val="center"/>
          </w:tcPr>
          <w:p w14:paraId="06DFDFFF">
            <w:pPr>
              <w:spacing w:after="0" w:line="240" w:lineRule="auto"/>
              <w:jc w:val="center"/>
            </w:pPr>
            <w:r>
              <w:rPr>
                <w:rFonts w:ascii="仿宋" w:hAnsi="仿宋" w:eastAsia="仿宋"/>
                <w:b w:val="0"/>
                <w:sz w:val="20"/>
              </w:rPr>
              <w:t>政策法规科</w:t>
            </w:r>
          </w:p>
        </w:tc>
        <w:tc>
          <w:tcPr>
            <w:tcW w:w="1633" w:type="dxa"/>
            <w:vAlign w:val="center"/>
          </w:tcPr>
          <w:p w14:paraId="0104C61D">
            <w:pPr>
              <w:spacing w:after="0" w:line="240" w:lineRule="auto"/>
              <w:jc w:val="center"/>
            </w:pPr>
            <w:r>
              <w:rPr>
                <w:rFonts w:hint="eastAsia"/>
                <w:b w:val="0"/>
                <w:sz w:val="20"/>
                <w:lang w:val="en-US" w:eastAsia="zh-CN"/>
              </w:rPr>
              <w:t>齐长江、吴攀</w:t>
            </w:r>
          </w:p>
        </w:tc>
        <w:tc>
          <w:tcPr>
            <w:tcW w:w="1684" w:type="dxa"/>
            <w:vAlign w:val="center"/>
          </w:tcPr>
          <w:p w14:paraId="6C98D673">
            <w:pPr>
              <w:spacing w:after="0" w:line="240" w:lineRule="auto"/>
              <w:jc w:val="left"/>
            </w:pPr>
            <w:r>
              <w:rPr>
                <w:rFonts w:hint="eastAsia"/>
                <w:b w:val="0"/>
                <w:sz w:val="20"/>
                <w:lang w:val="en-US" w:eastAsia="zh-CN"/>
              </w:rPr>
              <w:t>局机关各科室、局属各单位</w:t>
            </w:r>
          </w:p>
        </w:tc>
        <w:tc>
          <w:tcPr>
            <w:tcW w:w="2050" w:type="dxa"/>
            <w:vAlign w:val="center"/>
          </w:tcPr>
          <w:p w14:paraId="44A4EBDD">
            <w:pPr>
              <w:spacing w:after="0" w:line="240" w:lineRule="auto"/>
              <w:jc w:val="left"/>
            </w:pPr>
            <w:r>
              <w:rPr>
                <w:rFonts w:hint="eastAsia"/>
                <w:b w:val="0"/>
                <w:sz w:val="20"/>
                <w:lang w:val="en-US" w:eastAsia="zh-CN"/>
              </w:rPr>
              <w:t>局机关各科室、局属各单位负责人</w:t>
            </w:r>
          </w:p>
        </w:tc>
        <w:tc>
          <w:tcPr>
            <w:tcW w:w="1435" w:type="dxa"/>
            <w:vAlign w:val="center"/>
          </w:tcPr>
          <w:p w14:paraId="02F376F5">
            <w:pPr>
              <w:spacing w:after="0" w:line="240" w:lineRule="auto"/>
              <w:jc w:val="center"/>
            </w:pPr>
            <w:r>
              <w:rPr>
                <w:rFonts w:ascii="仿宋" w:hAnsi="仿宋" w:eastAsia="仿宋"/>
                <w:b w:val="0"/>
                <w:sz w:val="20"/>
              </w:rPr>
              <w:t>长期坚持</w:t>
            </w:r>
          </w:p>
        </w:tc>
        <w:tc>
          <w:tcPr>
            <w:tcW w:w="797" w:type="dxa"/>
            <w:vAlign w:val="center"/>
          </w:tcPr>
          <w:p w14:paraId="6E622813">
            <w:pPr>
              <w:spacing w:after="0" w:line="240" w:lineRule="auto"/>
              <w:jc w:val="center"/>
            </w:pPr>
          </w:p>
        </w:tc>
      </w:tr>
      <w:tr w14:paraId="46A8DF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0F3EC3E5">
            <w:pPr>
              <w:spacing w:after="0" w:line="240" w:lineRule="auto"/>
            </w:pPr>
          </w:p>
        </w:tc>
        <w:tc>
          <w:tcPr>
            <w:tcW w:w="3197" w:type="dxa"/>
            <w:vMerge w:val="continue"/>
          </w:tcPr>
          <w:p w14:paraId="5E63FCB8">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4B172794">
            <w:pPr>
              <w:spacing w:after="0" w:line="240" w:lineRule="auto"/>
              <w:jc w:val="center"/>
            </w:pPr>
            <w:r>
              <w:rPr>
                <w:rFonts w:ascii="仿宋" w:hAnsi="仿宋" w:eastAsia="仿宋"/>
                <w:b w:val="0"/>
                <w:sz w:val="20"/>
              </w:rPr>
              <w:t>10</w:t>
            </w:r>
          </w:p>
        </w:tc>
        <w:tc>
          <w:tcPr>
            <w:tcW w:w="7252" w:type="dxa"/>
            <w:vAlign w:val="center"/>
          </w:tcPr>
          <w:p w14:paraId="7EE58455">
            <w:pPr>
              <w:spacing w:after="0" w:line="240" w:lineRule="auto"/>
              <w:jc w:val="left"/>
            </w:pPr>
            <w:r>
              <w:rPr>
                <w:rFonts w:ascii="仿宋" w:hAnsi="仿宋" w:eastAsia="仿宋"/>
                <w:b w:val="0"/>
                <w:sz w:val="20"/>
              </w:rPr>
              <w:t>一是严格落实行政规范性文件制定程序，全面实行行政规范性文件合法性审核制度。二是严格执行行政规范性文件"三统一""有效期"等制度，坚持"有件必备"。三是根据行署规范性文件清理要求，及时梳理并清理规范性文件，做好登记备案工作。</w:t>
            </w:r>
          </w:p>
        </w:tc>
        <w:tc>
          <w:tcPr>
            <w:tcW w:w="1701" w:type="dxa"/>
            <w:vAlign w:val="center"/>
          </w:tcPr>
          <w:p w14:paraId="422E7A21">
            <w:pPr>
              <w:spacing w:after="0" w:line="240" w:lineRule="auto"/>
              <w:jc w:val="center"/>
            </w:pPr>
            <w:r>
              <w:rPr>
                <w:rFonts w:ascii="仿宋" w:hAnsi="仿宋" w:eastAsia="仿宋"/>
                <w:b w:val="0"/>
                <w:sz w:val="20"/>
              </w:rPr>
              <w:t>政策法规科</w:t>
            </w:r>
          </w:p>
        </w:tc>
        <w:tc>
          <w:tcPr>
            <w:tcW w:w="1633" w:type="dxa"/>
            <w:vAlign w:val="center"/>
          </w:tcPr>
          <w:p w14:paraId="17CA7C71">
            <w:pPr>
              <w:spacing w:after="0" w:line="240" w:lineRule="auto"/>
              <w:jc w:val="center"/>
            </w:pPr>
            <w:r>
              <w:rPr>
                <w:rFonts w:hint="eastAsia"/>
                <w:b w:val="0"/>
                <w:sz w:val="20"/>
                <w:lang w:val="en-US" w:eastAsia="zh-CN"/>
              </w:rPr>
              <w:t>齐长江、吴攀</w:t>
            </w:r>
          </w:p>
        </w:tc>
        <w:tc>
          <w:tcPr>
            <w:tcW w:w="1684" w:type="dxa"/>
            <w:vAlign w:val="center"/>
          </w:tcPr>
          <w:p w14:paraId="485A81FF">
            <w:pPr>
              <w:spacing w:after="0" w:line="240" w:lineRule="auto"/>
              <w:jc w:val="left"/>
            </w:pPr>
            <w:r>
              <w:rPr>
                <w:rFonts w:hint="eastAsia"/>
                <w:b w:val="0"/>
                <w:sz w:val="20"/>
                <w:lang w:val="en-US" w:eastAsia="zh-CN"/>
              </w:rPr>
              <w:t>局机关各科室、局属各单位</w:t>
            </w:r>
          </w:p>
        </w:tc>
        <w:tc>
          <w:tcPr>
            <w:tcW w:w="2050" w:type="dxa"/>
            <w:vAlign w:val="center"/>
          </w:tcPr>
          <w:p w14:paraId="5BC51557">
            <w:pPr>
              <w:spacing w:after="0" w:line="240" w:lineRule="auto"/>
              <w:jc w:val="left"/>
            </w:pPr>
            <w:r>
              <w:rPr>
                <w:rFonts w:hint="eastAsia"/>
                <w:b w:val="0"/>
                <w:sz w:val="20"/>
                <w:lang w:val="en-US" w:eastAsia="zh-CN"/>
              </w:rPr>
              <w:t>局机关各科室、局属各单位负责人</w:t>
            </w:r>
          </w:p>
        </w:tc>
        <w:tc>
          <w:tcPr>
            <w:tcW w:w="1435" w:type="dxa"/>
            <w:vAlign w:val="center"/>
          </w:tcPr>
          <w:p w14:paraId="4FE9A603">
            <w:pPr>
              <w:spacing w:after="0" w:line="240" w:lineRule="auto"/>
              <w:jc w:val="center"/>
            </w:pPr>
            <w:r>
              <w:rPr>
                <w:rFonts w:ascii="仿宋" w:hAnsi="仿宋" w:eastAsia="仿宋"/>
                <w:b w:val="0"/>
                <w:sz w:val="20"/>
              </w:rPr>
              <w:t>长期坚持</w:t>
            </w:r>
          </w:p>
        </w:tc>
        <w:tc>
          <w:tcPr>
            <w:tcW w:w="797" w:type="dxa"/>
            <w:vAlign w:val="center"/>
          </w:tcPr>
          <w:p w14:paraId="6EFC686E">
            <w:pPr>
              <w:spacing w:after="0" w:line="240" w:lineRule="auto"/>
              <w:jc w:val="center"/>
            </w:pPr>
          </w:p>
        </w:tc>
      </w:tr>
      <w:tr w14:paraId="2AA35A0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1295" w:type="dxa"/>
            <w:vMerge w:val="continue"/>
          </w:tcPr>
          <w:p w14:paraId="7E0FE35C">
            <w:pPr>
              <w:spacing w:after="0" w:line="240" w:lineRule="auto"/>
            </w:pPr>
          </w:p>
        </w:tc>
        <w:tc>
          <w:tcPr>
            <w:tcW w:w="3197" w:type="dxa"/>
            <w:vMerge w:val="continue"/>
          </w:tcPr>
          <w:p w14:paraId="52FBCE3F">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4DFD8C9A">
            <w:pPr>
              <w:spacing w:after="0" w:line="240" w:lineRule="auto"/>
              <w:jc w:val="center"/>
            </w:pPr>
            <w:r>
              <w:rPr>
                <w:rFonts w:ascii="仿宋" w:hAnsi="仿宋" w:eastAsia="仿宋"/>
                <w:b w:val="0"/>
                <w:sz w:val="20"/>
              </w:rPr>
              <w:t>11</w:t>
            </w:r>
          </w:p>
        </w:tc>
        <w:tc>
          <w:tcPr>
            <w:tcW w:w="7252" w:type="dxa"/>
            <w:vAlign w:val="center"/>
          </w:tcPr>
          <w:p w14:paraId="5D3354E9">
            <w:pPr>
              <w:spacing w:after="0" w:line="240" w:lineRule="auto"/>
              <w:jc w:val="left"/>
            </w:pPr>
            <w:r>
              <w:rPr>
                <w:rFonts w:ascii="仿宋" w:hAnsi="仿宋" w:eastAsia="仿宋"/>
                <w:b w:val="0"/>
                <w:sz w:val="20"/>
              </w:rPr>
              <w:t>一是配齐政务公开专职人员，督促严格执行《政府信息公开条例》。二是主动公开裁量基准、免罚清单、权责清单、处罚案件，规范依申请公开登记答复流程。三是依托政府官网常态化开展涉农政策解读，保障群众知情权。</w:t>
            </w:r>
          </w:p>
        </w:tc>
        <w:tc>
          <w:tcPr>
            <w:tcW w:w="1701" w:type="dxa"/>
            <w:vAlign w:val="center"/>
          </w:tcPr>
          <w:p w14:paraId="1B31434F">
            <w:pPr>
              <w:spacing w:after="0" w:line="240" w:lineRule="auto"/>
              <w:jc w:val="center"/>
            </w:pPr>
            <w:r>
              <w:rPr>
                <w:rFonts w:ascii="仿宋" w:hAnsi="仿宋" w:eastAsia="仿宋"/>
                <w:b w:val="0"/>
                <w:sz w:val="20"/>
              </w:rPr>
              <w:t>办公室</w:t>
            </w:r>
          </w:p>
        </w:tc>
        <w:tc>
          <w:tcPr>
            <w:tcW w:w="1633" w:type="dxa"/>
            <w:vAlign w:val="center"/>
          </w:tcPr>
          <w:p w14:paraId="36E605DD">
            <w:pPr>
              <w:spacing w:after="0" w:line="240" w:lineRule="auto"/>
              <w:jc w:val="center"/>
              <w:rPr>
                <w:rFonts w:hint="default"/>
                <w:lang w:val="en-US"/>
              </w:rPr>
            </w:pPr>
            <w:r>
              <w:rPr>
                <w:rFonts w:hint="eastAsia"/>
                <w:b w:val="0"/>
                <w:sz w:val="20"/>
                <w:lang w:val="en-US" w:eastAsia="zh-CN"/>
              </w:rPr>
              <w:t>齐长江、胡新武</w:t>
            </w:r>
          </w:p>
        </w:tc>
        <w:tc>
          <w:tcPr>
            <w:tcW w:w="1684" w:type="dxa"/>
            <w:vAlign w:val="center"/>
          </w:tcPr>
          <w:p w14:paraId="005DD84D">
            <w:pPr>
              <w:spacing w:after="0" w:line="240" w:lineRule="auto"/>
              <w:jc w:val="left"/>
            </w:pPr>
            <w:r>
              <w:rPr>
                <w:rFonts w:hint="eastAsia"/>
                <w:b w:val="0"/>
                <w:sz w:val="20"/>
                <w:lang w:val="en-US" w:eastAsia="zh-CN"/>
              </w:rPr>
              <w:t>局机关各科室、局属各单位</w:t>
            </w:r>
          </w:p>
        </w:tc>
        <w:tc>
          <w:tcPr>
            <w:tcW w:w="2050" w:type="dxa"/>
            <w:vAlign w:val="center"/>
          </w:tcPr>
          <w:p w14:paraId="13278C12">
            <w:pPr>
              <w:spacing w:after="0" w:line="240" w:lineRule="auto"/>
              <w:jc w:val="left"/>
            </w:pPr>
            <w:r>
              <w:rPr>
                <w:rFonts w:hint="eastAsia"/>
                <w:b w:val="0"/>
                <w:sz w:val="20"/>
                <w:lang w:val="en-US" w:eastAsia="zh-CN"/>
              </w:rPr>
              <w:t>局机关各科室、局属各单位负责人</w:t>
            </w:r>
          </w:p>
        </w:tc>
        <w:tc>
          <w:tcPr>
            <w:tcW w:w="1435" w:type="dxa"/>
            <w:vAlign w:val="center"/>
          </w:tcPr>
          <w:p w14:paraId="2DAEE0AF">
            <w:pPr>
              <w:spacing w:after="0" w:line="240" w:lineRule="auto"/>
              <w:jc w:val="center"/>
            </w:pPr>
            <w:r>
              <w:rPr>
                <w:rFonts w:ascii="仿宋" w:hAnsi="仿宋" w:eastAsia="仿宋"/>
                <w:b w:val="0"/>
                <w:sz w:val="20"/>
              </w:rPr>
              <w:t>2026年12月底，长期坚持</w:t>
            </w:r>
          </w:p>
        </w:tc>
        <w:tc>
          <w:tcPr>
            <w:tcW w:w="797" w:type="dxa"/>
            <w:vAlign w:val="center"/>
          </w:tcPr>
          <w:p w14:paraId="4BC02C15">
            <w:pPr>
              <w:spacing w:after="0" w:line="240" w:lineRule="auto"/>
              <w:jc w:val="center"/>
            </w:pPr>
          </w:p>
        </w:tc>
      </w:tr>
      <w:tr w14:paraId="6D143D4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5" w:hRule="atLeast"/>
          <w:jc w:val="center"/>
        </w:trPr>
        <w:tc>
          <w:tcPr>
            <w:tcW w:w="1295" w:type="dxa"/>
            <w:vMerge w:val="continue"/>
          </w:tcPr>
          <w:p w14:paraId="5B8C96A3">
            <w:pPr>
              <w:spacing w:after="0" w:line="240" w:lineRule="auto"/>
            </w:pPr>
          </w:p>
        </w:tc>
        <w:tc>
          <w:tcPr>
            <w:tcW w:w="3197" w:type="dxa"/>
            <w:vMerge w:val="restart"/>
            <w:vAlign w:val="center"/>
          </w:tcPr>
          <w:p w14:paraId="7DF087F1">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四、推进严格规范公正文明执法。</w:t>
            </w:r>
          </w:p>
        </w:tc>
        <w:tc>
          <w:tcPr>
            <w:tcW w:w="636" w:type="dxa"/>
            <w:vAlign w:val="center"/>
          </w:tcPr>
          <w:p w14:paraId="19D972A4">
            <w:pPr>
              <w:spacing w:after="0" w:line="240" w:lineRule="auto"/>
              <w:jc w:val="center"/>
            </w:pPr>
            <w:r>
              <w:rPr>
                <w:rFonts w:ascii="仿宋" w:hAnsi="仿宋" w:eastAsia="仿宋"/>
                <w:b w:val="0"/>
                <w:sz w:val="20"/>
              </w:rPr>
              <w:t>12</w:t>
            </w:r>
          </w:p>
        </w:tc>
        <w:tc>
          <w:tcPr>
            <w:tcW w:w="7252" w:type="dxa"/>
            <w:vAlign w:val="center"/>
          </w:tcPr>
          <w:p w14:paraId="26504141">
            <w:pPr>
              <w:spacing w:after="0" w:line="240" w:lineRule="auto"/>
              <w:jc w:val="left"/>
            </w:pPr>
            <w:r>
              <w:rPr>
                <w:rFonts w:ascii="仿宋" w:hAnsi="仿宋" w:eastAsia="仿宋"/>
                <w:b w:val="0"/>
                <w:sz w:val="20"/>
              </w:rPr>
              <w:t>一是全面推进严格规范公正文明执法，督促落地行政执法三项制度：执法公示全覆盖、执法全过程文字影像记录、重大执法决定法制审核+法律顾问会商。二是根据职能职责和工作分工，进一步完善行政领导权责，强化和规范依法行政行为。</w:t>
            </w:r>
          </w:p>
        </w:tc>
        <w:tc>
          <w:tcPr>
            <w:tcW w:w="1701" w:type="dxa"/>
            <w:vAlign w:val="center"/>
          </w:tcPr>
          <w:p w14:paraId="7E846423">
            <w:pPr>
              <w:spacing w:after="0" w:line="240" w:lineRule="auto"/>
              <w:jc w:val="center"/>
            </w:pPr>
            <w:r>
              <w:rPr>
                <w:rFonts w:hint="eastAsia"/>
                <w:b w:val="0"/>
                <w:sz w:val="20"/>
                <w:lang w:val="en-US" w:eastAsia="zh-CN"/>
              </w:rPr>
              <w:t>地区</w:t>
            </w:r>
            <w:r>
              <w:rPr>
                <w:rFonts w:ascii="仿宋" w:hAnsi="仿宋" w:eastAsia="仿宋"/>
                <w:b w:val="0"/>
                <w:sz w:val="20"/>
              </w:rPr>
              <w:t>农业综合行政执法支队</w:t>
            </w:r>
          </w:p>
        </w:tc>
        <w:tc>
          <w:tcPr>
            <w:tcW w:w="1633" w:type="dxa"/>
            <w:vAlign w:val="center"/>
          </w:tcPr>
          <w:p w14:paraId="3B8E9F4D">
            <w:pPr>
              <w:spacing w:after="0" w:line="240" w:lineRule="auto"/>
              <w:jc w:val="center"/>
              <w:rPr>
                <w:rFonts w:hint="default" w:eastAsia="仿宋"/>
                <w:lang w:val="en-US" w:eastAsia="zh-CN"/>
              </w:rPr>
            </w:pPr>
            <w:r>
              <w:rPr>
                <w:rFonts w:hint="eastAsia"/>
                <w:b w:val="0"/>
                <w:sz w:val="20"/>
                <w:lang w:val="en-US" w:eastAsia="zh-CN"/>
              </w:rPr>
              <w:t>郭小平、赵艳</w:t>
            </w:r>
          </w:p>
        </w:tc>
        <w:tc>
          <w:tcPr>
            <w:tcW w:w="1684" w:type="dxa"/>
            <w:vAlign w:val="center"/>
          </w:tcPr>
          <w:p w14:paraId="6BA4E38F">
            <w:pPr>
              <w:spacing w:after="0" w:line="240" w:lineRule="auto"/>
              <w:jc w:val="left"/>
              <w:rPr>
                <w:rFonts w:hint="default" w:eastAsia="仿宋"/>
                <w:lang w:val="en-US" w:eastAsia="zh-CN"/>
              </w:rPr>
            </w:pPr>
            <w:r>
              <w:rPr>
                <w:rFonts w:hint="eastAsia"/>
                <w:b w:val="0"/>
                <w:sz w:val="20"/>
                <w:lang w:val="en-US" w:eastAsia="zh-CN"/>
              </w:rPr>
              <w:t>地区</w:t>
            </w:r>
            <w:r>
              <w:rPr>
                <w:rFonts w:ascii="仿宋" w:hAnsi="仿宋" w:eastAsia="仿宋"/>
                <w:b w:val="0"/>
                <w:sz w:val="20"/>
              </w:rPr>
              <w:t>农业综合行政执法支队</w:t>
            </w:r>
            <w:r>
              <w:rPr>
                <w:rFonts w:hint="eastAsia"/>
                <w:b w:val="0"/>
                <w:sz w:val="20"/>
                <w:lang w:eastAsia="zh-CN"/>
              </w:rPr>
              <w:t>、</w:t>
            </w:r>
            <w:r>
              <w:rPr>
                <w:rFonts w:hint="eastAsia"/>
                <w:b w:val="0"/>
                <w:sz w:val="20"/>
                <w:lang w:val="en-US" w:eastAsia="zh-CN"/>
              </w:rPr>
              <w:t>政策法规科</w:t>
            </w:r>
          </w:p>
        </w:tc>
        <w:tc>
          <w:tcPr>
            <w:tcW w:w="2050" w:type="dxa"/>
            <w:vAlign w:val="center"/>
          </w:tcPr>
          <w:p w14:paraId="11595447">
            <w:pPr>
              <w:spacing w:after="0" w:line="240" w:lineRule="auto"/>
              <w:jc w:val="center"/>
            </w:pPr>
            <w:r>
              <w:rPr>
                <w:rFonts w:hint="eastAsia"/>
                <w:b w:val="0"/>
                <w:sz w:val="20"/>
                <w:lang w:val="en-US" w:eastAsia="zh-CN"/>
              </w:rPr>
              <w:t>地区</w:t>
            </w:r>
            <w:r>
              <w:rPr>
                <w:rFonts w:ascii="仿宋" w:hAnsi="仿宋" w:eastAsia="仿宋"/>
                <w:b w:val="0"/>
                <w:sz w:val="20"/>
              </w:rPr>
              <w:t>支队负责人，县市执法大队负责人</w:t>
            </w:r>
          </w:p>
        </w:tc>
        <w:tc>
          <w:tcPr>
            <w:tcW w:w="1435" w:type="dxa"/>
            <w:vAlign w:val="center"/>
          </w:tcPr>
          <w:p w14:paraId="24D796C2">
            <w:pPr>
              <w:spacing w:after="0" w:line="240" w:lineRule="auto"/>
              <w:jc w:val="center"/>
            </w:pPr>
            <w:r>
              <w:rPr>
                <w:rFonts w:ascii="仿宋" w:hAnsi="仿宋" w:eastAsia="仿宋"/>
                <w:b w:val="0"/>
                <w:sz w:val="20"/>
              </w:rPr>
              <w:t>长期坚持</w:t>
            </w:r>
          </w:p>
        </w:tc>
        <w:tc>
          <w:tcPr>
            <w:tcW w:w="797" w:type="dxa"/>
            <w:vAlign w:val="center"/>
          </w:tcPr>
          <w:p w14:paraId="6C21F760">
            <w:pPr>
              <w:spacing w:after="0" w:line="240" w:lineRule="auto"/>
              <w:jc w:val="center"/>
            </w:pPr>
          </w:p>
        </w:tc>
      </w:tr>
      <w:tr w14:paraId="7321EB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5841D371">
            <w:pPr>
              <w:spacing w:after="0" w:line="240" w:lineRule="auto"/>
            </w:pPr>
          </w:p>
        </w:tc>
        <w:tc>
          <w:tcPr>
            <w:tcW w:w="3197" w:type="dxa"/>
            <w:vMerge w:val="continue"/>
          </w:tcPr>
          <w:p w14:paraId="033BE9C6">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6A2E858D">
            <w:pPr>
              <w:spacing w:after="0" w:line="240" w:lineRule="auto"/>
              <w:jc w:val="center"/>
            </w:pPr>
            <w:r>
              <w:rPr>
                <w:rFonts w:ascii="仿宋" w:hAnsi="仿宋" w:eastAsia="仿宋"/>
                <w:b w:val="0"/>
                <w:sz w:val="20"/>
              </w:rPr>
              <w:t>13</w:t>
            </w:r>
          </w:p>
        </w:tc>
        <w:tc>
          <w:tcPr>
            <w:tcW w:w="7252" w:type="dxa"/>
            <w:vAlign w:val="center"/>
          </w:tcPr>
          <w:p w14:paraId="2A3BD665">
            <w:pPr>
              <w:spacing w:after="0" w:line="240" w:lineRule="auto"/>
              <w:jc w:val="left"/>
            </w:pPr>
            <w:r>
              <w:rPr>
                <w:rFonts w:ascii="仿宋" w:hAnsi="仿宋" w:eastAsia="仿宋"/>
                <w:b w:val="0"/>
                <w:sz w:val="20"/>
              </w:rPr>
              <w:t>一是统一涉农执法尺度，推动严格执行农业处罚裁量基准、包容免罚清单，杜绝同案不同罚、畸轻畸重。二是推动执法理念从"以罚代管"转向"以罚促管"，督办重大处罚后跟踪复查、停产关停处置工作。</w:t>
            </w:r>
          </w:p>
        </w:tc>
        <w:tc>
          <w:tcPr>
            <w:tcW w:w="1701" w:type="dxa"/>
            <w:vAlign w:val="center"/>
          </w:tcPr>
          <w:p w14:paraId="649FAE82">
            <w:pPr>
              <w:spacing w:after="0" w:line="240" w:lineRule="auto"/>
              <w:jc w:val="center"/>
            </w:pPr>
            <w:r>
              <w:rPr>
                <w:rFonts w:hint="eastAsia"/>
                <w:b w:val="0"/>
                <w:sz w:val="20"/>
                <w:lang w:val="en-US" w:eastAsia="zh-CN"/>
              </w:rPr>
              <w:t>地区</w:t>
            </w:r>
            <w:r>
              <w:rPr>
                <w:rFonts w:ascii="仿宋" w:hAnsi="仿宋" w:eastAsia="仿宋"/>
                <w:b w:val="0"/>
                <w:sz w:val="20"/>
              </w:rPr>
              <w:t>农业综合行政执法支队</w:t>
            </w:r>
          </w:p>
        </w:tc>
        <w:tc>
          <w:tcPr>
            <w:tcW w:w="1633" w:type="dxa"/>
            <w:vAlign w:val="center"/>
          </w:tcPr>
          <w:p w14:paraId="41655654">
            <w:pPr>
              <w:spacing w:after="0" w:line="240" w:lineRule="auto"/>
              <w:jc w:val="center"/>
            </w:pPr>
            <w:r>
              <w:rPr>
                <w:rFonts w:hint="eastAsia"/>
                <w:b w:val="0"/>
                <w:sz w:val="20"/>
                <w:lang w:val="en-US" w:eastAsia="zh-CN"/>
              </w:rPr>
              <w:t>郭小平、赵艳</w:t>
            </w:r>
          </w:p>
        </w:tc>
        <w:tc>
          <w:tcPr>
            <w:tcW w:w="1684" w:type="dxa"/>
            <w:vAlign w:val="center"/>
          </w:tcPr>
          <w:p w14:paraId="1285880D">
            <w:pPr>
              <w:spacing w:after="0" w:line="240" w:lineRule="auto"/>
              <w:jc w:val="left"/>
            </w:pPr>
            <w:r>
              <w:rPr>
                <w:rFonts w:hint="eastAsia"/>
                <w:b w:val="0"/>
                <w:sz w:val="20"/>
                <w:lang w:val="en-US" w:eastAsia="zh-CN"/>
              </w:rPr>
              <w:t>地区</w:t>
            </w:r>
            <w:r>
              <w:rPr>
                <w:rFonts w:ascii="仿宋" w:hAnsi="仿宋" w:eastAsia="仿宋"/>
                <w:b w:val="0"/>
                <w:sz w:val="20"/>
              </w:rPr>
              <w:t>农业综合行政执法支队</w:t>
            </w:r>
            <w:r>
              <w:rPr>
                <w:rFonts w:hint="eastAsia"/>
                <w:b w:val="0"/>
                <w:sz w:val="20"/>
                <w:lang w:eastAsia="zh-CN"/>
              </w:rPr>
              <w:t>、</w:t>
            </w:r>
            <w:r>
              <w:rPr>
                <w:rFonts w:hint="eastAsia"/>
                <w:b w:val="0"/>
                <w:sz w:val="20"/>
                <w:lang w:val="en-US" w:eastAsia="zh-CN"/>
              </w:rPr>
              <w:t>政策法规科</w:t>
            </w:r>
          </w:p>
        </w:tc>
        <w:tc>
          <w:tcPr>
            <w:tcW w:w="2050" w:type="dxa"/>
            <w:vAlign w:val="center"/>
          </w:tcPr>
          <w:p w14:paraId="52A2B782">
            <w:pPr>
              <w:spacing w:after="0" w:line="240" w:lineRule="auto"/>
              <w:jc w:val="center"/>
            </w:pPr>
            <w:r>
              <w:rPr>
                <w:rFonts w:hint="eastAsia"/>
                <w:b w:val="0"/>
                <w:sz w:val="20"/>
                <w:lang w:val="en-US" w:eastAsia="zh-CN"/>
              </w:rPr>
              <w:t>地区</w:t>
            </w:r>
            <w:r>
              <w:rPr>
                <w:rFonts w:ascii="仿宋" w:hAnsi="仿宋" w:eastAsia="仿宋"/>
                <w:b w:val="0"/>
                <w:sz w:val="20"/>
              </w:rPr>
              <w:t>支队负责人，县市执法大队负责人</w:t>
            </w:r>
          </w:p>
        </w:tc>
        <w:tc>
          <w:tcPr>
            <w:tcW w:w="1435" w:type="dxa"/>
            <w:vAlign w:val="center"/>
          </w:tcPr>
          <w:p w14:paraId="346F3D8E">
            <w:pPr>
              <w:spacing w:after="0" w:line="240" w:lineRule="auto"/>
              <w:jc w:val="center"/>
            </w:pPr>
            <w:r>
              <w:rPr>
                <w:rFonts w:ascii="仿宋" w:hAnsi="仿宋" w:eastAsia="仿宋"/>
                <w:b w:val="0"/>
                <w:sz w:val="20"/>
              </w:rPr>
              <w:t>长期坚持</w:t>
            </w:r>
          </w:p>
        </w:tc>
        <w:tc>
          <w:tcPr>
            <w:tcW w:w="797" w:type="dxa"/>
            <w:vAlign w:val="center"/>
          </w:tcPr>
          <w:p w14:paraId="54FC25F7">
            <w:pPr>
              <w:spacing w:after="0" w:line="240" w:lineRule="auto"/>
              <w:jc w:val="center"/>
            </w:pPr>
          </w:p>
        </w:tc>
      </w:tr>
      <w:tr w14:paraId="7374F4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295" w:type="dxa"/>
            <w:vMerge w:val="continue"/>
          </w:tcPr>
          <w:p w14:paraId="0D49B47F">
            <w:pPr>
              <w:spacing w:after="0" w:line="240" w:lineRule="auto"/>
            </w:pPr>
          </w:p>
        </w:tc>
        <w:tc>
          <w:tcPr>
            <w:tcW w:w="3197" w:type="dxa"/>
            <w:vMerge w:val="continue"/>
          </w:tcPr>
          <w:p w14:paraId="188356C8">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2058B253">
            <w:pPr>
              <w:spacing w:after="0" w:line="240" w:lineRule="auto"/>
              <w:jc w:val="center"/>
            </w:pPr>
            <w:r>
              <w:rPr>
                <w:rFonts w:ascii="仿宋" w:hAnsi="仿宋" w:eastAsia="仿宋"/>
                <w:b w:val="0"/>
                <w:sz w:val="20"/>
              </w:rPr>
              <w:t>14</w:t>
            </w:r>
          </w:p>
        </w:tc>
        <w:tc>
          <w:tcPr>
            <w:tcW w:w="7252" w:type="dxa"/>
            <w:vAlign w:val="center"/>
          </w:tcPr>
          <w:p w14:paraId="5229613D">
            <w:pPr>
              <w:spacing w:after="0" w:line="240" w:lineRule="auto"/>
              <w:jc w:val="left"/>
            </w:pPr>
            <w:r>
              <w:rPr>
                <w:rFonts w:ascii="仿宋" w:hAnsi="仿宋" w:eastAsia="仿宋"/>
                <w:b w:val="0"/>
                <w:sz w:val="20"/>
              </w:rPr>
              <w:t>一是亲自部署执法能力提升工作，常态化组织执法比武、案卷交叉评查、线上线下业务培训。二是选派骨干参与区级执法技能竞赛。三是统筹乡镇涉农赋权落地，牵头组织农业下放处罚权限业务培训，下沉指导基层规范赋权执法。</w:t>
            </w:r>
          </w:p>
        </w:tc>
        <w:tc>
          <w:tcPr>
            <w:tcW w:w="1701" w:type="dxa"/>
            <w:vAlign w:val="center"/>
          </w:tcPr>
          <w:p w14:paraId="59E4F437">
            <w:pPr>
              <w:spacing w:after="0" w:line="240" w:lineRule="auto"/>
              <w:jc w:val="center"/>
            </w:pPr>
            <w:r>
              <w:rPr>
                <w:rFonts w:ascii="仿宋" w:hAnsi="仿宋" w:eastAsia="仿宋"/>
                <w:b w:val="0"/>
                <w:sz w:val="20"/>
              </w:rPr>
              <w:t>农业综合行政执法支队</w:t>
            </w:r>
          </w:p>
        </w:tc>
        <w:tc>
          <w:tcPr>
            <w:tcW w:w="1633" w:type="dxa"/>
            <w:vAlign w:val="center"/>
          </w:tcPr>
          <w:p w14:paraId="2862B86D">
            <w:pPr>
              <w:spacing w:after="0" w:line="240" w:lineRule="auto"/>
              <w:jc w:val="center"/>
            </w:pPr>
            <w:r>
              <w:rPr>
                <w:rFonts w:hint="eastAsia"/>
                <w:b w:val="0"/>
                <w:sz w:val="20"/>
                <w:lang w:val="en-US" w:eastAsia="zh-CN"/>
              </w:rPr>
              <w:t>郭小平、赵艳</w:t>
            </w:r>
          </w:p>
        </w:tc>
        <w:tc>
          <w:tcPr>
            <w:tcW w:w="1684" w:type="dxa"/>
            <w:vAlign w:val="center"/>
          </w:tcPr>
          <w:p w14:paraId="0FE833A5">
            <w:pPr>
              <w:spacing w:after="0" w:line="240" w:lineRule="auto"/>
              <w:jc w:val="left"/>
            </w:pPr>
            <w:r>
              <w:rPr>
                <w:rFonts w:hint="eastAsia"/>
                <w:b w:val="0"/>
                <w:sz w:val="20"/>
                <w:lang w:val="en-US" w:eastAsia="zh-CN"/>
              </w:rPr>
              <w:t>地区</w:t>
            </w:r>
            <w:r>
              <w:rPr>
                <w:rFonts w:ascii="仿宋" w:hAnsi="仿宋" w:eastAsia="仿宋"/>
                <w:b w:val="0"/>
                <w:sz w:val="20"/>
              </w:rPr>
              <w:t>农业综合行政执法支队，各县市农业农村局</w:t>
            </w:r>
          </w:p>
        </w:tc>
        <w:tc>
          <w:tcPr>
            <w:tcW w:w="2050" w:type="dxa"/>
            <w:vAlign w:val="center"/>
          </w:tcPr>
          <w:p w14:paraId="13EDB571">
            <w:pPr>
              <w:spacing w:after="0" w:line="240" w:lineRule="auto"/>
              <w:jc w:val="center"/>
            </w:pPr>
            <w:r>
              <w:rPr>
                <w:rFonts w:hint="eastAsia"/>
                <w:b w:val="0"/>
                <w:sz w:val="20"/>
                <w:lang w:val="en-US" w:eastAsia="zh-CN"/>
              </w:rPr>
              <w:t>地区</w:t>
            </w:r>
            <w:r>
              <w:rPr>
                <w:rFonts w:ascii="仿宋" w:hAnsi="仿宋" w:eastAsia="仿宋"/>
                <w:b w:val="0"/>
                <w:sz w:val="20"/>
              </w:rPr>
              <w:t>支队负责人，县市执法大队负责人</w:t>
            </w:r>
          </w:p>
        </w:tc>
        <w:tc>
          <w:tcPr>
            <w:tcW w:w="1435" w:type="dxa"/>
            <w:vAlign w:val="center"/>
          </w:tcPr>
          <w:p w14:paraId="5897C477">
            <w:pPr>
              <w:spacing w:after="0" w:line="240" w:lineRule="auto"/>
              <w:jc w:val="center"/>
            </w:pPr>
            <w:r>
              <w:rPr>
                <w:rFonts w:ascii="仿宋" w:hAnsi="仿宋" w:eastAsia="仿宋"/>
                <w:b w:val="0"/>
                <w:sz w:val="20"/>
              </w:rPr>
              <w:t>2026年12月底，长期坚持</w:t>
            </w:r>
          </w:p>
        </w:tc>
        <w:tc>
          <w:tcPr>
            <w:tcW w:w="797" w:type="dxa"/>
            <w:vAlign w:val="center"/>
          </w:tcPr>
          <w:p w14:paraId="23491059">
            <w:pPr>
              <w:spacing w:after="0" w:line="240" w:lineRule="auto"/>
              <w:jc w:val="center"/>
            </w:pPr>
          </w:p>
        </w:tc>
      </w:tr>
      <w:tr w14:paraId="5DA9DB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7180E576">
            <w:pPr>
              <w:spacing w:after="0" w:line="240" w:lineRule="auto"/>
            </w:pPr>
          </w:p>
        </w:tc>
        <w:tc>
          <w:tcPr>
            <w:tcW w:w="3197" w:type="dxa"/>
            <w:vMerge w:val="continue"/>
          </w:tcPr>
          <w:p w14:paraId="16737F36">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7E2DE38A">
            <w:pPr>
              <w:spacing w:after="0" w:line="240" w:lineRule="auto"/>
              <w:jc w:val="center"/>
            </w:pPr>
            <w:r>
              <w:rPr>
                <w:rFonts w:ascii="仿宋" w:hAnsi="仿宋" w:eastAsia="仿宋"/>
                <w:b w:val="0"/>
                <w:sz w:val="20"/>
              </w:rPr>
              <w:t>15</w:t>
            </w:r>
          </w:p>
        </w:tc>
        <w:tc>
          <w:tcPr>
            <w:tcW w:w="7252" w:type="dxa"/>
            <w:vAlign w:val="center"/>
          </w:tcPr>
          <w:p w14:paraId="62E40733">
            <w:pPr>
              <w:spacing w:after="0" w:line="240" w:lineRule="auto"/>
              <w:jc w:val="left"/>
            </w:pPr>
            <w:r>
              <w:rPr>
                <w:rFonts w:ascii="仿宋" w:hAnsi="仿宋" w:eastAsia="仿宋"/>
                <w:b w:val="0"/>
                <w:sz w:val="20"/>
              </w:rPr>
              <w:t>一是牵头开展行政执法突出问题自查自纠，严查乱执法、扰企、不作为行为。二是畅通群众投诉举报渠道。三是履行监管职责，加大农产品质量监管，努力确保广大群众"舌尖上的安全"。</w:t>
            </w:r>
          </w:p>
        </w:tc>
        <w:tc>
          <w:tcPr>
            <w:tcW w:w="1701" w:type="dxa"/>
            <w:vAlign w:val="center"/>
          </w:tcPr>
          <w:p w14:paraId="577158C8">
            <w:pPr>
              <w:spacing w:after="0" w:line="240" w:lineRule="auto"/>
              <w:jc w:val="center"/>
            </w:pPr>
            <w:r>
              <w:rPr>
                <w:rFonts w:ascii="仿宋" w:hAnsi="仿宋" w:eastAsia="仿宋"/>
                <w:b w:val="0"/>
                <w:sz w:val="20"/>
              </w:rPr>
              <w:t>农业综合行政执法支队</w:t>
            </w:r>
          </w:p>
        </w:tc>
        <w:tc>
          <w:tcPr>
            <w:tcW w:w="1633" w:type="dxa"/>
            <w:vAlign w:val="center"/>
          </w:tcPr>
          <w:p w14:paraId="0980E430">
            <w:pPr>
              <w:spacing w:after="0" w:line="240" w:lineRule="auto"/>
              <w:jc w:val="center"/>
            </w:pPr>
            <w:r>
              <w:rPr>
                <w:rFonts w:hint="eastAsia"/>
                <w:b w:val="0"/>
                <w:sz w:val="20"/>
                <w:lang w:val="en-US" w:eastAsia="zh-CN"/>
              </w:rPr>
              <w:t>郭小平、赵艳</w:t>
            </w:r>
          </w:p>
        </w:tc>
        <w:tc>
          <w:tcPr>
            <w:tcW w:w="1684" w:type="dxa"/>
            <w:vAlign w:val="center"/>
          </w:tcPr>
          <w:p w14:paraId="424B5EFA">
            <w:pPr>
              <w:spacing w:after="0" w:line="240" w:lineRule="auto"/>
              <w:jc w:val="left"/>
            </w:pPr>
            <w:r>
              <w:rPr>
                <w:rFonts w:hint="eastAsia"/>
                <w:b w:val="0"/>
                <w:sz w:val="20"/>
                <w:lang w:val="en-US" w:eastAsia="zh-CN"/>
              </w:rPr>
              <w:t>地区</w:t>
            </w:r>
            <w:r>
              <w:rPr>
                <w:rFonts w:ascii="仿宋" w:hAnsi="仿宋" w:eastAsia="仿宋"/>
                <w:b w:val="0"/>
                <w:sz w:val="20"/>
              </w:rPr>
              <w:t>农业综合行政执法支队，各县市农业农村局</w:t>
            </w:r>
          </w:p>
        </w:tc>
        <w:tc>
          <w:tcPr>
            <w:tcW w:w="2050" w:type="dxa"/>
            <w:vAlign w:val="center"/>
          </w:tcPr>
          <w:p w14:paraId="7B05DD79">
            <w:pPr>
              <w:spacing w:after="0" w:line="240" w:lineRule="auto"/>
              <w:jc w:val="center"/>
            </w:pPr>
            <w:r>
              <w:rPr>
                <w:rFonts w:hint="eastAsia"/>
                <w:b w:val="0"/>
                <w:sz w:val="20"/>
                <w:lang w:val="en-US" w:eastAsia="zh-CN"/>
              </w:rPr>
              <w:t>地区</w:t>
            </w:r>
            <w:r>
              <w:rPr>
                <w:rFonts w:ascii="仿宋" w:hAnsi="仿宋" w:eastAsia="仿宋"/>
                <w:b w:val="0"/>
                <w:sz w:val="20"/>
              </w:rPr>
              <w:t>支队负责人，县市执法大队负责人</w:t>
            </w:r>
          </w:p>
        </w:tc>
        <w:tc>
          <w:tcPr>
            <w:tcW w:w="1435" w:type="dxa"/>
            <w:vAlign w:val="center"/>
          </w:tcPr>
          <w:p w14:paraId="753EEF3E">
            <w:pPr>
              <w:spacing w:after="0" w:line="240" w:lineRule="auto"/>
              <w:jc w:val="center"/>
            </w:pPr>
            <w:r>
              <w:rPr>
                <w:rFonts w:ascii="仿宋" w:hAnsi="仿宋" w:eastAsia="仿宋"/>
                <w:b w:val="0"/>
                <w:sz w:val="20"/>
              </w:rPr>
              <w:t>长期坚持</w:t>
            </w:r>
          </w:p>
        </w:tc>
        <w:tc>
          <w:tcPr>
            <w:tcW w:w="797" w:type="dxa"/>
            <w:vAlign w:val="center"/>
          </w:tcPr>
          <w:p w14:paraId="5AD458AA">
            <w:pPr>
              <w:spacing w:after="0" w:line="240" w:lineRule="auto"/>
              <w:jc w:val="center"/>
            </w:pPr>
          </w:p>
        </w:tc>
      </w:tr>
      <w:tr w14:paraId="7B347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1684DDB2">
            <w:pPr>
              <w:spacing w:after="0" w:line="240" w:lineRule="auto"/>
            </w:pPr>
          </w:p>
        </w:tc>
        <w:tc>
          <w:tcPr>
            <w:tcW w:w="3197" w:type="dxa"/>
            <w:vMerge w:val="restart"/>
            <w:vAlign w:val="center"/>
          </w:tcPr>
          <w:p w14:paraId="729E7995">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五、健全突发事件应对体系，依法预防处置重大突发事件。</w:t>
            </w:r>
          </w:p>
        </w:tc>
        <w:tc>
          <w:tcPr>
            <w:tcW w:w="636" w:type="dxa"/>
            <w:vAlign w:val="center"/>
          </w:tcPr>
          <w:p w14:paraId="7B5B0F21">
            <w:pPr>
              <w:spacing w:after="0" w:line="240" w:lineRule="auto"/>
              <w:jc w:val="center"/>
            </w:pPr>
            <w:r>
              <w:rPr>
                <w:rFonts w:ascii="仿宋" w:hAnsi="仿宋" w:eastAsia="仿宋"/>
                <w:b w:val="0"/>
                <w:sz w:val="20"/>
              </w:rPr>
              <w:t>16</w:t>
            </w:r>
          </w:p>
        </w:tc>
        <w:tc>
          <w:tcPr>
            <w:tcW w:w="7252" w:type="dxa"/>
            <w:vAlign w:val="center"/>
          </w:tcPr>
          <w:p w14:paraId="78746202">
            <w:pPr>
              <w:spacing w:after="0" w:line="240" w:lineRule="auto"/>
              <w:jc w:val="left"/>
            </w:pPr>
            <w:r>
              <w:rPr>
                <w:rFonts w:ascii="仿宋" w:hAnsi="仿宋" w:eastAsia="仿宋"/>
                <w:b w:val="0"/>
                <w:sz w:val="20"/>
              </w:rPr>
              <w:t>一是及时修改和补充完善地区农业农村局处置</w:t>
            </w:r>
            <w:r>
              <w:rPr>
                <w:rFonts w:hint="eastAsia"/>
                <w:b w:val="0"/>
                <w:sz w:val="20"/>
                <w:lang w:val="en-US" w:eastAsia="zh-CN"/>
              </w:rPr>
              <w:t>农产品质量安全</w:t>
            </w:r>
            <w:r>
              <w:rPr>
                <w:rFonts w:ascii="仿宋" w:hAnsi="仿宋" w:eastAsia="仿宋"/>
                <w:b w:val="0"/>
                <w:sz w:val="20"/>
              </w:rPr>
              <w:t>突发事件应急预案等。二是开展应急演练活动，提升应急处置能力。三是根据人员变化及时调整各类应急反应领导小组，确保科学依法处置应急事件。</w:t>
            </w:r>
          </w:p>
        </w:tc>
        <w:tc>
          <w:tcPr>
            <w:tcW w:w="1701" w:type="dxa"/>
            <w:vAlign w:val="center"/>
          </w:tcPr>
          <w:p w14:paraId="3A6C654E">
            <w:pPr>
              <w:spacing w:after="0" w:line="240" w:lineRule="auto"/>
              <w:jc w:val="center"/>
            </w:pPr>
            <w:r>
              <w:rPr>
                <w:rFonts w:ascii="仿宋" w:hAnsi="仿宋" w:eastAsia="仿宋"/>
                <w:b w:val="0"/>
                <w:sz w:val="20"/>
              </w:rPr>
              <w:t>局办公室</w:t>
            </w:r>
          </w:p>
        </w:tc>
        <w:tc>
          <w:tcPr>
            <w:tcW w:w="1633" w:type="dxa"/>
            <w:vAlign w:val="center"/>
          </w:tcPr>
          <w:p w14:paraId="015E2E02">
            <w:pPr>
              <w:spacing w:after="0" w:line="240" w:lineRule="auto"/>
              <w:jc w:val="center"/>
            </w:pPr>
            <w:r>
              <w:rPr>
                <w:rFonts w:hint="eastAsia"/>
                <w:b w:val="0"/>
                <w:sz w:val="20"/>
                <w:lang w:val="en-US" w:eastAsia="zh-CN"/>
              </w:rPr>
              <w:t>齐长江、胡新武</w:t>
            </w:r>
          </w:p>
        </w:tc>
        <w:tc>
          <w:tcPr>
            <w:tcW w:w="1684" w:type="dxa"/>
            <w:vAlign w:val="center"/>
          </w:tcPr>
          <w:p w14:paraId="23603935">
            <w:pPr>
              <w:spacing w:after="0" w:line="240" w:lineRule="auto"/>
              <w:jc w:val="left"/>
            </w:pPr>
            <w:r>
              <w:rPr>
                <w:rFonts w:hint="eastAsia"/>
                <w:b w:val="0"/>
                <w:sz w:val="20"/>
                <w:lang w:val="en-US" w:eastAsia="zh-CN"/>
              </w:rPr>
              <w:t>局机关各科室、局属各单位</w:t>
            </w:r>
          </w:p>
        </w:tc>
        <w:tc>
          <w:tcPr>
            <w:tcW w:w="2050" w:type="dxa"/>
            <w:vAlign w:val="center"/>
          </w:tcPr>
          <w:p w14:paraId="121D1706">
            <w:pPr>
              <w:spacing w:after="0" w:line="240" w:lineRule="auto"/>
              <w:jc w:val="center"/>
            </w:pPr>
            <w:r>
              <w:rPr>
                <w:rFonts w:hint="eastAsia"/>
                <w:b w:val="0"/>
                <w:sz w:val="20"/>
                <w:lang w:val="en-US" w:eastAsia="zh-CN"/>
              </w:rPr>
              <w:t>局机关各科室、局属各单位</w:t>
            </w:r>
            <w:r>
              <w:rPr>
                <w:rFonts w:ascii="仿宋" w:hAnsi="仿宋" w:eastAsia="仿宋"/>
                <w:b w:val="0"/>
                <w:sz w:val="20"/>
              </w:rPr>
              <w:t>负责人</w:t>
            </w:r>
          </w:p>
        </w:tc>
        <w:tc>
          <w:tcPr>
            <w:tcW w:w="1435" w:type="dxa"/>
            <w:vAlign w:val="center"/>
          </w:tcPr>
          <w:p w14:paraId="0ED3E466">
            <w:pPr>
              <w:spacing w:after="0" w:line="240" w:lineRule="auto"/>
              <w:jc w:val="center"/>
            </w:pPr>
            <w:r>
              <w:rPr>
                <w:rFonts w:ascii="仿宋" w:hAnsi="仿宋" w:eastAsia="仿宋"/>
                <w:b w:val="0"/>
                <w:sz w:val="20"/>
              </w:rPr>
              <w:t>长期坚持</w:t>
            </w:r>
          </w:p>
        </w:tc>
        <w:tc>
          <w:tcPr>
            <w:tcW w:w="797" w:type="dxa"/>
            <w:vAlign w:val="center"/>
          </w:tcPr>
          <w:p w14:paraId="55F170E3">
            <w:pPr>
              <w:spacing w:after="0" w:line="240" w:lineRule="auto"/>
              <w:jc w:val="center"/>
            </w:pPr>
          </w:p>
        </w:tc>
      </w:tr>
      <w:tr w14:paraId="66DE1E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157C1882">
            <w:pPr>
              <w:spacing w:after="0" w:line="240" w:lineRule="auto"/>
            </w:pPr>
          </w:p>
        </w:tc>
        <w:tc>
          <w:tcPr>
            <w:tcW w:w="3197" w:type="dxa"/>
            <w:vMerge w:val="continue"/>
          </w:tcPr>
          <w:p w14:paraId="1B1B8A69">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102D2FD9">
            <w:pPr>
              <w:spacing w:after="0" w:line="240" w:lineRule="auto"/>
              <w:jc w:val="center"/>
            </w:pPr>
            <w:r>
              <w:rPr>
                <w:rFonts w:ascii="仿宋" w:hAnsi="仿宋" w:eastAsia="仿宋"/>
                <w:b w:val="0"/>
                <w:sz w:val="20"/>
              </w:rPr>
              <w:t>17</w:t>
            </w:r>
          </w:p>
        </w:tc>
        <w:tc>
          <w:tcPr>
            <w:tcW w:w="7252" w:type="dxa"/>
            <w:vAlign w:val="center"/>
          </w:tcPr>
          <w:p w14:paraId="0ED3AFCC">
            <w:pPr>
              <w:spacing w:after="0" w:line="240" w:lineRule="auto"/>
              <w:jc w:val="left"/>
            </w:pPr>
            <w:r>
              <w:rPr>
                <w:rFonts w:ascii="仿宋" w:hAnsi="仿宋" w:eastAsia="仿宋"/>
                <w:b w:val="0"/>
                <w:sz w:val="20"/>
              </w:rPr>
              <w:t>一是做好重大农业自然灾害应急物资储备工作。二是组织本系统各单位、全体干部职工开展1-2次应对突发事件应急演练活动。三是赴基层指导服务工作时，做好对基层单位预防处置突发事件的引导规范。</w:t>
            </w:r>
          </w:p>
        </w:tc>
        <w:tc>
          <w:tcPr>
            <w:tcW w:w="1701" w:type="dxa"/>
            <w:vAlign w:val="center"/>
          </w:tcPr>
          <w:p w14:paraId="53F8F28F">
            <w:pPr>
              <w:spacing w:after="0" w:line="240" w:lineRule="auto"/>
              <w:jc w:val="center"/>
            </w:pPr>
            <w:r>
              <w:rPr>
                <w:rFonts w:ascii="仿宋" w:hAnsi="仿宋" w:eastAsia="仿宋"/>
                <w:b w:val="0"/>
                <w:sz w:val="20"/>
              </w:rPr>
              <w:t>局办公室</w:t>
            </w:r>
          </w:p>
        </w:tc>
        <w:tc>
          <w:tcPr>
            <w:tcW w:w="1633" w:type="dxa"/>
            <w:vAlign w:val="center"/>
          </w:tcPr>
          <w:p w14:paraId="4312171F">
            <w:pPr>
              <w:spacing w:after="0" w:line="240" w:lineRule="auto"/>
              <w:jc w:val="center"/>
            </w:pPr>
            <w:r>
              <w:rPr>
                <w:rFonts w:hint="eastAsia"/>
                <w:b w:val="0"/>
                <w:sz w:val="20"/>
                <w:lang w:val="en-US" w:eastAsia="zh-CN"/>
              </w:rPr>
              <w:t>齐长江、胡新武</w:t>
            </w:r>
          </w:p>
        </w:tc>
        <w:tc>
          <w:tcPr>
            <w:tcW w:w="1684" w:type="dxa"/>
            <w:vAlign w:val="center"/>
          </w:tcPr>
          <w:p w14:paraId="17FD76DB">
            <w:pPr>
              <w:spacing w:after="0" w:line="240" w:lineRule="auto"/>
              <w:jc w:val="left"/>
            </w:pPr>
            <w:r>
              <w:rPr>
                <w:rFonts w:hint="eastAsia"/>
                <w:b w:val="0"/>
                <w:sz w:val="20"/>
                <w:lang w:val="en-US" w:eastAsia="zh-CN"/>
              </w:rPr>
              <w:t>局机关各科室、局属各单位</w:t>
            </w:r>
          </w:p>
        </w:tc>
        <w:tc>
          <w:tcPr>
            <w:tcW w:w="2050" w:type="dxa"/>
            <w:vAlign w:val="center"/>
          </w:tcPr>
          <w:p w14:paraId="6793E5F7">
            <w:pPr>
              <w:spacing w:after="0" w:line="240" w:lineRule="auto"/>
              <w:jc w:val="center"/>
            </w:pPr>
            <w:r>
              <w:rPr>
                <w:rFonts w:hint="eastAsia"/>
                <w:b w:val="0"/>
                <w:sz w:val="20"/>
                <w:lang w:val="en-US" w:eastAsia="zh-CN"/>
              </w:rPr>
              <w:t>局机关各科室、局属各单位</w:t>
            </w:r>
            <w:r>
              <w:rPr>
                <w:rFonts w:ascii="仿宋" w:hAnsi="仿宋" w:eastAsia="仿宋"/>
                <w:b w:val="0"/>
                <w:sz w:val="20"/>
              </w:rPr>
              <w:t>负责人</w:t>
            </w:r>
          </w:p>
        </w:tc>
        <w:tc>
          <w:tcPr>
            <w:tcW w:w="1435" w:type="dxa"/>
            <w:vAlign w:val="center"/>
          </w:tcPr>
          <w:p w14:paraId="2DA1C036">
            <w:pPr>
              <w:spacing w:after="0" w:line="240" w:lineRule="auto"/>
              <w:jc w:val="center"/>
            </w:pPr>
            <w:r>
              <w:rPr>
                <w:rFonts w:ascii="仿宋" w:hAnsi="仿宋" w:eastAsia="仿宋"/>
                <w:b w:val="0"/>
                <w:sz w:val="20"/>
              </w:rPr>
              <w:t>长期坚持</w:t>
            </w:r>
          </w:p>
        </w:tc>
        <w:tc>
          <w:tcPr>
            <w:tcW w:w="797" w:type="dxa"/>
            <w:vAlign w:val="center"/>
          </w:tcPr>
          <w:p w14:paraId="32C6247F">
            <w:pPr>
              <w:spacing w:after="0" w:line="240" w:lineRule="auto"/>
              <w:jc w:val="center"/>
            </w:pPr>
          </w:p>
        </w:tc>
      </w:tr>
      <w:tr w14:paraId="7793B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3AC97304">
            <w:pPr>
              <w:spacing w:after="0" w:line="240" w:lineRule="auto"/>
            </w:pPr>
          </w:p>
        </w:tc>
        <w:tc>
          <w:tcPr>
            <w:tcW w:w="3197" w:type="dxa"/>
            <w:vMerge w:val="restart"/>
            <w:vAlign w:val="center"/>
          </w:tcPr>
          <w:p w14:paraId="3F149AA6">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六、自觉接受监督。</w:t>
            </w:r>
          </w:p>
        </w:tc>
        <w:tc>
          <w:tcPr>
            <w:tcW w:w="636" w:type="dxa"/>
            <w:vAlign w:val="center"/>
          </w:tcPr>
          <w:p w14:paraId="6794BB03">
            <w:pPr>
              <w:spacing w:after="0" w:line="240" w:lineRule="auto"/>
              <w:jc w:val="center"/>
            </w:pPr>
            <w:r>
              <w:rPr>
                <w:rFonts w:ascii="仿宋" w:hAnsi="仿宋" w:eastAsia="仿宋"/>
                <w:b w:val="0"/>
                <w:sz w:val="20"/>
              </w:rPr>
              <w:t>18</w:t>
            </w:r>
          </w:p>
        </w:tc>
        <w:tc>
          <w:tcPr>
            <w:tcW w:w="7252" w:type="dxa"/>
            <w:vAlign w:val="center"/>
          </w:tcPr>
          <w:p w14:paraId="392DFE9A">
            <w:pPr>
              <w:spacing w:after="0" w:line="240" w:lineRule="auto"/>
              <w:jc w:val="left"/>
            </w:pPr>
            <w:r>
              <w:rPr>
                <w:rFonts w:ascii="仿宋" w:hAnsi="仿宋" w:eastAsia="仿宋"/>
                <w:b w:val="0"/>
                <w:sz w:val="20"/>
              </w:rPr>
              <w:t>一是自觉接受党内监督、人大监督、民主监督、监察监督、社会监督、舆论监督。二是自觉带头并督促领导班子其他成员和科室主要负责人依法行政。三是推动完善系统内部层级监督和专门监督，纠正行政不作为、乱作为。四是对各类监督反馈的涉农法治问题牵头限期整改反馈。</w:t>
            </w:r>
          </w:p>
        </w:tc>
        <w:tc>
          <w:tcPr>
            <w:tcW w:w="1701" w:type="dxa"/>
            <w:vAlign w:val="center"/>
          </w:tcPr>
          <w:p w14:paraId="2677FE9D">
            <w:pPr>
              <w:spacing w:after="0" w:line="240" w:lineRule="auto"/>
              <w:jc w:val="center"/>
            </w:pPr>
            <w:r>
              <w:rPr>
                <w:rFonts w:ascii="仿宋" w:hAnsi="仿宋" w:eastAsia="仿宋"/>
                <w:b w:val="0"/>
                <w:sz w:val="20"/>
              </w:rPr>
              <w:t>局办公室、机关纪委</w:t>
            </w:r>
          </w:p>
        </w:tc>
        <w:tc>
          <w:tcPr>
            <w:tcW w:w="1633" w:type="dxa"/>
            <w:vAlign w:val="center"/>
          </w:tcPr>
          <w:p w14:paraId="6DF3436D">
            <w:pPr>
              <w:spacing w:after="0" w:line="240" w:lineRule="auto"/>
              <w:jc w:val="center"/>
            </w:pPr>
            <w:r>
              <w:rPr>
                <w:rFonts w:hint="eastAsia"/>
                <w:b w:val="0"/>
                <w:sz w:val="20"/>
                <w:lang w:val="en-US" w:eastAsia="zh-CN"/>
              </w:rPr>
              <w:t>齐长江、胡新武</w:t>
            </w:r>
          </w:p>
        </w:tc>
        <w:tc>
          <w:tcPr>
            <w:tcW w:w="1684" w:type="dxa"/>
            <w:vAlign w:val="center"/>
          </w:tcPr>
          <w:p w14:paraId="2582DDB1">
            <w:pPr>
              <w:spacing w:after="0" w:line="240" w:lineRule="auto"/>
              <w:jc w:val="left"/>
            </w:pPr>
            <w:r>
              <w:rPr>
                <w:rFonts w:hint="eastAsia"/>
                <w:b w:val="0"/>
                <w:sz w:val="20"/>
                <w:lang w:val="en-US" w:eastAsia="zh-CN"/>
              </w:rPr>
              <w:t>局机关各科室、局属各单位</w:t>
            </w:r>
          </w:p>
        </w:tc>
        <w:tc>
          <w:tcPr>
            <w:tcW w:w="2050" w:type="dxa"/>
            <w:vAlign w:val="center"/>
          </w:tcPr>
          <w:p w14:paraId="59B458CC">
            <w:pPr>
              <w:spacing w:after="0" w:line="240" w:lineRule="auto"/>
              <w:jc w:val="center"/>
            </w:pPr>
            <w:r>
              <w:rPr>
                <w:rFonts w:hint="eastAsia"/>
                <w:b w:val="0"/>
                <w:sz w:val="20"/>
                <w:lang w:val="en-US" w:eastAsia="zh-CN"/>
              </w:rPr>
              <w:t>局机关各科室、局属各单位</w:t>
            </w:r>
            <w:r>
              <w:rPr>
                <w:rFonts w:ascii="仿宋" w:hAnsi="仿宋" w:eastAsia="仿宋"/>
                <w:b w:val="0"/>
                <w:sz w:val="20"/>
              </w:rPr>
              <w:t>负责人</w:t>
            </w:r>
          </w:p>
        </w:tc>
        <w:tc>
          <w:tcPr>
            <w:tcW w:w="1435" w:type="dxa"/>
            <w:vAlign w:val="center"/>
          </w:tcPr>
          <w:p w14:paraId="53C893D8">
            <w:pPr>
              <w:spacing w:after="0" w:line="240" w:lineRule="auto"/>
              <w:jc w:val="center"/>
            </w:pPr>
            <w:r>
              <w:rPr>
                <w:rFonts w:ascii="仿宋" w:hAnsi="仿宋" w:eastAsia="仿宋"/>
                <w:b w:val="0"/>
                <w:sz w:val="20"/>
              </w:rPr>
              <w:t>长期坚持</w:t>
            </w:r>
          </w:p>
        </w:tc>
        <w:tc>
          <w:tcPr>
            <w:tcW w:w="797" w:type="dxa"/>
            <w:vAlign w:val="center"/>
          </w:tcPr>
          <w:p w14:paraId="1E9BB44B">
            <w:pPr>
              <w:spacing w:after="0" w:line="240" w:lineRule="auto"/>
              <w:jc w:val="center"/>
            </w:pPr>
          </w:p>
        </w:tc>
      </w:tr>
      <w:tr w14:paraId="13A930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5" w:hRule="atLeast"/>
          <w:jc w:val="center"/>
        </w:trPr>
        <w:tc>
          <w:tcPr>
            <w:tcW w:w="1295" w:type="dxa"/>
            <w:vMerge w:val="continue"/>
          </w:tcPr>
          <w:p w14:paraId="147C5947">
            <w:pPr>
              <w:spacing w:after="0" w:line="240" w:lineRule="auto"/>
            </w:pPr>
          </w:p>
        </w:tc>
        <w:tc>
          <w:tcPr>
            <w:tcW w:w="3197" w:type="dxa"/>
            <w:vMerge w:val="continue"/>
          </w:tcPr>
          <w:p w14:paraId="64EBE526">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704E3933">
            <w:pPr>
              <w:spacing w:after="0" w:line="240" w:lineRule="auto"/>
              <w:jc w:val="center"/>
            </w:pPr>
            <w:r>
              <w:rPr>
                <w:rFonts w:ascii="仿宋" w:hAnsi="仿宋" w:eastAsia="仿宋"/>
                <w:b w:val="0"/>
                <w:sz w:val="20"/>
              </w:rPr>
              <w:t>19</w:t>
            </w:r>
          </w:p>
        </w:tc>
        <w:tc>
          <w:tcPr>
            <w:tcW w:w="7252" w:type="dxa"/>
            <w:vAlign w:val="center"/>
          </w:tcPr>
          <w:p w14:paraId="70E2BB2E">
            <w:pPr>
              <w:spacing w:after="0" w:line="240" w:lineRule="auto"/>
              <w:jc w:val="left"/>
            </w:pPr>
            <w:r>
              <w:rPr>
                <w:rFonts w:ascii="仿宋" w:hAnsi="仿宋" w:eastAsia="仿宋"/>
                <w:b w:val="0"/>
                <w:sz w:val="20"/>
              </w:rPr>
              <w:t>局领导及本系统县处级领导干部坚决做到不打听、不过问、不干预执法活动、不插手具体案件处理。</w:t>
            </w:r>
          </w:p>
        </w:tc>
        <w:tc>
          <w:tcPr>
            <w:tcW w:w="1701" w:type="dxa"/>
            <w:vAlign w:val="center"/>
          </w:tcPr>
          <w:p w14:paraId="5104773C">
            <w:pPr>
              <w:spacing w:after="0" w:line="240" w:lineRule="auto"/>
              <w:jc w:val="center"/>
            </w:pPr>
            <w:r>
              <w:rPr>
                <w:rFonts w:ascii="仿宋" w:hAnsi="仿宋" w:eastAsia="仿宋"/>
                <w:b w:val="0"/>
                <w:sz w:val="20"/>
              </w:rPr>
              <w:t>领导干部</w:t>
            </w:r>
          </w:p>
        </w:tc>
        <w:tc>
          <w:tcPr>
            <w:tcW w:w="1633" w:type="dxa"/>
            <w:vAlign w:val="center"/>
          </w:tcPr>
          <w:p w14:paraId="53D68A2F">
            <w:pPr>
              <w:spacing w:after="0" w:line="240" w:lineRule="auto"/>
              <w:jc w:val="center"/>
              <w:rPr>
                <w:rFonts w:hint="eastAsia" w:eastAsia="仿宋"/>
                <w:lang w:eastAsia="zh-CN"/>
              </w:rPr>
            </w:pPr>
            <w:r>
              <w:rPr>
                <w:rFonts w:hint="eastAsia"/>
                <w:b w:val="0"/>
                <w:sz w:val="20"/>
                <w:lang w:val="en-US" w:eastAsia="zh-CN"/>
              </w:rPr>
              <w:t>刘志赋</w:t>
            </w:r>
          </w:p>
        </w:tc>
        <w:tc>
          <w:tcPr>
            <w:tcW w:w="1684" w:type="dxa"/>
            <w:vAlign w:val="center"/>
          </w:tcPr>
          <w:p w14:paraId="1B06EB22">
            <w:pPr>
              <w:spacing w:after="0" w:line="240" w:lineRule="auto"/>
              <w:jc w:val="left"/>
            </w:pPr>
            <w:r>
              <w:rPr>
                <w:rFonts w:hint="eastAsia"/>
                <w:b w:val="0"/>
                <w:sz w:val="20"/>
                <w:lang w:val="en-US" w:eastAsia="zh-CN"/>
              </w:rPr>
              <w:t>局属各单位</w:t>
            </w:r>
          </w:p>
        </w:tc>
        <w:tc>
          <w:tcPr>
            <w:tcW w:w="2050" w:type="dxa"/>
            <w:vAlign w:val="center"/>
          </w:tcPr>
          <w:p w14:paraId="431F8DF5">
            <w:pPr>
              <w:spacing w:after="0" w:line="240" w:lineRule="auto"/>
              <w:jc w:val="center"/>
            </w:pPr>
            <w:r>
              <w:rPr>
                <w:rFonts w:ascii="仿宋" w:hAnsi="仿宋" w:eastAsia="仿宋"/>
                <w:b w:val="0"/>
                <w:sz w:val="20"/>
              </w:rPr>
              <w:t>本系统县处级领导干部</w:t>
            </w:r>
          </w:p>
        </w:tc>
        <w:tc>
          <w:tcPr>
            <w:tcW w:w="1435" w:type="dxa"/>
            <w:vAlign w:val="center"/>
          </w:tcPr>
          <w:p w14:paraId="03BCEE9A">
            <w:pPr>
              <w:spacing w:after="0" w:line="240" w:lineRule="auto"/>
              <w:jc w:val="center"/>
            </w:pPr>
            <w:r>
              <w:rPr>
                <w:rFonts w:ascii="仿宋" w:hAnsi="仿宋" w:eastAsia="仿宋"/>
                <w:b w:val="0"/>
                <w:sz w:val="20"/>
              </w:rPr>
              <w:t>长期坚持</w:t>
            </w:r>
          </w:p>
        </w:tc>
        <w:tc>
          <w:tcPr>
            <w:tcW w:w="797" w:type="dxa"/>
            <w:vAlign w:val="center"/>
          </w:tcPr>
          <w:p w14:paraId="50223E3C">
            <w:pPr>
              <w:spacing w:after="0" w:line="240" w:lineRule="auto"/>
              <w:jc w:val="center"/>
            </w:pPr>
          </w:p>
        </w:tc>
      </w:tr>
      <w:tr w14:paraId="48C8DB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589DCD61">
            <w:pPr>
              <w:spacing w:after="0" w:line="240" w:lineRule="auto"/>
            </w:pPr>
          </w:p>
        </w:tc>
        <w:tc>
          <w:tcPr>
            <w:tcW w:w="3197" w:type="dxa"/>
            <w:vMerge w:val="restart"/>
            <w:vAlign w:val="center"/>
          </w:tcPr>
          <w:p w14:paraId="209291F0">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七、加强行政复议和行政应诉工作，自觉维护司法权威。</w:t>
            </w:r>
          </w:p>
        </w:tc>
        <w:tc>
          <w:tcPr>
            <w:tcW w:w="636" w:type="dxa"/>
            <w:vAlign w:val="center"/>
          </w:tcPr>
          <w:p w14:paraId="26AD47CD">
            <w:pPr>
              <w:spacing w:after="0" w:line="240" w:lineRule="auto"/>
              <w:jc w:val="center"/>
            </w:pPr>
            <w:r>
              <w:rPr>
                <w:rFonts w:ascii="仿宋" w:hAnsi="仿宋" w:eastAsia="仿宋"/>
                <w:b w:val="0"/>
                <w:sz w:val="20"/>
              </w:rPr>
              <w:t>20</w:t>
            </w:r>
          </w:p>
        </w:tc>
        <w:tc>
          <w:tcPr>
            <w:tcW w:w="7252" w:type="dxa"/>
            <w:vAlign w:val="center"/>
          </w:tcPr>
          <w:p w14:paraId="16EFF133">
            <w:pPr>
              <w:spacing w:after="0" w:line="240" w:lineRule="auto"/>
              <w:jc w:val="left"/>
            </w:pPr>
            <w:r>
              <w:rPr>
                <w:rFonts w:ascii="仿宋" w:hAnsi="仿宋" w:eastAsia="仿宋"/>
                <w:b w:val="0"/>
                <w:sz w:val="20"/>
              </w:rPr>
              <w:t>一是督促专人负责行政复议答复、资料报送工作。二是依据法律法规做好行政复议和行政应诉工作。三是履行第一责任人职责，认真做好《行政复议意见书》《行政复议建议书》的落实和反馈工作。</w:t>
            </w:r>
          </w:p>
        </w:tc>
        <w:tc>
          <w:tcPr>
            <w:tcW w:w="1701" w:type="dxa"/>
            <w:vAlign w:val="center"/>
          </w:tcPr>
          <w:p w14:paraId="20DC84C3">
            <w:pPr>
              <w:spacing w:after="0" w:line="240" w:lineRule="auto"/>
              <w:jc w:val="center"/>
            </w:pPr>
            <w:r>
              <w:rPr>
                <w:rFonts w:ascii="仿宋" w:hAnsi="仿宋" w:eastAsia="仿宋"/>
                <w:b w:val="0"/>
                <w:sz w:val="20"/>
              </w:rPr>
              <w:t>政策法规科</w:t>
            </w:r>
          </w:p>
        </w:tc>
        <w:tc>
          <w:tcPr>
            <w:tcW w:w="1633" w:type="dxa"/>
            <w:vAlign w:val="center"/>
          </w:tcPr>
          <w:p w14:paraId="0248ABF8">
            <w:pPr>
              <w:spacing w:after="0" w:line="240" w:lineRule="auto"/>
              <w:jc w:val="center"/>
              <w:rPr>
                <w:rFonts w:hint="default"/>
                <w:lang w:val="en-US"/>
              </w:rPr>
            </w:pPr>
            <w:r>
              <w:rPr>
                <w:rFonts w:hint="eastAsia"/>
                <w:b w:val="0"/>
                <w:sz w:val="20"/>
                <w:lang w:val="en-US" w:eastAsia="zh-CN"/>
              </w:rPr>
              <w:t>齐长江、吴攀</w:t>
            </w:r>
          </w:p>
        </w:tc>
        <w:tc>
          <w:tcPr>
            <w:tcW w:w="1684" w:type="dxa"/>
            <w:vAlign w:val="center"/>
          </w:tcPr>
          <w:p w14:paraId="4C10142E">
            <w:pPr>
              <w:spacing w:after="0" w:line="240" w:lineRule="auto"/>
              <w:jc w:val="left"/>
            </w:pPr>
            <w:r>
              <w:rPr>
                <w:rFonts w:hint="eastAsia"/>
                <w:b w:val="0"/>
                <w:sz w:val="20"/>
                <w:lang w:val="en-US" w:eastAsia="zh-CN"/>
              </w:rPr>
              <w:t>局机关各科室、局属各单位</w:t>
            </w:r>
          </w:p>
        </w:tc>
        <w:tc>
          <w:tcPr>
            <w:tcW w:w="2050" w:type="dxa"/>
            <w:vAlign w:val="center"/>
          </w:tcPr>
          <w:p w14:paraId="659CB5FB">
            <w:pPr>
              <w:spacing w:after="0" w:line="240" w:lineRule="auto"/>
              <w:jc w:val="center"/>
            </w:pPr>
            <w:r>
              <w:rPr>
                <w:rFonts w:hint="eastAsia"/>
                <w:b w:val="0"/>
                <w:sz w:val="20"/>
                <w:lang w:val="en-US" w:eastAsia="zh-CN"/>
              </w:rPr>
              <w:t>局机关各科室、局属各单位</w:t>
            </w:r>
            <w:r>
              <w:rPr>
                <w:rFonts w:ascii="仿宋" w:hAnsi="仿宋" w:eastAsia="仿宋"/>
                <w:b w:val="0"/>
                <w:sz w:val="20"/>
              </w:rPr>
              <w:t>负责人</w:t>
            </w:r>
          </w:p>
        </w:tc>
        <w:tc>
          <w:tcPr>
            <w:tcW w:w="1435" w:type="dxa"/>
            <w:vAlign w:val="center"/>
          </w:tcPr>
          <w:p w14:paraId="7916D2FB">
            <w:pPr>
              <w:spacing w:after="0" w:line="240" w:lineRule="auto"/>
              <w:jc w:val="center"/>
            </w:pPr>
            <w:r>
              <w:rPr>
                <w:rFonts w:ascii="仿宋" w:hAnsi="仿宋" w:eastAsia="仿宋"/>
                <w:b w:val="0"/>
                <w:sz w:val="20"/>
              </w:rPr>
              <w:t>长期坚持</w:t>
            </w:r>
          </w:p>
        </w:tc>
        <w:tc>
          <w:tcPr>
            <w:tcW w:w="797" w:type="dxa"/>
            <w:vAlign w:val="center"/>
          </w:tcPr>
          <w:p w14:paraId="556CAD10">
            <w:pPr>
              <w:spacing w:after="0" w:line="240" w:lineRule="auto"/>
              <w:jc w:val="center"/>
            </w:pPr>
          </w:p>
        </w:tc>
      </w:tr>
      <w:tr w14:paraId="79135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8" w:hRule="atLeast"/>
          <w:jc w:val="center"/>
        </w:trPr>
        <w:tc>
          <w:tcPr>
            <w:tcW w:w="1295" w:type="dxa"/>
            <w:vMerge w:val="continue"/>
          </w:tcPr>
          <w:p w14:paraId="48529B28">
            <w:pPr>
              <w:spacing w:after="0" w:line="240" w:lineRule="auto"/>
            </w:pPr>
          </w:p>
        </w:tc>
        <w:tc>
          <w:tcPr>
            <w:tcW w:w="3197" w:type="dxa"/>
            <w:vMerge w:val="continue"/>
          </w:tcPr>
          <w:p w14:paraId="302BCFD7">
            <w:pPr>
              <w:spacing w:after="0" w:line="240" w:lineRule="auto"/>
              <w:rPr>
                <w:rFonts w:hint="eastAsia" w:ascii="方正仿宋_GBK" w:hAnsi="方正仿宋_GBK" w:eastAsia="方正仿宋_GBK" w:cs="方正仿宋_GBK"/>
                <w:b w:val="0"/>
                <w:bCs w:val="0"/>
                <w:sz w:val="28"/>
                <w:szCs w:val="24"/>
              </w:rPr>
            </w:pPr>
          </w:p>
        </w:tc>
        <w:tc>
          <w:tcPr>
            <w:tcW w:w="636" w:type="dxa"/>
            <w:vAlign w:val="center"/>
          </w:tcPr>
          <w:p w14:paraId="3D338EC8">
            <w:pPr>
              <w:spacing w:after="0" w:line="240" w:lineRule="auto"/>
              <w:jc w:val="center"/>
            </w:pPr>
            <w:r>
              <w:rPr>
                <w:rFonts w:ascii="仿宋" w:hAnsi="仿宋" w:eastAsia="仿宋"/>
                <w:b w:val="0"/>
                <w:sz w:val="20"/>
              </w:rPr>
              <w:t>21</w:t>
            </w:r>
          </w:p>
        </w:tc>
        <w:tc>
          <w:tcPr>
            <w:tcW w:w="7252" w:type="dxa"/>
            <w:vAlign w:val="center"/>
          </w:tcPr>
          <w:p w14:paraId="3D61E721">
            <w:pPr>
              <w:spacing w:after="0" w:line="240" w:lineRule="auto"/>
              <w:jc w:val="left"/>
            </w:pPr>
            <w:r>
              <w:rPr>
                <w:rFonts w:ascii="仿宋" w:hAnsi="仿宋" w:eastAsia="仿宋"/>
                <w:b w:val="0"/>
                <w:sz w:val="20"/>
              </w:rPr>
              <w:t>一是落实行政机关负责人出庭应诉制度，重大涉农行政案件亲自出庭或安排班子成员出庭。二是遇到行政应诉案件及时对接法律顾问，研究应诉措施，积极应诉。三是主动配合法院审判，按期足额履行生效司法文书。</w:t>
            </w:r>
          </w:p>
        </w:tc>
        <w:tc>
          <w:tcPr>
            <w:tcW w:w="1701" w:type="dxa"/>
            <w:vAlign w:val="center"/>
          </w:tcPr>
          <w:p w14:paraId="4D459E00">
            <w:pPr>
              <w:spacing w:after="0" w:line="240" w:lineRule="auto"/>
              <w:jc w:val="center"/>
            </w:pPr>
            <w:r>
              <w:rPr>
                <w:rFonts w:ascii="仿宋" w:hAnsi="仿宋" w:eastAsia="仿宋"/>
                <w:b w:val="0"/>
                <w:sz w:val="20"/>
              </w:rPr>
              <w:t>政策法规科</w:t>
            </w:r>
          </w:p>
        </w:tc>
        <w:tc>
          <w:tcPr>
            <w:tcW w:w="1633" w:type="dxa"/>
            <w:vAlign w:val="center"/>
          </w:tcPr>
          <w:p w14:paraId="649C35B7">
            <w:pPr>
              <w:spacing w:after="0" w:line="240" w:lineRule="auto"/>
              <w:jc w:val="center"/>
            </w:pPr>
            <w:r>
              <w:rPr>
                <w:rFonts w:hint="eastAsia"/>
                <w:b w:val="0"/>
                <w:sz w:val="20"/>
                <w:lang w:val="en-US" w:eastAsia="zh-CN"/>
              </w:rPr>
              <w:t>齐长江、吴攀</w:t>
            </w:r>
          </w:p>
        </w:tc>
        <w:tc>
          <w:tcPr>
            <w:tcW w:w="1684" w:type="dxa"/>
            <w:vAlign w:val="center"/>
          </w:tcPr>
          <w:p w14:paraId="77946B0A">
            <w:pPr>
              <w:spacing w:after="0" w:line="240" w:lineRule="auto"/>
              <w:jc w:val="left"/>
            </w:pPr>
            <w:r>
              <w:rPr>
                <w:rFonts w:hint="eastAsia"/>
                <w:b w:val="0"/>
                <w:sz w:val="20"/>
                <w:lang w:val="en-US" w:eastAsia="zh-CN"/>
              </w:rPr>
              <w:t>局机关各科室、局属各单位</w:t>
            </w:r>
          </w:p>
        </w:tc>
        <w:tc>
          <w:tcPr>
            <w:tcW w:w="2050" w:type="dxa"/>
            <w:vAlign w:val="center"/>
          </w:tcPr>
          <w:p w14:paraId="582755C4">
            <w:pPr>
              <w:spacing w:after="0" w:line="240" w:lineRule="auto"/>
              <w:jc w:val="center"/>
            </w:pPr>
            <w:r>
              <w:rPr>
                <w:rFonts w:hint="eastAsia"/>
                <w:b w:val="0"/>
                <w:sz w:val="20"/>
                <w:lang w:val="en-US" w:eastAsia="zh-CN"/>
              </w:rPr>
              <w:t>局机关各科室、局属各单位</w:t>
            </w:r>
            <w:r>
              <w:rPr>
                <w:rFonts w:ascii="仿宋" w:hAnsi="仿宋" w:eastAsia="仿宋"/>
                <w:b w:val="0"/>
                <w:sz w:val="20"/>
              </w:rPr>
              <w:t>负责人</w:t>
            </w:r>
          </w:p>
        </w:tc>
        <w:tc>
          <w:tcPr>
            <w:tcW w:w="1435" w:type="dxa"/>
            <w:vAlign w:val="center"/>
          </w:tcPr>
          <w:p w14:paraId="2C701551">
            <w:pPr>
              <w:spacing w:after="0" w:line="240" w:lineRule="auto"/>
              <w:jc w:val="center"/>
            </w:pPr>
            <w:r>
              <w:rPr>
                <w:rFonts w:ascii="仿宋" w:hAnsi="仿宋" w:eastAsia="仿宋"/>
                <w:b w:val="0"/>
                <w:sz w:val="20"/>
              </w:rPr>
              <w:t>长期坚持</w:t>
            </w:r>
          </w:p>
        </w:tc>
        <w:tc>
          <w:tcPr>
            <w:tcW w:w="797" w:type="dxa"/>
            <w:vAlign w:val="center"/>
          </w:tcPr>
          <w:p w14:paraId="11A314B0">
            <w:pPr>
              <w:spacing w:after="0" w:line="240" w:lineRule="auto"/>
              <w:jc w:val="center"/>
            </w:pPr>
          </w:p>
        </w:tc>
      </w:tr>
      <w:tr w14:paraId="02E878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5" w:hRule="atLeast"/>
          <w:jc w:val="center"/>
        </w:trPr>
        <w:tc>
          <w:tcPr>
            <w:tcW w:w="1295" w:type="dxa"/>
            <w:vMerge w:val="continue"/>
          </w:tcPr>
          <w:p w14:paraId="513914D0">
            <w:pPr>
              <w:spacing w:after="0" w:line="240" w:lineRule="auto"/>
            </w:pPr>
          </w:p>
        </w:tc>
        <w:tc>
          <w:tcPr>
            <w:tcW w:w="3197" w:type="dxa"/>
            <w:vMerge w:val="restart"/>
            <w:vAlign w:val="center"/>
          </w:tcPr>
          <w:p w14:paraId="542B42DB">
            <w:pPr>
              <w:spacing w:after="0" w:line="240" w:lineRule="auto"/>
              <w:jc w:val="left"/>
              <w:rPr>
                <w:rFonts w:hint="eastAsia" w:ascii="方正仿宋_GBK" w:hAnsi="方正仿宋_GBK" w:eastAsia="方正仿宋_GBK" w:cs="方正仿宋_GBK"/>
                <w:b w:val="0"/>
                <w:bCs w:val="0"/>
                <w:sz w:val="28"/>
                <w:szCs w:val="24"/>
              </w:rPr>
            </w:pPr>
            <w:r>
              <w:rPr>
                <w:rFonts w:hint="eastAsia" w:ascii="方正仿宋_GBK" w:hAnsi="方正仿宋_GBK" w:eastAsia="方正仿宋_GBK" w:cs="方正仿宋_GBK"/>
                <w:b w:val="0"/>
                <w:bCs w:val="0"/>
                <w:sz w:val="21"/>
                <w:szCs w:val="24"/>
              </w:rPr>
              <w:t>八、认真落实"谁执法谁普法"普法责任制；建立局长办公会议定期学法制度，举办法治专题讲座，带头讲法治课。</w:t>
            </w:r>
          </w:p>
        </w:tc>
        <w:tc>
          <w:tcPr>
            <w:tcW w:w="636" w:type="dxa"/>
            <w:vAlign w:val="center"/>
          </w:tcPr>
          <w:p w14:paraId="0A823DA5">
            <w:pPr>
              <w:spacing w:after="0" w:line="240" w:lineRule="auto"/>
              <w:jc w:val="center"/>
            </w:pPr>
            <w:r>
              <w:rPr>
                <w:rFonts w:ascii="仿宋" w:hAnsi="仿宋" w:eastAsia="仿宋"/>
                <w:b w:val="0"/>
                <w:sz w:val="20"/>
              </w:rPr>
              <w:t>22</w:t>
            </w:r>
          </w:p>
        </w:tc>
        <w:tc>
          <w:tcPr>
            <w:tcW w:w="7252" w:type="dxa"/>
            <w:vAlign w:val="center"/>
          </w:tcPr>
          <w:p w14:paraId="5AC16114">
            <w:pPr>
              <w:spacing w:after="0" w:line="240" w:lineRule="auto"/>
              <w:jc w:val="left"/>
            </w:pPr>
            <w:r>
              <w:rPr>
                <w:rFonts w:ascii="仿宋" w:hAnsi="仿宋" w:eastAsia="仿宋"/>
                <w:b w:val="0"/>
                <w:sz w:val="20"/>
              </w:rPr>
              <w:t>一是建立领导干部应知应会法律法规清单制度，结合"1+4+X"建立领导干部学法应知应会清单。二是指导开展农资经营户、种植大户、基层群众分层分类精准普法。三是组织以案释法、农村法治宣传活动，培育基层学法用法示范主体。</w:t>
            </w:r>
          </w:p>
        </w:tc>
        <w:tc>
          <w:tcPr>
            <w:tcW w:w="1701" w:type="dxa"/>
            <w:vAlign w:val="center"/>
          </w:tcPr>
          <w:p w14:paraId="66620A33">
            <w:pPr>
              <w:spacing w:after="0" w:line="240" w:lineRule="auto"/>
              <w:jc w:val="center"/>
            </w:pPr>
            <w:r>
              <w:rPr>
                <w:rFonts w:ascii="仿宋" w:hAnsi="仿宋" w:eastAsia="仿宋"/>
                <w:b w:val="0"/>
                <w:sz w:val="20"/>
              </w:rPr>
              <w:t>政策法规科</w:t>
            </w:r>
          </w:p>
        </w:tc>
        <w:tc>
          <w:tcPr>
            <w:tcW w:w="1633" w:type="dxa"/>
            <w:vAlign w:val="center"/>
          </w:tcPr>
          <w:p w14:paraId="2DFD4408">
            <w:pPr>
              <w:spacing w:after="0" w:line="240" w:lineRule="auto"/>
              <w:jc w:val="center"/>
            </w:pPr>
            <w:r>
              <w:rPr>
                <w:rFonts w:hint="eastAsia"/>
                <w:b w:val="0"/>
                <w:sz w:val="20"/>
                <w:lang w:val="en-US" w:eastAsia="zh-CN"/>
              </w:rPr>
              <w:t>齐长江、吴攀</w:t>
            </w:r>
          </w:p>
        </w:tc>
        <w:tc>
          <w:tcPr>
            <w:tcW w:w="1684" w:type="dxa"/>
            <w:vAlign w:val="center"/>
          </w:tcPr>
          <w:p w14:paraId="091AD283">
            <w:pPr>
              <w:spacing w:after="0" w:line="240" w:lineRule="auto"/>
              <w:jc w:val="left"/>
              <w:rPr>
                <w:rFonts w:hint="default" w:eastAsia="仿宋"/>
                <w:lang w:val="en-US" w:eastAsia="zh-CN"/>
              </w:rPr>
            </w:pPr>
            <w:r>
              <w:rPr>
                <w:rFonts w:hint="eastAsia"/>
                <w:b w:val="0"/>
                <w:sz w:val="20"/>
                <w:lang w:val="en-US" w:eastAsia="zh-CN"/>
              </w:rPr>
              <w:t>局机关各科室、地区农业综合行政执法支队</w:t>
            </w:r>
          </w:p>
        </w:tc>
        <w:tc>
          <w:tcPr>
            <w:tcW w:w="2050" w:type="dxa"/>
            <w:vAlign w:val="center"/>
          </w:tcPr>
          <w:p w14:paraId="11DE1AA4">
            <w:pPr>
              <w:spacing w:after="0" w:line="240" w:lineRule="auto"/>
              <w:jc w:val="center"/>
            </w:pPr>
            <w:r>
              <w:rPr>
                <w:rFonts w:ascii="仿宋" w:hAnsi="仿宋" w:eastAsia="仿宋"/>
                <w:b w:val="0"/>
                <w:sz w:val="20"/>
              </w:rPr>
              <w:t>本系统全体干部</w:t>
            </w:r>
          </w:p>
        </w:tc>
        <w:tc>
          <w:tcPr>
            <w:tcW w:w="1435" w:type="dxa"/>
            <w:vAlign w:val="center"/>
          </w:tcPr>
          <w:p w14:paraId="71FF8328">
            <w:pPr>
              <w:spacing w:after="0" w:line="240" w:lineRule="auto"/>
              <w:jc w:val="center"/>
            </w:pPr>
            <w:r>
              <w:rPr>
                <w:rFonts w:ascii="仿宋" w:hAnsi="仿宋" w:eastAsia="仿宋"/>
                <w:b w:val="0"/>
                <w:sz w:val="20"/>
              </w:rPr>
              <w:t>长期坚持</w:t>
            </w:r>
          </w:p>
        </w:tc>
        <w:tc>
          <w:tcPr>
            <w:tcW w:w="797" w:type="dxa"/>
            <w:vAlign w:val="center"/>
          </w:tcPr>
          <w:p w14:paraId="566678C2">
            <w:pPr>
              <w:spacing w:after="0" w:line="240" w:lineRule="auto"/>
              <w:jc w:val="center"/>
            </w:pPr>
          </w:p>
        </w:tc>
      </w:tr>
      <w:tr w14:paraId="737950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8" w:hRule="atLeast"/>
          <w:jc w:val="center"/>
        </w:trPr>
        <w:tc>
          <w:tcPr>
            <w:tcW w:w="1295" w:type="dxa"/>
            <w:vMerge w:val="continue"/>
          </w:tcPr>
          <w:p w14:paraId="48BA8CD8">
            <w:pPr>
              <w:spacing w:after="0" w:line="240" w:lineRule="auto"/>
            </w:pPr>
          </w:p>
        </w:tc>
        <w:tc>
          <w:tcPr>
            <w:tcW w:w="3197" w:type="dxa"/>
            <w:vMerge w:val="continue"/>
          </w:tcPr>
          <w:p w14:paraId="44C4E564">
            <w:pPr>
              <w:spacing w:after="0" w:line="240" w:lineRule="auto"/>
            </w:pPr>
          </w:p>
        </w:tc>
        <w:tc>
          <w:tcPr>
            <w:tcW w:w="636" w:type="dxa"/>
            <w:vAlign w:val="center"/>
          </w:tcPr>
          <w:p w14:paraId="3C8B6D0B">
            <w:pPr>
              <w:spacing w:after="0" w:line="240" w:lineRule="auto"/>
              <w:jc w:val="center"/>
            </w:pPr>
            <w:r>
              <w:rPr>
                <w:rFonts w:ascii="仿宋" w:hAnsi="仿宋" w:eastAsia="仿宋"/>
                <w:b w:val="0"/>
                <w:sz w:val="20"/>
              </w:rPr>
              <w:t>23</w:t>
            </w:r>
          </w:p>
        </w:tc>
        <w:tc>
          <w:tcPr>
            <w:tcW w:w="7252" w:type="dxa"/>
            <w:vAlign w:val="center"/>
          </w:tcPr>
          <w:p w14:paraId="35CE48A4">
            <w:pPr>
              <w:spacing w:after="0" w:line="240" w:lineRule="auto"/>
              <w:jc w:val="left"/>
            </w:pPr>
            <w:r>
              <w:rPr>
                <w:rFonts w:ascii="仿宋" w:hAnsi="仿宋" w:eastAsia="仿宋"/>
                <w:b w:val="0"/>
                <w:sz w:val="20"/>
              </w:rPr>
              <w:t>一是组织局领导、站所主要领导及各部门负责人每年至少举行2次法治建设专题培训。二是面向全系统干部至少讲1次法治课。三是按要求参加年度学法考试。</w:t>
            </w:r>
          </w:p>
        </w:tc>
        <w:tc>
          <w:tcPr>
            <w:tcW w:w="1701" w:type="dxa"/>
            <w:vAlign w:val="center"/>
          </w:tcPr>
          <w:p w14:paraId="4CA99037">
            <w:pPr>
              <w:spacing w:after="0" w:line="240" w:lineRule="auto"/>
              <w:jc w:val="center"/>
            </w:pPr>
            <w:r>
              <w:rPr>
                <w:rFonts w:ascii="仿宋" w:hAnsi="仿宋" w:eastAsia="仿宋"/>
                <w:b w:val="0"/>
                <w:sz w:val="20"/>
              </w:rPr>
              <w:t>领导干部</w:t>
            </w:r>
          </w:p>
        </w:tc>
        <w:tc>
          <w:tcPr>
            <w:tcW w:w="1633" w:type="dxa"/>
            <w:vAlign w:val="center"/>
          </w:tcPr>
          <w:p w14:paraId="62485195">
            <w:pPr>
              <w:spacing w:after="0" w:line="240" w:lineRule="auto"/>
              <w:jc w:val="center"/>
            </w:pPr>
            <w:r>
              <w:rPr>
                <w:rFonts w:hint="eastAsia"/>
                <w:b w:val="0"/>
                <w:sz w:val="20"/>
                <w:lang w:val="en-US" w:eastAsia="zh-CN"/>
              </w:rPr>
              <w:t>刘志赋</w:t>
            </w:r>
          </w:p>
        </w:tc>
        <w:tc>
          <w:tcPr>
            <w:tcW w:w="1684" w:type="dxa"/>
            <w:vAlign w:val="center"/>
          </w:tcPr>
          <w:p w14:paraId="4C2C784A">
            <w:pPr>
              <w:spacing w:after="0" w:line="240" w:lineRule="auto"/>
              <w:jc w:val="left"/>
            </w:pPr>
            <w:r>
              <w:rPr>
                <w:rFonts w:hint="eastAsia"/>
                <w:b w:val="0"/>
                <w:sz w:val="20"/>
                <w:lang w:val="en-US" w:eastAsia="zh-CN"/>
              </w:rPr>
              <w:t>局机关各科室、局属各单位</w:t>
            </w:r>
          </w:p>
        </w:tc>
        <w:tc>
          <w:tcPr>
            <w:tcW w:w="2050" w:type="dxa"/>
            <w:vAlign w:val="center"/>
          </w:tcPr>
          <w:p w14:paraId="728388A3">
            <w:pPr>
              <w:spacing w:after="0" w:line="240" w:lineRule="auto"/>
              <w:jc w:val="center"/>
            </w:pPr>
            <w:r>
              <w:rPr>
                <w:rFonts w:hint="eastAsia"/>
                <w:b w:val="0"/>
                <w:sz w:val="20"/>
                <w:lang w:val="en-US" w:eastAsia="zh-CN"/>
              </w:rPr>
              <w:t>局机关各科室、局属各单位</w:t>
            </w:r>
            <w:r>
              <w:rPr>
                <w:rFonts w:ascii="仿宋" w:hAnsi="仿宋" w:eastAsia="仿宋"/>
                <w:b w:val="0"/>
                <w:sz w:val="20"/>
              </w:rPr>
              <w:t>负责人</w:t>
            </w:r>
          </w:p>
        </w:tc>
        <w:tc>
          <w:tcPr>
            <w:tcW w:w="1435" w:type="dxa"/>
            <w:vAlign w:val="center"/>
          </w:tcPr>
          <w:p w14:paraId="5BC4087E">
            <w:pPr>
              <w:spacing w:after="0" w:line="240" w:lineRule="auto"/>
              <w:jc w:val="center"/>
            </w:pPr>
            <w:r>
              <w:rPr>
                <w:rFonts w:ascii="仿宋" w:hAnsi="仿宋" w:eastAsia="仿宋"/>
                <w:b w:val="0"/>
                <w:sz w:val="20"/>
              </w:rPr>
              <w:t>6月、12月，长期坚持</w:t>
            </w:r>
          </w:p>
        </w:tc>
        <w:tc>
          <w:tcPr>
            <w:tcW w:w="797" w:type="dxa"/>
            <w:vAlign w:val="center"/>
          </w:tcPr>
          <w:p w14:paraId="22A3E25E">
            <w:pPr>
              <w:spacing w:after="0" w:line="240" w:lineRule="auto"/>
              <w:jc w:val="center"/>
            </w:pPr>
          </w:p>
        </w:tc>
      </w:tr>
      <w:tr w14:paraId="57A3D4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4" w:hRule="atLeast"/>
          <w:jc w:val="center"/>
        </w:trPr>
        <w:tc>
          <w:tcPr>
            <w:tcW w:w="1295" w:type="dxa"/>
            <w:vMerge w:val="continue"/>
          </w:tcPr>
          <w:p w14:paraId="4019D060">
            <w:pPr>
              <w:spacing w:after="0" w:line="240" w:lineRule="auto"/>
            </w:pPr>
          </w:p>
        </w:tc>
        <w:tc>
          <w:tcPr>
            <w:tcW w:w="3197" w:type="dxa"/>
            <w:vMerge w:val="continue"/>
          </w:tcPr>
          <w:p w14:paraId="602326FD">
            <w:pPr>
              <w:spacing w:after="0" w:line="240" w:lineRule="auto"/>
            </w:pPr>
          </w:p>
        </w:tc>
        <w:tc>
          <w:tcPr>
            <w:tcW w:w="636" w:type="dxa"/>
            <w:vAlign w:val="center"/>
          </w:tcPr>
          <w:p w14:paraId="46F91700">
            <w:pPr>
              <w:spacing w:after="0" w:line="240" w:lineRule="auto"/>
              <w:jc w:val="center"/>
            </w:pPr>
            <w:r>
              <w:rPr>
                <w:rFonts w:ascii="仿宋" w:hAnsi="仿宋" w:eastAsia="仿宋"/>
                <w:b w:val="0"/>
                <w:sz w:val="20"/>
              </w:rPr>
              <w:t>24</w:t>
            </w:r>
          </w:p>
        </w:tc>
        <w:tc>
          <w:tcPr>
            <w:tcW w:w="7252" w:type="dxa"/>
            <w:vAlign w:val="center"/>
          </w:tcPr>
          <w:p w14:paraId="487000DE">
            <w:pPr>
              <w:spacing w:after="0" w:line="240" w:lineRule="auto"/>
              <w:jc w:val="left"/>
            </w:pPr>
            <w:r>
              <w:rPr>
                <w:rFonts w:ascii="仿宋" w:hAnsi="仿宋" w:eastAsia="仿宋"/>
                <w:b w:val="0"/>
                <w:sz w:val="20"/>
              </w:rPr>
              <w:t>组织局机关干部积极参加地区组织的集中培训、法治讲座、网上学法等，提高行政机关工作人员法律素养和工作能力。</w:t>
            </w:r>
          </w:p>
        </w:tc>
        <w:tc>
          <w:tcPr>
            <w:tcW w:w="1701" w:type="dxa"/>
            <w:vAlign w:val="center"/>
          </w:tcPr>
          <w:p w14:paraId="7D3203A1">
            <w:pPr>
              <w:spacing w:after="0" w:line="240" w:lineRule="auto"/>
              <w:jc w:val="center"/>
            </w:pPr>
            <w:r>
              <w:rPr>
                <w:rFonts w:ascii="仿宋" w:hAnsi="仿宋" w:eastAsia="仿宋"/>
                <w:b w:val="0"/>
                <w:sz w:val="20"/>
              </w:rPr>
              <w:t>政策法规科</w:t>
            </w:r>
          </w:p>
        </w:tc>
        <w:tc>
          <w:tcPr>
            <w:tcW w:w="1633" w:type="dxa"/>
            <w:vAlign w:val="center"/>
          </w:tcPr>
          <w:p w14:paraId="6B99A3D9">
            <w:pPr>
              <w:spacing w:after="0" w:line="240" w:lineRule="auto"/>
              <w:jc w:val="center"/>
            </w:pPr>
            <w:r>
              <w:rPr>
                <w:rFonts w:hint="eastAsia"/>
                <w:b w:val="0"/>
                <w:sz w:val="20"/>
                <w:lang w:val="en-US" w:eastAsia="zh-CN"/>
              </w:rPr>
              <w:t>齐长江、吴攀</w:t>
            </w:r>
          </w:p>
        </w:tc>
        <w:tc>
          <w:tcPr>
            <w:tcW w:w="1684" w:type="dxa"/>
            <w:vAlign w:val="center"/>
          </w:tcPr>
          <w:p w14:paraId="03B47E44">
            <w:pPr>
              <w:spacing w:after="0" w:line="240" w:lineRule="auto"/>
              <w:jc w:val="left"/>
            </w:pPr>
            <w:r>
              <w:rPr>
                <w:rFonts w:hint="eastAsia"/>
                <w:b w:val="0"/>
                <w:sz w:val="20"/>
                <w:lang w:val="en-US" w:eastAsia="zh-CN"/>
              </w:rPr>
              <w:t>局机关各科室、局属各单位</w:t>
            </w:r>
          </w:p>
        </w:tc>
        <w:tc>
          <w:tcPr>
            <w:tcW w:w="2050" w:type="dxa"/>
            <w:vAlign w:val="center"/>
          </w:tcPr>
          <w:p w14:paraId="0CC289A7">
            <w:pPr>
              <w:spacing w:after="0" w:line="240" w:lineRule="auto"/>
              <w:jc w:val="center"/>
            </w:pPr>
            <w:r>
              <w:rPr>
                <w:rFonts w:ascii="仿宋" w:hAnsi="仿宋" w:eastAsia="仿宋"/>
                <w:b w:val="0"/>
                <w:sz w:val="20"/>
              </w:rPr>
              <w:t>局机关全体干部</w:t>
            </w:r>
          </w:p>
        </w:tc>
        <w:tc>
          <w:tcPr>
            <w:tcW w:w="1435" w:type="dxa"/>
            <w:vAlign w:val="center"/>
          </w:tcPr>
          <w:p w14:paraId="23DFBB7B">
            <w:pPr>
              <w:spacing w:after="0" w:line="240" w:lineRule="auto"/>
              <w:jc w:val="center"/>
            </w:pPr>
            <w:r>
              <w:rPr>
                <w:rFonts w:ascii="仿宋" w:hAnsi="仿宋" w:eastAsia="仿宋"/>
                <w:b w:val="0"/>
                <w:sz w:val="20"/>
              </w:rPr>
              <w:t>12月底，长期坚持</w:t>
            </w:r>
          </w:p>
        </w:tc>
        <w:tc>
          <w:tcPr>
            <w:tcW w:w="797" w:type="dxa"/>
            <w:vAlign w:val="center"/>
          </w:tcPr>
          <w:p w14:paraId="13E9165B">
            <w:pPr>
              <w:spacing w:after="0" w:line="240" w:lineRule="auto"/>
              <w:jc w:val="center"/>
            </w:pPr>
          </w:p>
        </w:tc>
      </w:tr>
      <w:tr w14:paraId="2E7AAB4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295" w:type="dxa"/>
            <w:vMerge w:val="continue"/>
          </w:tcPr>
          <w:p w14:paraId="5A929B11">
            <w:pPr>
              <w:spacing w:after="0" w:line="240" w:lineRule="auto"/>
            </w:pPr>
          </w:p>
        </w:tc>
        <w:tc>
          <w:tcPr>
            <w:tcW w:w="3197" w:type="dxa"/>
            <w:vMerge w:val="continue"/>
          </w:tcPr>
          <w:p w14:paraId="05EC5769">
            <w:pPr>
              <w:spacing w:after="0" w:line="240" w:lineRule="auto"/>
            </w:pPr>
          </w:p>
        </w:tc>
        <w:tc>
          <w:tcPr>
            <w:tcW w:w="636" w:type="dxa"/>
            <w:vAlign w:val="center"/>
          </w:tcPr>
          <w:p w14:paraId="33885151">
            <w:pPr>
              <w:spacing w:after="0" w:line="240" w:lineRule="auto"/>
              <w:jc w:val="center"/>
            </w:pPr>
            <w:r>
              <w:rPr>
                <w:rFonts w:ascii="仿宋" w:hAnsi="仿宋" w:eastAsia="仿宋"/>
                <w:b w:val="0"/>
                <w:sz w:val="20"/>
              </w:rPr>
              <w:t>25</w:t>
            </w:r>
          </w:p>
        </w:tc>
        <w:tc>
          <w:tcPr>
            <w:tcW w:w="7252" w:type="dxa"/>
            <w:vAlign w:val="center"/>
          </w:tcPr>
          <w:p w14:paraId="410C1DB5">
            <w:pPr>
              <w:spacing w:after="0" w:line="240" w:lineRule="auto"/>
              <w:jc w:val="left"/>
            </w:pPr>
            <w:r>
              <w:rPr>
                <w:rFonts w:ascii="仿宋" w:hAnsi="仿宋" w:eastAsia="仿宋"/>
                <w:b w:val="0"/>
                <w:sz w:val="20"/>
              </w:rPr>
              <w:t>一是对农业农村"十五五"规划进行审核，确保把法治宣传教育、法治建设纳入规划之中。二是全面落实"谁执法谁普法"普法责任制，推动向"谁管理谁普法、谁服务谁普法"普法责任延伸。三是统筹涉农信访、12345热线、农产品质量纠纷调处，对群众反映强烈、涉企疑难矛盾亲自包案协调。</w:t>
            </w:r>
          </w:p>
        </w:tc>
        <w:tc>
          <w:tcPr>
            <w:tcW w:w="1701" w:type="dxa"/>
            <w:vAlign w:val="center"/>
          </w:tcPr>
          <w:p w14:paraId="327E07C9">
            <w:pPr>
              <w:spacing w:after="0" w:line="240" w:lineRule="auto"/>
              <w:jc w:val="center"/>
            </w:pPr>
            <w:r>
              <w:rPr>
                <w:rFonts w:ascii="仿宋" w:hAnsi="仿宋" w:eastAsia="仿宋"/>
                <w:b w:val="0"/>
                <w:sz w:val="20"/>
              </w:rPr>
              <w:t>办公室</w:t>
            </w:r>
          </w:p>
        </w:tc>
        <w:tc>
          <w:tcPr>
            <w:tcW w:w="1633" w:type="dxa"/>
            <w:vAlign w:val="center"/>
          </w:tcPr>
          <w:p w14:paraId="0A585E21">
            <w:pPr>
              <w:spacing w:after="0" w:line="240" w:lineRule="auto"/>
              <w:jc w:val="center"/>
            </w:pPr>
            <w:r>
              <w:rPr>
                <w:rFonts w:hint="eastAsia"/>
                <w:b w:val="0"/>
                <w:sz w:val="20"/>
                <w:lang w:val="en-US" w:eastAsia="zh-CN"/>
              </w:rPr>
              <w:t>齐长江、胡新武</w:t>
            </w:r>
          </w:p>
        </w:tc>
        <w:tc>
          <w:tcPr>
            <w:tcW w:w="1684" w:type="dxa"/>
            <w:vAlign w:val="center"/>
          </w:tcPr>
          <w:p w14:paraId="7E291DCA">
            <w:pPr>
              <w:spacing w:after="0" w:line="240" w:lineRule="auto"/>
              <w:jc w:val="left"/>
              <w:rPr>
                <w:rFonts w:hint="eastAsia" w:eastAsia="仿宋"/>
                <w:lang w:eastAsia="zh-CN"/>
              </w:rPr>
            </w:pPr>
            <w:r>
              <w:rPr>
                <w:rFonts w:ascii="仿宋" w:hAnsi="仿宋" w:eastAsia="仿宋"/>
                <w:b w:val="0"/>
                <w:sz w:val="20"/>
              </w:rPr>
              <w:t>发展规划科、政策法规科</w:t>
            </w:r>
            <w:r>
              <w:rPr>
                <w:rFonts w:hint="eastAsia"/>
                <w:b w:val="0"/>
                <w:sz w:val="20"/>
                <w:lang w:eastAsia="zh-CN"/>
              </w:rPr>
              <w:t>，</w:t>
            </w:r>
            <w:r>
              <w:rPr>
                <w:rFonts w:hint="eastAsia"/>
                <w:b w:val="0"/>
                <w:sz w:val="20"/>
                <w:lang w:val="en-US" w:eastAsia="zh-CN"/>
              </w:rPr>
              <w:t>地区农业综合行政执法支队，</w:t>
            </w:r>
            <w:r>
              <w:rPr>
                <w:rFonts w:ascii="仿宋" w:hAnsi="仿宋" w:eastAsia="仿宋"/>
                <w:b w:val="0"/>
                <w:sz w:val="20"/>
              </w:rPr>
              <w:t>各</w:t>
            </w:r>
            <w:r>
              <w:rPr>
                <w:rFonts w:hint="eastAsia"/>
                <w:b w:val="0"/>
                <w:sz w:val="20"/>
                <w:lang w:val="en-US" w:eastAsia="zh-CN"/>
              </w:rPr>
              <w:t>单位</w:t>
            </w:r>
          </w:p>
        </w:tc>
        <w:tc>
          <w:tcPr>
            <w:tcW w:w="2050" w:type="dxa"/>
            <w:vAlign w:val="center"/>
          </w:tcPr>
          <w:p w14:paraId="62B59A5A">
            <w:pPr>
              <w:spacing w:after="0" w:line="240" w:lineRule="auto"/>
              <w:jc w:val="center"/>
            </w:pPr>
            <w:r>
              <w:rPr>
                <w:rFonts w:ascii="仿宋" w:hAnsi="仿宋" w:eastAsia="仿宋"/>
                <w:b w:val="0"/>
                <w:sz w:val="20"/>
              </w:rPr>
              <w:t>本系统全体干部</w:t>
            </w:r>
          </w:p>
        </w:tc>
        <w:tc>
          <w:tcPr>
            <w:tcW w:w="1435" w:type="dxa"/>
            <w:vAlign w:val="center"/>
          </w:tcPr>
          <w:p w14:paraId="16A0520A">
            <w:pPr>
              <w:spacing w:after="0" w:line="240" w:lineRule="auto"/>
              <w:jc w:val="center"/>
            </w:pPr>
            <w:r>
              <w:rPr>
                <w:rFonts w:ascii="仿宋" w:hAnsi="仿宋" w:eastAsia="仿宋"/>
                <w:b w:val="0"/>
                <w:sz w:val="20"/>
              </w:rPr>
              <w:t>12月底前，长期坚持</w:t>
            </w:r>
          </w:p>
        </w:tc>
        <w:tc>
          <w:tcPr>
            <w:tcW w:w="797" w:type="dxa"/>
            <w:vAlign w:val="center"/>
          </w:tcPr>
          <w:p w14:paraId="128DBEAE">
            <w:pPr>
              <w:spacing w:after="0" w:line="240" w:lineRule="auto"/>
              <w:jc w:val="center"/>
            </w:pPr>
          </w:p>
        </w:tc>
      </w:tr>
    </w:tbl>
    <w:p w14:paraId="21BF7D67"/>
    <w:sectPr>
      <w:pgSz w:w="23811" w:h="16838" w:orient="landscape"/>
      <w:pgMar w:top="720" w:right="720" w:bottom="720" w:left="72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auto"/>
    <w:pitch w:val="default"/>
    <w:sig w:usb0="E00006FF" w:usb1="420024FF" w:usb2="02000000" w:usb3="00000000" w:csb0="2000019F" w:csb1="00000000"/>
  </w:font>
  <w:font w:name="ＭＳ 明朝">
    <w:altName w:val="Yu Gothic"/>
    <w:panose1 w:val="00000000000000000000"/>
    <w:charset w:val="80"/>
    <w:family w:val="roman"/>
    <w:pitch w:val="default"/>
    <w:sig w:usb0="00000000" w:usb1="00000000" w:usb2="00000010" w:usb3="00000000" w:csb0="00020000" w:csb1="00000000"/>
  </w:font>
  <w:font w:name="Yu Gothic">
    <w:panose1 w:val="020B0400000000000000"/>
    <w:charset w:val="80"/>
    <w:family w:val="auto"/>
    <w:pitch w:val="default"/>
    <w:sig w:usb0="E00002FF" w:usb1="2AC7FDFF" w:usb2="00000016" w:usb3="00000000" w:csb0="2002009F" w:csb1="00000000"/>
  </w:font>
  <w:font w:name="ＭＳ 明朝">
    <w:altName w:val="宋体"/>
    <w:panose1 w:val="00000000000000000000"/>
    <w:charset w:val="86"/>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MS Gothic">
    <w:panose1 w:val="020B0609070205080204"/>
    <w:charset w:val="80"/>
    <w:family w:val="auto"/>
    <w:pitch w:val="default"/>
    <w:sig w:usb0="E00002FF" w:usb1="6AC7FDFB" w:usb2="08000012" w:usb3="00000000" w:csb0="4002009F" w:csb1="DFD70000"/>
  </w:font>
  <w:font w:name="Courier">
    <w:altName w:val="Courier New"/>
    <w:panose1 w:val="02000500000000000000"/>
    <w:charset w:val="00"/>
    <w:family w:val="auto"/>
    <w:pitch w:val="default"/>
    <w:sig w:usb0="00000000" w:usb1="00000000" w:usb2="00000000" w:usb3="00000000" w:csb0="00000001" w:csb1="00000000"/>
  </w:font>
  <w:font w:name="方正小标宋简体">
    <w:panose1 w:val="03000509000000000000"/>
    <w:charset w:val="86"/>
    <w:family w:val="auto"/>
    <w:pitch w:val="default"/>
    <w:sig w:usb0="00000001" w:usb1="080E0000" w:usb2="00000000" w:usb3="00000000" w:csb0="00040000" w:csb1="00000000"/>
  </w:font>
  <w:font w:name="ＭＳ 明朝">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黑体_GBK">
    <w:panose1 w:val="03000509000000000000"/>
    <w:charset w:val="86"/>
    <w:family w:val="auto"/>
    <w:pitch w:val="default"/>
    <w:sig w:usb0="00000001" w:usb1="080E0000" w:usb2="00000000" w:usb3="00000000" w:csb0="00040000" w:csb1="00000000"/>
  </w:font>
  <w:font w:name="方正小标宋_GBK">
    <w:panose1 w:val="03000509000000000000"/>
    <w:charset w:val="86"/>
    <w:family w:val="auto"/>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FFFFFF7E"/>
    <w:multiLevelType w:val="singleLevel"/>
    <w:tmpl w:val="FFFFFF7E"/>
    <w:lvl w:ilvl="0" w:tentative="0">
      <w:start w:val="1"/>
      <w:numFmt w:val="decimal"/>
      <w:pStyle w:val="20"/>
      <w:lvlText w:val="%1."/>
      <w:lvlJc w:val="left"/>
      <w:pPr>
        <w:tabs>
          <w:tab w:val="left" w:pos="1080"/>
        </w:tabs>
        <w:ind w:left="1080" w:hanging="360"/>
      </w:pPr>
    </w:lvl>
  </w:abstractNum>
  <w:abstractNum w:abstractNumId="1">
    <w:nsid w:val="FFFFFF7F"/>
    <w:multiLevelType w:val="singleLevel"/>
    <w:tmpl w:val="FFFFFF7F"/>
    <w:lvl w:ilvl="0" w:tentative="0">
      <w:start w:val="1"/>
      <w:numFmt w:val="decimal"/>
      <w:pStyle w:val="13"/>
      <w:lvlText w:val="%1."/>
      <w:lvlJc w:val="left"/>
      <w:pPr>
        <w:tabs>
          <w:tab w:val="left" w:pos="720"/>
        </w:tabs>
        <w:ind w:left="720" w:hanging="360"/>
      </w:pPr>
    </w:lvl>
  </w:abstractNum>
  <w:abstractNum w:abstractNumId="2">
    <w:nsid w:val="FFFFFF82"/>
    <w:multiLevelType w:val="singleLevel"/>
    <w:tmpl w:val="FFFFFF82"/>
    <w:lvl w:ilvl="0" w:tentative="0">
      <w:start w:val="1"/>
      <w:numFmt w:val="bullet"/>
      <w:pStyle w:val="18"/>
      <w:lvlText w:val=""/>
      <w:lvlJc w:val="left"/>
      <w:pPr>
        <w:tabs>
          <w:tab w:val="left" w:pos="1080"/>
        </w:tabs>
        <w:ind w:left="1080" w:hanging="360"/>
      </w:pPr>
      <w:rPr>
        <w:rFonts w:hint="default" w:ascii="Symbol" w:hAnsi="Symbol"/>
      </w:rPr>
    </w:lvl>
  </w:abstractNum>
  <w:abstractNum w:abstractNumId="3">
    <w:nsid w:val="FFFFFF83"/>
    <w:multiLevelType w:val="singleLevel"/>
    <w:tmpl w:val="FFFFFF83"/>
    <w:lvl w:ilvl="0" w:tentative="0">
      <w:start w:val="1"/>
      <w:numFmt w:val="bullet"/>
      <w:pStyle w:val="23"/>
      <w:lvlText w:val=""/>
      <w:lvlJc w:val="left"/>
      <w:pPr>
        <w:tabs>
          <w:tab w:val="left" w:pos="720"/>
        </w:tabs>
        <w:ind w:left="720" w:hanging="360"/>
      </w:pPr>
      <w:rPr>
        <w:rFonts w:hint="default" w:ascii="Symbol" w:hAnsi="Symbol"/>
      </w:rPr>
    </w:lvl>
  </w:abstractNum>
  <w:abstractNum w:abstractNumId="4">
    <w:nsid w:val="FFFFFF88"/>
    <w:multiLevelType w:val="singleLevel"/>
    <w:tmpl w:val="FFFFFF88"/>
    <w:lvl w:ilvl="0" w:tentative="0">
      <w:start w:val="1"/>
      <w:numFmt w:val="decimal"/>
      <w:pStyle w:val="14"/>
      <w:lvlText w:val="%1."/>
      <w:lvlJc w:val="left"/>
      <w:pPr>
        <w:tabs>
          <w:tab w:val="left" w:pos="360"/>
        </w:tabs>
        <w:ind w:left="360" w:hanging="360"/>
      </w:pPr>
    </w:lvl>
  </w:abstractNum>
  <w:abstractNum w:abstractNumId="5">
    <w:nsid w:val="FFFFFF89"/>
    <w:multiLevelType w:val="singleLevel"/>
    <w:tmpl w:val="FFFFFF89"/>
    <w:lvl w:ilvl="0" w:tentative="0">
      <w:start w:val="1"/>
      <w:numFmt w:val="bullet"/>
      <w:pStyle w:val="16"/>
      <w:lvlText w:val=""/>
      <w:lvlJc w:val="left"/>
      <w:pPr>
        <w:tabs>
          <w:tab w:val="left" w:pos="360"/>
        </w:tabs>
        <w:ind w:left="360" w:hanging="360"/>
      </w:pPr>
      <w:rPr>
        <w:rFonts w:hint="default" w:ascii="Symbol" w:hAnsi="Symbol"/>
      </w:rPr>
    </w:lvl>
  </w:abstractNum>
  <w:num w:numId="1">
    <w:abstractNumId w:val="1"/>
  </w:num>
  <w:num w:numId="2">
    <w:abstractNumId w:val="4"/>
  </w:num>
  <w:num w:numId="3">
    <w:abstractNumId w:val="5"/>
  </w:num>
  <w:num w:numId="4">
    <w:abstractNumId w:val="2"/>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cumentProtection w:enforcement="0"/>
  <w:defaultTabStop w:val="720"/>
  <w:characterSpacingControl w:val="doNotCompress"/>
  <w:footnotePr>
    <w:footnote w:id="0"/>
    <w:footnote w:id="1"/>
  </w:footnotePr>
  <w:endnotePr>
    <w:endnote w:id="0"/>
    <w:endnote w:id="1"/>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8101A9"/>
    <w:rsid w:val="00847DE1"/>
    <w:rsid w:val="00AA1D8D"/>
    <w:rsid w:val="00B47730"/>
    <w:rsid w:val="00CB0664"/>
    <w:rsid w:val="00FC693F"/>
    <w:rsid w:val="03805619"/>
    <w:rsid w:val="0E5813B2"/>
    <w:rsid w:val="296B661F"/>
    <w:rsid w:val="3EDA3703"/>
    <w:rsid w:val="59372A5F"/>
    <w:rsid w:val="69D1604E"/>
    <w:rsid w:val="6CB025F2"/>
    <w:rsid w:val="713B74F0"/>
    <w:rsid w:val="7D6A08F7"/>
    <w:rsid w:val="7ECA00D7"/>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ja-JP"/>
  <w:clrSchemeMapping w:bg1="light1" w:t1="dark1" w:bg2="light2" w:t2="dark2" w:accent1="accent1" w:accent2="accent2" w:accent3="accent3" w:accent4="accent4" w:accent5="accent5" w:accent6="accent6" w:hyperlink="hyperlink" w:followedHyperlink="followedHyperlink"/>
  <w14:defaultImageDpi w14:val="300"/>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qFormat="1" w:uiPriority="99" w:semiHidden="0" w:name="macro"/>
    <w:lsdException w:uiPriority="99" w:name="toa heading"/>
    <w:lsdException w:qFormat="1" w:uiPriority="99" w:semiHidden="0" w:name="List"/>
    <w:lsdException w:qFormat="1" w:uiPriority="99" w:semiHidden="0" w:name="List Bullet"/>
    <w:lsdException w:qFormat="1" w:uiPriority="99" w:semiHidden="0" w:name="List Number"/>
    <w:lsdException w:qFormat="1" w:uiPriority="99" w:semiHidden="0" w:name="List 2"/>
    <w:lsdException w:qFormat="1" w:uiPriority="99" w:semiHidden="0" w:name="List 3"/>
    <w:lsdException w:uiPriority="99" w:name="List 4"/>
    <w:lsdException w:uiPriority="99" w:name="List 5"/>
    <w:lsdException w:qFormat="1" w:uiPriority="99" w:semiHidden="0" w:name="List Bullet 2"/>
    <w:lsdException w:qFormat="1" w:uiPriority="99" w:semiHidden="0" w:name="List Bullet 3"/>
    <w:lsdException w:uiPriority="99" w:name="List Bullet 4"/>
    <w:lsdException w:uiPriority="99" w:name="List Bullet 5"/>
    <w:lsdException w:qFormat="1" w:uiPriority="99" w:semiHidden="0" w:name="List Number 2"/>
    <w:lsdException w:qFormat="1" w:uiPriority="99" w:semiHidden="0"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qFormat="1" w:uiPriority="99" w:semiHidden="0" w:name="List Continue"/>
    <w:lsdException w:qFormat="1" w:uiPriority="99" w:semiHidden="0" w:name="List Continue 2"/>
    <w:lsdException w:qFormat="1" w:uiPriority="99" w:semiHidden="0"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qFormat="1" w:uiPriority="99" w:semiHidden="0" w:name="Body Text 2"/>
    <w:lsdException w:qFormat="1" w:uiPriority="99" w:semiHidden="0"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qFormat="1" w:unhideWhenUsed="0" w:uiPriority="60" w:semiHidden="0" w:name="Light Shading"/>
    <w:lsdException w:unhideWhenUsed="0" w:uiPriority="61" w:semiHidden="0" w:name="Light List"/>
    <w:lsdException w:qFormat="1" w:unhideWhenUsed="0" w:uiPriority="62" w:semiHidden="0" w:name="Light Grid"/>
    <w:lsdException w:unhideWhenUsed="0" w:uiPriority="63" w:semiHidden="0" w:name="Medium Shading 1"/>
    <w:lsdException w:unhideWhenUsed="0" w:uiPriority="64" w:semiHidden="0" w:name="Medium Shading 2"/>
    <w:lsdException w:qFormat="1" w:unhideWhenUsed="0" w:uiPriority="65" w:semiHidden="0" w:name="Medium List 1"/>
    <w:lsdException w:qFormat="1" w:unhideWhenUsed="0" w:uiPriority="66" w:semiHidden="0" w:name="Medium List 2"/>
    <w:lsdException w:qFormat="1" w:unhideWhenUsed="0" w:uiPriority="67" w:semiHidden="0" w:name="Medium Grid 1"/>
    <w:lsdException w:qFormat="1" w:unhideWhenUsed="0" w:uiPriority="68" w:semiHidden="0" w:name="Medium Grid 2"/>
    <w:lsdException w:qFormat="1" w:unhideWhenUsed="0" w:uiPriority="69" w:semiHidden="0" w:name="Medium Grid 3"/>
    <w:lsdException w:qFormat="1" w:unhideWhenUsed="0" w:uiPriority="70" w:semiHidden="0" w:name="Dark List"/>
    <w:lsdException w:qFormat="1" w:unhideWhenUsed="0" w:uiPriority="71" w:semiHidden="0" w:name="Colorful Shading"/>
    <w:lsdException w:qFormat="1" w:unhideWhenUsed="0" w:uiPriority="72" w:semiHidden="0" w:name="Colorful List"/>
    <w:lsdException w:qFormat="1" w:unhideWhenUsed="0" w:uiPriority="73" w:semiHidden="0" w:name="Colorful Grid"/>
    <w:lsdException w:qFormat="1"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qFormat="1"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qFormat="1" w:unhideWhenUsed="0" w:uiPriority="66" w:semiHidden="0" w:name="Medium List 2 Accent 1"/>
    <w:lsdException w:qFormat="1" w:unhideWhenUsed="0" w:uiPriority="67" w:semiHidden="0" w:name="Medium Grid 1 Accent 1"/>
    <w:lsdException w:qFormat="1" w:unhideWhenUsed="0" w:uiPriority="68" w:semiHidden="0" w:name="Medium Grid 2 Accent 1"/>
    <w:lsdException w:qFormat="1" w:unhideWhenUsed="0" w:uiPriority="69" w:semiHidden="0" w:name="Medium Grid 3 Accent 1"/>
    <w:lsdException w:qFormat="1" w:unhideWhenUsed="0" w:uiPriority="70" w:semiHidden="0" w:name="Dark List Accent 1"/>
    <w:lsdException w:qFormat="1" w:unhideWhenUsed="0" w:uiPriority="71" w:semiHidden="0" w:name="Colorful Shading Accent 1"/>
    <w:lsdException w:qFormat="1" w:unhideWhenUsed="0" w:uiPriority="72" w:semiHidden="0" w:name="Colorful List Accent 1"/>
    <w:lsdException w:qFormat="1" w:unhideWhenUsed="0" w:uiPriority="73" w:semiHidden="0" w:name="Colorful Grid Accent 1"/>
    <w:lsdException w:qFormat="1"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qFormat="1" w:unhideWhenUsed="0" w:uiPriority="64" w:semiHidden="0" w:name="Medium Shading 2 Accent 2"/>
    <w:lsdException w:qFormat="1" w:unhideWhenUsed="0" w:uiPriority="65" w:semiHidden="0" w:name="Medium List 1 Accent 2"/>
    <w:lsdException w:qFormat="1" w:unhideWhenUsed="0" w:uiPriority="66" w:semiHidden="0" w:name="Medium List 2 Accent 2"/>
    <w:lsdException w:qFormat="1" w:unhideWhenUsed="0" w:uiPriority="67" w:semiHidden="0" w:name="Medium Grid 1 Accent 2"/>
    <w:lsdException w:qFormat="1" w:unhideWhenUsed="0" w:uiPriority="68" w:semiHidden="0" w:name="Medium Grid 2 Accent 2"/>
    <w:lsdException w:qFormat="1" w:unhideWhenUsed="0" w:uiPriority="69" w:semiHidden="0" w:name="Medium Grid 3 Accent 2"/>
    <w:lsdException w:qFormat="1" w:unhideWhenUsed="0" w:uiPriority="70" w:semiHidden="0" w:name="Dark List Accent 2"/>
    <w:lsdException w:qFormat="1" w:unhideWhenUsed="0" w:uiPriority="71" w:semiHidden="0" w:name="Colorful Shading Accent 2"/>
    <w:lsdException w:qFormat="1" w:unhideWhenUsed="0" w:uiPriority="72" w:semiHidden="0" w:name="Colorful List Accent 2"/>
    <w:lsdException w:qFormat="1" w:unhideWhenUsed="0" w:uiPriority="73" w:semiHidden="0" w:name="Colorful Grid Accent 2"/>
    <w:lsdException w:qFormat="1" w:unhideWhenUsed="0" w:uiPriority="60" w:semiHidden="0" w:name="Light Shading Accent 3"/>
    <w:lsdException w:unhideWhenUsed="0" w:uiPriority="61" w:semiHidden="0" w:name="Light List Accent 3"/>
    <w:lsdException w:qFormat="1" w:unhideWhenUsed="0" w:uiPriority="62" w:semiHidden="0" w:name="Light Grid Accent 3"/>
    <w:lsdException w:unhideWhenUsed="0" w:uiPriority="63" w:semiHidden="0" w:name="Medium Shading 1 Accent 3"/>
    <w:lsdException w:unhideWhenUsed="0" w:uiPriority="64" w:semiHidden="0" w:name="Medium Shading 2 Accent 3"/>
    <w:lsdException w:qFormat="1" w:unhideWhenUsed="0" w:uiPriority="65" w:semiHidden="0" w:name="Medium List 1 Accent 3"/>
    <w:lsdException w:qFormat="1" w:unhideWhenUsed="0" w:uiPriority="66" w:semiHidden="0" w:name="Medium List 2 Accent 3"/>
    <w:lsdException w:qFormat="1" w:unhideWhenUsed="0" w:uiPriority="67" w:semiHidden="0" w:name="Medium Grid 1 Accent 3"/>
    <w:lsdException w:qFormat="1" w:unhideWhenUsed="0" w:uiPriority="68" w:semiHidden="0" w:name="Medium Grid 2 Accent 3"/>
    <w:lsdException w:qFormat="1" w:unhideWhenUsed="0" w:uiPriority="69" w:semiHidden="0" w:name="Medium Grid 3 Accent 3"/>
    <w:lsdException w:qFormat="1" w:unhideWhenUsed="0" w:uiPriority="70" w:semiHidden="0" w:name="Dark List Accent 3"/>
    <w:lsdException w:qFormat="1" w:unhideWhenUsed="0" w:uiPriority="71" w:semiHidden="0" w:name="Colorful Shading Accent 3"/>
    <w:lsdException w:qFormat="1" w:unhideWhenUsed="0" w:uiPriority="72" w:semiHidden="0" w:name="Colorful List Accent 3"/>
    <w:lsdException w:qFormat="1" w:unhideWhenUsed="0" w:uiPriority="73" w:semiHidden="0" w:name="Colorful Grid Accent 3"/>
    <w:lsdException w:qFormat="1" w:unhideWhenUsed="0" w:uiPriority="60" w:semiHidden="0" w:name="Light Shading Accent 4"/>
    <w:lsdException w:unhideWhenUsed="0" w:uiPriority="61" w:semiHidden="0" w:name="Light List Accent 4"/>
    <w:lsdException w:qFormat="1" w:unhideWhenUsed="0" w:uiPriority="62" w:semiHidden="0" w:name="Light Grid Accent 4"/>
    <w:lsdException w:qFormat="1" w:unhideWhenUsed="0" w:uiPriority="63" w:semiHidden="0" w:name="Medium Shading 1 Accent 4"/>
    <w:lsdException w:qFormat="1" w:unhideWhenUsed="0" w:uiPriority="64" w:semiHidden="0" w:name="Medium Shading 2 Accent 4"/>
    <w:lsdException w:qFormat="1" w:unhideWhenUsed="0" w:uiPriority="65" w:semiHidden="0" w:name="Medium List 1 Accent 4"/>
    <w:lsdException w:qFormat="1" w:unhideWhenUsed="0" w:uiPriority="66" w:semiHidden="0" w:name="Medium List 2 Accent 4"/>
    <w:lsdException w:qFormat="1" w:unhideWhenUsed="0" w:uiPriority="67" w:semiHidden="0" w:name="Medium Grid 1 Accent 4"/>
    <w:lsdException w:qFormat="1" w:unhideWhenUsed="0" w:uiPriority="68" w:semiHidden="0" w:name="Medium Grid 2 Accent 4"/>
    <w:lsdException w:qFormat="1" w:unhideWhenUsed="0" w:uiPriority="69" w:semiHidden="0" w:name="Medium Grid 3 Accent 4"/>
    <w:lsdException w:qFormat="1" w:unhideWhenUsed="0" w:uiPriority="70" w:semiHidden="0" w:name="Dark List Accent 4"/>
    <w:lsdException w:qFormat="1" w:unhideWhenUsed="0" w:uiPriority="71" w:semiHidden="0" w:name="Colorful Shading Accent 4"/>
    <w:lsdException w:qFormat="1" w:unhideWhenUsed="0" w:uiPriority="72" w:semiHidden="0" w:name="Colorful List Accent 4"/>
    <w:lsdException w:qFormat="1" w:unhideWhenUsed="0" w:uiPriority="73" w:semiHidden="0" w:name="Colorful Grid Accent 4"/>
    <w:lsdException w:qFormat="1" w:unhideWhenUsed="0" w:uiPriority="60" w:semiHidden="0" w:name="Light Shading Accent 5"/>
    <w:lsdException w:unhideWhenUsed="0" w:uiPriority="61" w:semiHidden="0" w:name="Light List Accent 5"/>
    <w:lsdException w:qFormat="1" w:unhideWhenUsed="0" w:uiPriority="62" w:semiHidden="0" w:name="Light Grid Accent 5"/>
    <w:lsdException w:unhideWhenUsed="0" w:uiPriority="63" w:semiHidden="0" w:name="Medium Shading 1 Accent 5"/>
    <w:lsdException w:qFormat="1" w:unhideWhenUsed="0" w:uiPriority="64" w:semiHidden="0" w:name="Medium Shading 2 Accent 5"/>
    <w:lsdException w:qFormat="1" w:unhideWhenUsed="0" w:uiPriority="65" w:semiHidden="0" w:name="Medium List 1 Accent 5"/>
    <w:lsdException w:qFormat="1" w:unhideWhenUsed="0" w:uiPriority="66" w:semiHidden="0" w:name="Medium List 2 Accent 5"/>
    <w:lsdException w:qFormat="1" w:unhideWhenUsed="0" w:uiPriority="67" w:semiHidden="0" w:name="Medium Grid 1 Accent 5"/>
    <w:lsdException w:qFormat="1" w:unhideWhenUsed="0" w:uiPriority="68" w:semiHidden="0" w:name="Medium Grid 2 Accent 5"/>
    <w:lsdException w:qFormat="1" w:unhideWhenUsed="0" w:uiPriority="69" w:semiHidden="0" w:name="Medium Grid 3 Accent 5"/>
    <w:lsdException w:qFormat="1" w:unhideWhenUsed="0" w:uiPriority="70" w:semiHidden="0" w:name="Dark List Accent 5"/>
    <w:lsdException w:qFormat="1" w:unhideWhenUsed="0" w:uiPriority="71" w:semiHidden="0" w:name="Colorful Shading Accent 5"/>
    <w:lsdException w:qFormat="1" w:unhideWhenUsed="0" w:uiPriority="72" w:semiHidden="0" w:name="Colorful List Accent 5"/>
    <w:lsdException w:qFormat="1" w:unhideWhenUsed="0" w:uiPriority="73" w:semiHidden="0" w:name="Colorful Grid Accent 5"/>
    <w:lsdException w:qFormat="1"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qFormat="1" w:unhideWhenUsed="0" w:uiPriority="64" w:semiHidden="0" w:name="Medium Shading 2 Accent 6"/>
    <w:lsdException w:qFormat="1" w:unhideWhenUsed="0" w:uiPriority="65" w:semiHidden="0" w:name="Medium List 1 Accent 6"/>
    <w:lsdException w:qFormat="1" w:unhideWhenUsed="0" w:uiPriority="66" w:semiHidden="0" w:name="Medium List 2 Accent 6"/>
    <w:lsdException w:qFormat="1" w:unhideWhenUsed="0" w:uiPriority="67" w:semiHidden="0" w:name="Medium Grid 1 Accent 6"/>
    <w:lsdException w:qFormat="1" w:unhideWhenUsed="0" w:uiPriority="68" w:semiHidden="0" w:name="Medium Grid 2 Accent 6"/>
    <w:lsdException w:qFormat="1" w:unhideWhenUsed="0" w:uiPriority="69" w:semiHidden="0" w:name="Medium Grid 3 Accent 6"/>
    <w:lsdException w:qFormat="1" w:unhideWhenUsed="0" w:uiPriority="70" w:semiHidden="0" w:name="Dark List Accent 6"/>
    <w:lsdException w:qFormat="1" w:unhideWhenUsed="0" w:uiPriority="71" w:semiHidden="0" w:name="Colorful Shading Accent 6"/>
    <w:lsdException w:qFormat="1" w:unhideWhenUsed="0" w:uiPriority="72" w:semiHidden="0" w:name="Colorful List Accent 6"/>
    <w:lsdException w:qFormat="1" w:unhideWhenUsed="0" w:uiPriority="73" w:semiHidden="0" w:name="Colorful Grid Accent 6"/>
  </w:latentStyles>
  <w:style w:type="paragraph" w:default="1" w:styleId="1">
    <w:name w:val="Normal"/>
    <w:qFormat/>
    <w:uiPriority w:val="0"/>
    <w:pPr>
      <w:spacing w:after="200" w:line="276" w:lineRule="auto"/>
    </w:pPr>
    <w:rPr>
      <w:rFonts w:ascii="仿宋" w:hAnsi="仿宋" w:eastAsia="仿宋" w:cstheme="minorBidi"/>
      <w:sz w:val="24"/>
      <w:szCs w:val="22"/>
      <w:lang w:val="en-US" w:eastAsia="en-US" w:bidi="ar-SA"/>
    </w:rPr>
  </w:style>
  <w:style w:type="paragraph" w:styleId="3">
    <w:name w:val="heading 1"/>
    <w:basedOn w:val="1"/>
    <w:next w:val="1"/>
    <w:link w:val="138"/>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4">
    <w:name w:val="heading 2"/>
    <w:basedOn w:val="1"/>
    <w:next w:val="1"/>
    <w:link w:val="139"/>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5">
    <w:name w:val="heading 3"/>
    <w:basedOn w:val="1"/>
    <w:next w:val="1"/>
    <w:link w:val="140"/>
    <w:unhideWhenUsed/>
    <w:qFormat/>
    <w:uiPriority w:val="9"/>
    <w:pPr>
      <w:keepNext/>
      <w:keepLines/>
      <w:spacing w:before="200" w:after="0"/>
      <w:outlineLvl w:val="2"/>
    </w:pPr>
    <w:rPr>
      <w:rFonts w:asciiTheme="majorHAnsi" w:hAnsiTheme="majorHAnsi" w:eastAsiaTheme="majorEastAsia" w:cstheme="majorBidi"/>
      <w:b/>
      <w:bCs/>
      <w:color w:val="4F81BD" w:themeColor="accent1"/>
      <w14:textFill>
        <w14:solidFill>
          <w14:schemeClr w14:val="accent1"/>
        </w14:solidFill>
      </w14:textFill>
    </w:rPr>
  </w:style>
  <w:style w:type="paragraph" w:styleId="6">
    <w:name w:val="heading 4"/>
    <w:basedOn w:val="1"/>
    <w:next w:val="1"/>
    <w:link w:val="150"/>
    <w:semiHidden/>
    <w:unhideWhenUsed/>
    <w:qFormat/>
    <w:uiPriority w:val="9"/>
    <w:pPr>
      <w:keepNext/>
      <w:keepLines/>
      <w:spacing w:before="200" w:after="0"/>
      <w:outlineLvl w:val="3"/>
    </w:pPr>
    <w:rPr>
      <w:rFonts w:asciiTheme="majorHAnsi" w:hAnsiTheme="majorHAnsi" w:eastAsiaTheme="majorEastAsia" w:cstheme="majorBidi"/>
      <w:b/>
      <w:bCs/>
      <w:i/>
      <w:iCs/>
      <w:color w:val="4F81BD" w:themeColor="accent1"/>
      <w14:textFill>
        <w14:solidFill>
          <w14:schemeClr w14:val="accent1"/>
        </w14:solidFill>
      </w14:textFill>
    </w:rPr>
  </w:style>
  <w:style w:type="paragraph" w:styleId="7">
    <w:name w:val="heading 5"/>
    <w:basedOn w:val="1"/>
    <w:next w:val="1"/>
    <w:link w:val="151"/>
    <w:semiHidden/>
    <w:unhideWhenUsed/>
    <w:qFormat/>
    <w:uiPriority w:val="9"/>
    <w:pPr>
      <w:keepNext/>
      <w:keepLines/>
      <w:spacing w:before="200" w:after="0"/>
      <w:outlineLvl w:val="4"/>
    </w:pPr>
    <w:rPr>
      <w:rFonts w:asciiTheme="majorHAnsi" w:hAnsiTheme="majorHAnsi" w:eastAsiaTheme="majorEastAsia" w:cstheme="majorBidi"/>
      <w:color w:val="254061" w:themeColor="accent1" w:themeShade="80"/>
    </w:rPr>
  </w:style>
  <w:style w:type="paragraph" w:styleId="8">
    <w:name w:val="heading 6"/>
    <w:basedOn w:val="1"/>
    <w:next w:val="1"/>
    <w:link w:val="152"/>
    <w:semiHidden/>
    <w:unhideWhenUsed/>
    <w:qFormat/>
    <w:uiPriority w:val="9"/>
    <w:pPr>
      <w:keepNext/>
      <w:keepLines/>
      <w:spacing w:before="200" w:after="0"/>
      <w:outlineLvl w:val="5"/>
    </w:pPr>
    <w:rPr>
      <w:rFonts w:asciiTheme="majorHAnsi" w:hAnsiTheme="majorHAnsi" w:eastAsiaTheme="majorEastAsia" w:cstheme="majorBidi"/>
      <w:i/>
      <w:iCs/>
      <w:color w:val="254061" w:themeColor="accent1" w:themeShade="80"/>
    </w:rPr>
  </w:style>
  <w:style w:type="paragraph" w:styleId="9">
    <w:name w:val="heading 7"/>
    <w:basedOn w:val="1"/>
    <w:next w:val="1"/>
    <w:link w:val="153"/>
    <w:semiHidden/>
    <w:unhideWhenUsed/>
    <w:qFormat/>
    <w:uiPriority w:val="9"/>
    <w:pPr>
      <w:keepNext/>
      <w:keepLines/>
      <w:spacing w:before="200" w:after="0"/>
      <w:outlineLvl w:val="6"/>
    </w:pPr>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paragraph" w:styleId="10">
    <w:name w:val="heading 8"/>
    <w:basedOn w:val="1"/>
    <w:next w:val="1"/>
    <w:link w:val="154"/>
    <w:semiHidden/>
    <w:unhideWhenUsed/>
    <w:qFormat/>
    <w:uiPriority w:val="9"/>
    <w:pPr>
      <w:keepNext/>
      <w:keepLines/>
      <w:spacing w:before="200" w:after="0"/>
      <w:outlineLvl w:val="7"/>
    </w:pPr>
    <w:rPr>
      <w:rFonts w:asciiTheme="majorHAnsi" w:hAnsiTheme="majorHAnsi" w:eastAsiaTheme="majorEastAsia" w:cstheme="majorBidi"/>
      <w:color w:val="4F81BD" w:themeColor="accent1"/>
      <w:sz w:val="20"/>
      <w:szCs w:val="20"/>
      <w14:textFill>
        <w14:solidFill>
          <w14:schemeClr w14:val="accent1"/>
        </w14:solidFill>
      </w14:textFill>
    </w:rPr>
  </w:style>
  <w:style w:type="paragraph" w:styleId="11">
    <w:name w:val="heading 9"/>
    <w:basedOn w:val="1"/>
    <w:next w:val="1"/>
    <w:link w:val="155"/>
    <w:semiHidden/>
    <w:unhideWhenUsed/>
    <w:qFormat/>
    <w:uiPriority w:val="9"/>
    <w:pPr>
      <w:keepNext/>
      <w:keepLines/>
      <w:spacing w:before="200" w:after="0"/>
      <w:outlineLvl w:val="8"/>
    </w:pPr>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character" w:default="1" w:styleId="132">
    <w:name w:val="Default Paragraph Font"/>
    <w:semiHidden/>
    <w:unhideWhenUsed/>
    <w:qFormat/>
    <w:uiPriority w:val="1"/>
  </w:style>
  <w:style w:type="table" w:default="1" w:styleId="32">
    <w:name w:val="Normal Table"/>
    <w:semiHidden/>
    <w:unhideWhenUsed/>
    <w:qFormat/>
    <w:uiPriority w:val="99"/>
    <w:tblPr>
      <w:tblCellMar>
        <w:top w:w="0" w:type="dxa"/>
        <w:left w:w="108" w:type="dxa"/>
        <w:bottom w:w="0" w:type="dxa"/>
        <w:right w:w="108" w:type="dxa"/>
      </w:tblCellMar>
    </w:tblPr>
  </w:style>
  <w:style w:type="paragraph" w:styleId="2">
    <w:name w:val="macro"/>
    <w:link w:val="147"/>
    <w:unhideWhenUsed/>
    <w:qFormat/>
    <w:uiPriority w:val="99"/>
    <w:pPr>
      <w:tabs>
        <w:tab w:val="left" w:pos="576"/>
        <w:tab w:val="left" w:pos="1152"/>
        <w:tab w:val="left" w:pos="1728"/>
        <w:tab w:val="left" w:pos="2304"/>
        <w:tab w:val="left" w:pos="2880"/>
        <w:tab w:val="left" w:pos="3456"/>
        <w:tab w:val="left" w:pos="4032"/>
      </w:tabs>
      <w:spacing w:after="200" w:line="276" w:lineRule="auto"/>
    </w:pPr>
    <w:rPr>
      <w:rFonts w:ascii="Courier" w:hAnsi="Courier" w:eastAsiaTheme="minorEastAsia" w:cstheme="minorBidi"/>
      <w:sz w:val="20"/>
      <w:szCs w:val="20"/>
      <w:lang w:val="en-US" w:eastAsia="en-US" w:bidi="ar-SA"/>
    </w:rPr>
  </w:style>
  <w:style w:type="paragraph" w:styleId="12">
    <w:name w:val="List 3"/>
    <w:basedOn w:val="1"/>
    <w:unhideWhenUsed/>
    <w:qFormat/>
    <w:uiPriority w:val="99"/>
    <w:pPr>
      <w:ind w:left="1080" w:hanging="360"/>
      <w:contextualSpacing/>
    </w:pPr>
  </w:style>
  <w:style w:type="paragraph" w:styleId="13">
    <w:name w:val="List Number 2"/>
    <w:basedOn w:val="1"/>
    <w:unhideWhenUsed/>
    <w:qFormat/>
    <w:uiPriority w:val="99"/>
    <w:pPr>
      <w:numPr>
        <w:ilvl w:val="0"/>
        <w:numId w:val="1"/>
      </w:numPr>
      <w:contextualSpacing/>
    </w:pPr>
  </w:style>
  <w:style w:type="paragraph" w:styleId="14">
    <w:name w:val="List Number"/>
    <w:basedOn w:val="1"/>
    <w:unhideWhenUsed/>
    <w:qFormat/>
    <w:uiPriority w:val="99"/>
    <w:pPr>
      <w:numPr>
        <w:ilvl w:val="0"/>
        <w:numId w:val="2"/>
      </w:numPr>
      <w:contextualSpacing/>
    </w:pPr>
  </w:style>
  <w:style w:type="paragraph" w:styleId="15">
    <w:name w:val="caption"/>
    <w:basedOn w:val="1"/>
    <w:next w:val="1"/>
    <w:semiHidden/>
    <w:unhideWhenUsed/>
    <w:qFormat/>
    <w:uiPriority w:val="35"/>
    <w:pPr>
      <w:spacing w:line="240" w:lineRule="auto"/>
    </w:pPr>
    <w:rPr>
      <w:b/>
      <w:bCs/>
      <w:color w:val="4F81BD" w:themeColor="accent1"/>
      <w:sz w:val="18"/>
      <w:szCs w:val="18"/>
      <w14:textFill>
        <w14:solidFill>
          <w14:schemeClr w14:val="accent1"/>
        </w14:solidFill>
      </w14:textFill>
    </w:rPr>
  </w:style>
  <w:style w:type="paragraph" w:styleId="16">
    <w:name w:val="List Bullet"/>
    <w:basedOn w:val="1"/>
    <w:unhideWhenUsed/>
    <w:qFormat/>
    <w:uiPriority w:val="99"/>
    <w:pPr>
      <w:numPr>
        <w:ilvl w:val="0"/>
        <w:numId w:val="3"/>
      </w:numPr>
      <w:contextualSpacing/>
    </w:pPr>
  </w:style>
  <w:style w:type="paragraph" w:styleId="17">
    <w:name w:val="Body Text 3"/>
    <w:basedOn w:val="1"/>
    <w:link w:val="146"/>
    <w:unhideWhenUsed/>
    <w:qFormat/>
    <w:uiPriority w:val="99"/>
    <w:pPr>
      <w:spacing w:after="120"/>
    </w:pPr>
    <w:rPr>
      <w:sz w:val="16"/>
      <w:szCs w:val="16"/>
    </w:rPr>
  </w:style>
  <w:style w:type="paragraph" w:styleId="18">
    <w:name w:val="List Bullet 3"/>
    <w:basedOn w:val="1"/>
    <w:unhideWhenUsed/>
    <w:qFormat/>
    <w:uiPriority w:val="99"/>
    <w:pPr>
      <w:numPr>
        <w:ilvl w:val="0"/>
        <w:numId w:val="4"/>
      </w:numPr>
      <w:contextualSpacing/>
    </w:pPr>
  </w:style>
  <w:style w:type="paragraph" w:styleId="19">
    <w:name w:val="Body Text"/>
    <w:basedOn w:val="1"/>
    <w:link w:val="144"/>
    <w:unhideWhenUsed/>
    <w:qFormat/>
    <w:uiPriority w:val="99"/>
    <w:pPr>
      <w:spacing w:after="120"/>
    </w:pPr>
  </w:style>
  <w:style w:type="paragraph" w:styleId="20">
    <w:name w:val="List Number 3"/>
    <w:basedOn w:val="1"/>
    <w:unhideWhenUsed/>
    <w:qFormat/>
    <w:uiPriority w:val="99"/>
    <w:pPr>
      <w:numPr>
        <w:ilvl w:val="0"/>
        <w:numId w:val="5"/>
      </w:numPr>
      <w:contextualSpacing/>
    </w:pPr>
  </w:style>
  <w:style w:type="paragraph" w:styleId="21">
    <w:name w:val="List 2"/>
    <w:basedOn w:val="1"/>
    <w:unhideWhenUsed/>
    <w:qFormat/>
    <w:uiPriority w:val="99"/>
    <w:pPr>
      <w:ind w:left="720" w:hanging="360"/>
      <w:contextualSpacing/>
    </w:pPr>
  </w:style>
  <w:style w:type="paragraph" w:styleId="22">
    <w:name w:val="List Continue"/>
    <w:basedOn w:val="1"/>
    <w:unhideWhenUsed/>
    <w:qFormat/>
    <w:uiPriority w:val="99"/>
    <w:pPr>
      <w:spacing w:after="120"/>
      <w:ind w:left="360"/>
      <w:contextualSpacing/>
    </w:pPr>
  </w:style>
  <w:style w:type="paragraph" w:styleId="23">
    <w:name w:val="List Bullet 2"/>
    <w:basedOn w:val="1"/>
    <w:unhideWhenUsed/>
    <w:qFormat/>
    <w:uiPriority w:val="99"/>
    <w:pPr>
      <w:numPr>
        <w:ilvl w:val="0"/>
        <w:numId w:val="6"/>
      </w:numPr>
      <w:contextualSpacing/>
    </w:pPr>
  </w:style>
  <w:style w:type="paragraph" w:styleId="24">
    <w:name w:val="footer"/>
    <w:basedOn w:val="1"/>
    <w:link w:val="136"/>
    <w:unhideWhenUsed/>
    <w:qFormat/>
    <w:uiPriority w:val="99"/>
    <w:pPr>
      <w:tabs>
        <w:tab w:val="center" w:pos="4680"/>
        <w:tab w:val="right" w:pos="9360"/>
      </w:tabs>
      <w:spacing w:after="0" w:line="240" w:lineRule="auto"/>
    </w:pPr>
  </w:style>
  <w:style w:type="paragraph" w:styleId="25">
    <w:name w:val="header"/>
    <w:basedOn w:val="1"/>
    <w:link w:val="135"/>
    <w:unhideWhenUsed/>
    <w:uiPriority w:val="99"/>
    <w:pPr>
      <w:tabs>
        <w:tab w:val="center" w:pos="4680"/>
        <w:tab w:val="right" w:pos="9360"/>
      </w:tabs>
      <w:spacing w:after="0" w:line="240" w:lineRule="auto"/>
    </w:pPr>
  </w:style>
  <w:style w:type="paragraph" w:styleId="26">
    <w:name w:val="Subtitle"/>
    <w:basedOn w:val="1"/>
    <w:next w:val="1"/>
    <w:link w:val="142"/>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27">
    <w:name w:val="List"/>
    <w:basedOn w:val="1"/>
    <w:unhideWhenUsed/>
    <w:qFormat/>
    <w:uiPriority w:val="99"/>
    <w:pPr>
      <w:ind w:left="360" w:hanging="360"/>
      <w:contextualSpacing/>
    </w:pPr>
  </w:style>
  <w:style w:type="paragraph" w:styleId="28">
    <w:name w:val="Body Text 2"/>
    <w:basedOn w:val="1"/>
    <w:link w:val="145"/>
    <w:unhideWhenUsed/>
    <w:qFormat/>
    <w:uiPriority w:val="99"/>
    <w:pPr>
      <w:spacing w:after="120" w:line="480" w:lineRule="auto"/>
    </w:pPr>
  </w:style>
  <w:style w:type="paragraph" w:styleId="29">
    <w:name w:val="List Continue 2"/>
    <w:basedOn w:val="1"/>
    <w:unhideWhenUsed/>
    <w:qFormat/>
    <w:uiPriority w:val="99"/>
    <w:pPr>
      <w:spacing w:after="120"/>
      <w:ind w:left="720"/>
      <w:contextualSpacing/>
    </w:pPr>
  </w:style>
  <w:style w:type="paragraph" w:styleId="30">
    <w:name w:val="List Continue 3"/>
    <w:basedOn w:val="1"/>
    <w:unhideWhenUsed/>
    <w:qFormat/>
    <w:uiPriority w:val="99"/>
    <w:pPr>
      <w:spacing w:after="120"/>
      <w:ind w:left="1080"/>
      <w:contextualSpacing/>
    </w:pPr>
  </w:style>
  <w:style w:type="paragraph" w:styleId="31">
    <w:name w:val="Title"/>
    <w:basedOn w:val="1"/>
    <w:next w:val="1"/>
    <w:link w:val="141"/>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table" w:styleId="33">
    <w:name w:val="Table Grid"/>
    <w:basedOn w:val="32"/>
    <w:qFormat/>
    <w:uiPriority w:val="5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table" w:styleId="34">
    <w:name w:val="Light Shading"/>
    <w:basedOn w:val="32"/>
    <w:qFormat/>
    <w:uiPriority w:val="60"/>
    <w:pPr>
      <w:spacing w:after="0" w:line="240" w:lineRule="auto"/>
    </w:pPr>
    <w:rPr>
      <w:color w:val="000000" w:themeColor="text1" w:themeShade="BF"/>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left w:val="nil"/>
          <w:right w:val="nil"/>
          <w:insideH w:val="nil"/>
          <w:insideV w:val="nil"/>
        </w:tcBorders>
        <w:shd w:val="clear" w:color="auto" w:fill="BFBFBF" w:themeFill="text1" w:themeFillTint="3F"/>
      </w:tcPr>
    </w:tblStylePr>
  </w:style>
  <w:style w:type="table" w:styleId="35">
    <w:name w:val="Light Shading Accent 1"/>
    <w:basedOn w:val="32"/>
    <w:qFormat/>
    <w:uiPriority w:val="60"/>
    <w:pPr>
      <w:spacing w:after="0" w:line="240" w:lineRule="auto"/>
    </w:pPr>
    <w:rPr>
      <w:color w:val="376092" w:themeColor="accent1" w:themeShade="BF"/>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lastRow">
      <w:pPr>
        <w:spacing w:before="0" w:after="0" w:line="240" w:lineRule="auto"/>
      </w:pPr>
      <w:rPr>
        <w:b/>
        <w:bCs/>
      </w:rPr>
      <w:tblPr/>
      <w:tcPr>
        <w:tcBorders>
          <w:top w:val="single" w:color="4F81BD" w:themeColor="accent1" w:sz="8" w:space="0"/>
          <w:left w:val="nil"/>
          <w:bottom w:val="single" w:color="4F81BD"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36">
    <w:name w:val="Light Shading Accent 2"/>
    <w:basedOn w:val="32"/>
    <w:qFormat/>
    <w:uiPriority w:val="60"/>
    <w:pPr>
      <w:spacing w:after="0" w:line="240" w:lineRule="auto"/>
    </w:pPr>
    <w:rPr>
      <w:color w:val="953735" w:themeColor="accent2" w:themeShade="BF"/>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lastRow">
      <w:pPr>
        <w:spacing w:before="0" w:after="0" w:line="240" w:lineRule="auto"/>
      </w:pPr>
      <w:rPr>
        <w:b/>
        <w:bCs/>
      </w:rPr>
      <w:tblPr/>
      <w:tcPr>
        <w:tcBorders>
          <w:top w:val="single" w:color="C0504D" w:themeColor="accent2" w:sz="8" w:space="0"/>
          <w:left w:val="nil"/>
          <w:bottom w:val="single" w:color="C0504D"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left w:val="nil"/>
          <w:right w:val="nil"/>
          <w:insideH w:val="nil"/>
          <w:insideV w:val="nil"/>
        </w:tcBorders>
        <w:shd w:val="clear" w:color="auto" w:fill="EFD3D3" w:themeFill="accent2" w:themeFillTint="3F"/>
      </w:tcPr>
    </w:tblStylePr>
  </w:style>
  <w:style w:type="table" w:styleId="37">
    <w:name w:val="Light Shading Accent 3"/>
    <w:basedOn w:val="32"/>
    <w:qFormat/>
    <w:uiPriority w:val="60"/>
    <w:pPr>
      <w:spacing w:after="0" w:line="240" w:lineRule="auto"/>
    </w:pPr>
    <w:rPr>
      <w:color w:val="77933C" w:themeColor="accent3" w:themeShade="BF"/>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lastRow">
      <w:pPr>
        <w:spacing w:before="0" w:after="0" w:line="240" w:lineRule="auto"/>
      </w:pPr>
      <w:rPr>
        <w:b/>
        <w:bCs/>
      </w:rPr>
      <w:tblPr/>
      <w:tcPr>
        <w:tcBorders>
          <w:top w:val="single" w:color="9BBB59" w:themeColor="accent3" w:sz="8" w:space="0"/>
          <w:left w:val="nil"/>
          <w:bottom w:val="single" w:color="9BBB59"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38">
    <w:name w:val="Light Shading Accent 4"/>
    <w:basedOn w:val="32"/>
    <w:qFormat/>
    <w:uiPriority w:val="60"/>
    <w:pPr>
      <w:spacing w:after="0" w:line="240" w:lineRule="auto"/>
    </w:pPr>
    <w:rPr>
      <w:color w:val="604A7B" w:themeColor="accent4" w:themeShade="BF"/>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lastRow">
      <w:pPr>
        <w:spacing w:before="0" w:after="0" w:line="240" w:lineRule="auto"/>
      </w:pPr>
      <w:rPr>
        <w:b/>
        <w:bCs/>
      </w:rPr>
      <w:tblPr/>
      <w:tcPr>
        <w:tcBorders>
          <w:top w:val="single" w:color="8064A2" w:themeColor="accent4" w:sz="8" w:space="0"/>
          <w:left w:val="nil"/>
          <w:bottom w:val="single" w:color="8064A2"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39">
    <w:name w:val="Light Shading Accent 5"/>
    <w:basedOn w:val="32"/>
    <w:qFormat/>
    <w:uiPriority w:val="60"/>
    <w:pPr>
      <w:spacing w:after="0" w:line="240" w:lineRule="auto"/>
    </w:pPr>
    <w:rPr>
      <w:color w:val="31859C" w:themeColor="accent5" w:themeShade="BF"/>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lastRow">
      <w:pPr>
        <w:spacing w:before="0" w:after="0" w:line="240" w:lineRule="auto"/>
      </w:pPr>
      <w:rPr>
        <w:b/>
        <w:bCs/>
      </w:rPr>
      <w:tblPr/>
      <w:tcPr>
        <w:tcBorders>
          <w:top w:val="single" w:color="4BACC6" w:themeColor="accent5" w:sz="8" w:space="0"/>
          <w:left w:val="nil"/>
          <w:bottom w:val="single" w:color="4BACC6"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left w:val="nil"/>
          <w:right w:val="nil"/>
          <w:insideH w:val="nil"/>
          <w:insideV w:val="nil"/>
        </w:tcBorders>
        <w:shd w:val="clear" w:color="auto" w:fill="D2EAF0" w:themeFill="accent5" w:themeFillTint="3F"/>
      </w:tcPr>
    </w:tblStylePr>
  </w:style>
  <w:style w:type="table" w:styleId="40">
    <w:name w:val="Light Shading Accent 6"/>
    <w:basedOn w:val="32"/>
    <w:qFormat/>
    <w:uiPriority w:val="60"/>
    <w:pPr>
      <w:spacing w:after="0" w:line="240" w:lineRule="auto"/>
    </w:pPr>
    <w:rPr>
      <w:color w:val="E46C0A" w:themeColor="accent6" w:themeShade="BF"/>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lastRow">
      <w:pPr>
        <w:spacing w:before="0" w:after="0" w:line="240" w:lineRule="auto"/>
      </w:pPr>
      <w:rPr>
        <w:b/>
        <w:bCs/>
      </w:rPr>
      <w:tblPr/>
      <w:tcPr>
        <w:tcBorders>
          <w:top w:val="single" w:color="F79646" w:themeColor="accent6" w:sz="8" w:space="0"/>
          <w:left w:val="nil"/>
          <w:bottom w:val="single" w:color="F79646"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left w:val="nil"/>
          <w:right w:val="nil"/>
          <w:insideH w:val="nil"/>
          <w:insideV w:val="nil"/>
        </w:tcBorders>
        <w:shd w:val="clear" w:color="auto" w:fill="FDE5D1" w:themeFill="accent6" w:themeFillTint="3F"/>
      </w:tcPr>
    </w:tblStylePr>
  </w:style>
  <w:style w:type="table" w:styleId="41">
    <w:name w:val="Light List"/>
    <w:basedOn w:val="32"/>
    <w:uiPriority w:val="61"/>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42">
    <w:name w:val="Light List Accent 1"/>
    <w:basedOn w:val="32"/>
    <w:uiPriority w:val="61"/>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F81BD" w:themeFill="accent1"/>
      </w:tcPr>
    </w:tblStylePr>
    <w:tblStylePr w:type="lastRow">
      <w:pPr>
        <w:spacing w:before="0" w:after="0" w:line="240" w:lineRule="auto"/>
      </w:pPr>
      <w:rPr>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tcBorders>
      </w:tcPr>
    </w:tblStylePr>
    <w:tblStylePr w:type="firstCol">
      <w:rPr>
        <w:b/>
        <w:bCs/>
      </w:rPr>
    </w:tblStylePr>
    <w:tblStylePr w:type="lastCol">
      <w:rPr>
        <w:b/>
        <w:bCs/>
      </w:r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style>
  <w:style w:type="table" w:styleId="43">
    <w:name w:val="Light List Accent 2"/>
    <w:basedOn w:val="32"/>
    <w:uiPriority w:val="61"/>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C0504D" w:themeFill="accent2"/>
      </w:tcPr>
    </w:tblStylePr>
    <w:tblStylePr w:type="lastRow">
      <w:pPr>
        <w:spacing w:before="0" w:after="0" w:line="240" w:lineRule="auto"/>
      </w:pPr>
      <w:rPr>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tcBorders>
      </w:tcPr>
    </w:tblStylePr>
    <w:tblStylePr w:type="firstCol">
      <w:rPr>
        <w:b/>
        <w:bCs/>
      </w:rPr>
    </w:tblStylePr>
    <w:tblStylePr w:type="lastCol">
      <w:rPr>
        <w:b/>
        <w:bCs/>
      </w:r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style>
  <w:style w:type="table" w:styleId="44">
    <w:name w:val="Light List Accent 3"/>
    <w:basedOn w:val="32"/>
    <w:uiPriority w:val="61"/>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9BBB59" w:themeFill="accent3"/>
      </w:tcPr>
    </w:tblStylePr>
    <w:tblStylePr w:type="lastRow">
      <w:pPr>
        <w:spacing w:before="0" w:after="0" w:line="240" w:lineRule="auto"/>
      </w:pPr>
      <w:rPr>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tcBorders>
      </w:tcPr>
    </w:tblStylePr>
    <w:tblStylePr w:type="firstCol">
      <w:rPr>
        <w:b/>
        <w:bCs/>
      </w:rPr>
    </w:tblStylePr>
    <w:tblStylePr w:type="lastCol">
      <w:rPr>
        <w:b/>
        <w:bCs/>
      </w:r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style>
  <w:style w:type="table" w:styleId="45">
    <w:name w:val="Light List Accent 4"/>
    <w:basedOn w:val="32"/>
    <w:uiPriority w:val="61"/>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8064A2" w:themeFill="accent4"/>
      </w:tcPr>
    </w:tblStylePr>
    <w:tblStylePr w:type="lastRow">
      <w:pPr>
        <w:spacing w:before="0" w:after="0" w:line="240" w:lineRule="auto"/>
      </w:pPr>
      <w:rPr>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tcBorders>
      </w:tcPr>
    </w:tblStylePr>
    <w:tblStylePr w:type="firstCol">
      <w:rPr>
        <w:b/>
        <w:bCs/>
      </w:rPr>
    </w:tblStylePr>
    <w:tblStylePr w:type="lastCol">
      <w:rPr>
        <w:b/>
        <w:bCs/>
      </w:r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style>
  <w:style w:type="table" w:styleId="46">
    <w:name w:val="Light List Accent 5"/>
    <w:basedOn w:val="32"/>
    <w:uiPriority w:val="61"/>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4BACC6" w:themeFill="accent5"/>
      </w:tcPr>
    </w:tblStylePr>
    <w:tblStylePr w:type="lastRow">
      <w:pPr>
        <w:spacing w:before="0" w:after="0" w:line="240" w:lineRule="auto"/>
      </w:pPr>
      <w:rPr>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tcBorders>
      </w:tcPr>
    </w:tblStylePr>
    <w:tblStylePr w:type="firstCol">
      <w:rPr>
        <w:b/>
        <w:bCs/>
      </w:rPr>
    </w:tblStylePr>
    <w:tblStylePr w:type="lastCol">
      <w:rPr>
        <w:b/>
        <w:bCs/>
      </w:r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style>
  <w:style w:type="table" w:styleId="47">
    <w:name w:val="Light List Accent 6"/>
    <w:basedOn w:val="32"/>
    <w:uiPriority w:val="61"/>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shd w:val="clear" w:color="auto" w:fill="F79646" w:themeFill="accent6"/>
      </w:tcPr>
    </w:tblStylePr>
    <w:tblStylePr w:type="lastRow">
      <w:pPr>
        <w:spacing w:before="0" w:after="0" w:line="240" w:lineRule="auto"/>
      </w:pPr>
      <w:rPr>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tcBorders>
      </w:tcPr>
    </w:tblStylePr>
    <w:tblStylePr w:type="firstCol">
      <w:rPr>
        <w:b/>
        <w:bCs/>
      </w:rPr>
    </w:tblStylePr>
    <w:tblStylePr w:type="lastCol">
      <w:rPr>
        <w:b/>
        <w:bCs/>
      </w:r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style>
  <w:style w:type="table" w:styleId="48">
    <w:name w:val="Light Grid"/>
    <w:basedOn w:val="32"/>
    <w:qFormat/>
    <w:uiPriority w:val="62"/>
    <w:pPr>
      <w:spacing w:after="0" w:line="240" w:lineRule="auto"/>
    </w:p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BFBFBF"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shd w:val="clear" w:color="auto" w:fill="BFBFBF"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sz="8" w:space="0"/>
        </w:tcBorders>
      </w:tcPr>
    </w:tblStylePr>
  </w:style>
  <w:style w:type="table" w:styleId="49">
    <w:name w:val="Light Grid Accent 1"/>
    <w:basedOn w:val="32"/>
    <w:uiPriority w:val="62"/>
    <w:pPr>
      <w:spacing w:after="0" w:line="240" w:lineRule="auto"/>
    </w:p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18" w:space="0"/>
          <w:right w:val="single" w:color="4F81BD" w:themeColor="accent1"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F81BD" w:themeColor="accent1" w:sz="6" w:space="0"/>
          <w:left w:val="single" w:color="4F81BD" w:themeColor="accent1" w:sz="8" w:space="0"/>
          <w:bottom w:val="single" w:color="4F81BD" w:themeColor="accent1" w:sz="8" w:space="0"/>
          <w:right w:val="single" w:color="4F81BD" w:themeColor="accent1"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tcPr>
    </w:tblStylePr>
    <w:tblStylePr w:type="band1Vert">
      <w:tblPr/>
      <w:tcPr>
        <w:tcBorders>
          <w:top w:val="single" w:color="4F81BD" w:themeColor="accent1" w:sz="8" w:space="0"/>
          <w:left w:val="single" w:color="4F81BD" w:themeColor="accent1" w:sz="8" w:space="0"/>
          <w:bottom w:val="single" w:color="4F81BD" w:themeColor="accent1" w:sz="8" w:space="0"/>
          <w:right w:val="single" w:color="4F81BD" w:themeColor="accent1" w:sz="8" w:space="0"/>
        </w:tcBorders>
        <w:shd w:val="clear" w:color="auto" w:fill="D3DFEE" w:themeFill="accent1" w:themeFillTint="3F"/>
      </w:tcPr>
    </w:tblStylePr>
    <w:tblStylePr w:type="band1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shd w:val="clear" w:color="auto" w:fill="D3DFEE" w:themeFill="accent1" w:themeFillTint="3F"/>
      </w:tcPr>
    </w:tblStylePr>
    <w:tblStylePr w:type="band2Horz">
      <w:tblPr/>
      <w:tcPr>
        <w:tcBorders>
          <w:top w:val="single" w:color="4F81BD" w:themeColor="accent1" w:sz="8" w:space="0"/>
          <w:left w:val="single" w:color="4F81BD" w:themeColor="accent1" w:sz="8" w:space="0"/>
          <w:bottom w:val="single" w:color="4F81BD" w:themeColor="accent1" w:sz="8" w:space="0"/>
          <w:right w:val="single" w:color="4F81BD" w:themeColor="accent1" w:sz="8" w:space="0"/>
          <w:insideV w:val="single" w:sz="8" w:space="0"/>
        </w:tcBorders>
      </w:tcPr>
    </w:tblStylePr>
  </w:style>
  <w:style w:type="table" w:styleId="50">
    <w:name w:val="Light Grid Accent 2"/>
    <w:basedOn w:val="32"/>
    <w:uiPriority w:val="62"/>
    <w:pPr>
      <w:spacing w:after="0" w:line="240" w:lineRule="auto"/>
    </w:p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18" w:space="0"/>
          <w:right w:val="single" w:color="C0504D" w:themeColor="accent2"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C0504D" w:themeColor="accent2" w:sz="6" w:space="0"/>
          <w:left w:val="single" w:color="C0504D" w:themeColor="accent2" w:sz="8" w:space="0"/>
          <w:bottom w:val="single" w:color="C0504D" w:themeColor="accent2" w:sz="8" w:space="0"/>
          <w:right w:val="single" w:color="C0504D" w:themeColor="accent2"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tcPr>
    </w:tblStylePr>
    <w:tblStylePr w:type="band1Vert">
      <w:tblPr/>
      <w:tcPr>
        <w:tcBorders>
          <w:top w:val="single" w:color="C0504D" w:themeColor="accent2" w:sz="8" w:space="0"/>
          <w:left w:val="single" w:color="C0504D" w:themeColor="accent2" w:sz="8" w:space="0"/>
          <w:bottom w:val="single" w:color="C0504D" w:themeColor="accent2" w:sz="8" w:space="0"/>
          <w:right w:val="single" w:color="C0504D" w:themeColor="accent2" w:sz="8" w:space="0"/>
        </w:tcBorders>
        <w:shd w:val="clear" w:color="auto" w:fill="EFD3D3" w:themeFill="accent2" w:themeFillTint="3F"/>
      </w:tcPr>
    </w:tblStylePr>
    <w:tblStylePr w:type="band1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shd w:val="clear" w:color="auto" w:fill="EFD3D3" w:themeFill="accent2" w:themeFillTint="3F"/>
      </w:tcPr>
    </w:tblStylePr>
    <w:tblStylePr w:type="band2Horz">
      <w:tblPr/>
      <w:tcPr>
        <w:tcBorders>
          <w:top w:val="single" w:color="C0504D" w:themeColor="accent2" w:sz="8" w:space="0"/>
          <w:left w:val="single" w:color="C0504D" w:themeColor="accent2" w:sz="8" w:space="0"/>
          <w:bottom w:val="single" w:color="C0504D" w:themeColor="accent2" w:sz="8" w:space="0"/>
          <w:right w:val="single" w:color="C0504D" w:themeColor="accent2" w:sz="8" w:space="0"/>
          <w:insideV w:val="single" w:sz="8" w:space="0"/>
        </w:tcBorders>
      </w:tcPr>
    </w:tblStylePr>
  </w:style>
  <w:style w:type="table" w:styleId="51">
    <w:name w:val="Light Grid Accent 3"/>
    <w:basedOn w:val="32"/>
    <w:qFormat/>
    <w:uiPriority w:val="62"/>
    <w:pPr>
      <w:spacing w:after="0" w:line="240" w:lineRule="auto"/>
    </w:p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18" w:space="0"/>
          <w:right w:val="single" w:color="9BBB59" w:themeColor="accent3"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9BBB59" w:themeColor="accent3" w:sz="6" w:space="0"/>
          <w:left w:val="single" w:color="9BBB59" w:themeColor="accent3" w:sz="8" w:space="0"/>
          <w:bottom w:val="single" w:color="9BBB59" w:themeColor="accent3" w:sz="8" w:space="0"/>
          <w:right w:val="single" w:color="9BBB59" w:themeColor="accent3"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tcPr>
    </w:tblStylePr>
    <w:tblStylePr w:type="band1Vert">
      <w:tblPr/>
      <w:tcPr>
        <w:tcBorders>
          <w:top w:val="single" w:color="9BBB59" w:themeColor="accent3" w:sz="8" w:space="0"/>
          <w:left w:val="single" w:color="9BBB59" w:themeColor="accent3" w:sz="8" w:space="0"/>
          <w:bottom w:val="single" w:color="9BBB59" w:themeColor="accent3" w:sz="8" w:space="0"/>
          <w:right w:val="single" w:color="9BBB59" w:themeColor="accent3" w:sz="8" w:space="0"/>
        </w:tcBorders>
        <w:shd w:val="clear" w:color="auto" w:fill="E6EED5" w:themeFill="accent3" w:themeFillTint="3F"/>
      </w:tcPr>
    </w:tblStylePr>
    <w:tblStylePr w:type="band1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shd w:val="clear" w:color="auto" w:fill="E6EED5" w:themeFill="accent3" w:themeFillTint="3F"/>
      </w:tcPr>
    </w:tblStylePr>
    <w:tblStylePr w:type="band2Horz">
      <w:tblPr/>
      <w:tcPr>
        <w:tcBorders>
          <w:top w:val="single" w:color="9BBB59" w:themeColor="accent3" w:sz="8" w:space="0"/>
          <w:left w:val="single" w:color="9BBB59" w:themeColor="accent3" w:sz="8" w:space="0"/>
          <w:bottom w:val="single" w:color="9BBB59" w:themeColor="accent3" w:sz="8" w:space="0"/>
          <w:right w:val="single" w:color="9BBB59" w:themeColor="accent3" w:sz="8" w:space="0"/>
          <w:insideV w:val="single" w:sz="8" w:space="0"/>
        </w:tcBorders>
      </w:tcPr>
    </w:tblStylePr>
  </w:style>
  <w:style w:type="table" w:styleId="52">
    <w:name w:val="Light Grid Accent 4"/>
    <w:basedOn w:val="32"/>
    <w:qFormat/>
    <w:uiPriority w:val="62"/>
    <w:pPr>
      <w:spacing w:after="0" w:line="240" w:lineRule="auto"/>
    </w:p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18" w:space="0"/>
          <w:right w:val="single" w:color="8064A2" w:themeColor="accent4"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8064A2" w:themeColor="accent4" w:sz="6" w:space="0"/>
          <w:left w:val="single" w:color="8064A2" w:themeColor="accent4" w:sz="8" w:space="0"/>
          <w:bottom w:val="single" w:color="8064A2" w:themeColor="accent4" w:sz="8" w:space="0"/>
          <w:right w:val="single" w:color="8064A2" w:themeColor="accent4"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tcPr>
    </w:tblStylePr>
    <w:tblStylePr w:type="band1Vert">
      <w:tblPr/>
      <w:tcPr>
        <w:tcBorders>
          <w:top w:val="single" w:color="8064A2" w:themeColor="accent4" w:sz="8" w:space="0"/>
          <w:left w:val="single" w:color="8064A2" w:themeColor="accent4" w:sz="8" w:space="0"/>
          <w:bottom w:val="single" w:color="8064A2" w:themeColor="accent4" w:sz="8" w:space="0"/>
          <w:right w:val="single" w:color="8064A2" w:themeColor="accent4" w:sz="8" w:space="0"/>
        </w:tcBorders>
        <w:shd w:val="clear" w:color="auto" w:fill="DFD8E8" w:themeFill="accent4" w:themeFillTint="3F"/>
      </w:tcPr>
    </w:tblStylePr>
    <w:tblStylePr w:type="band1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shd w:val="clear" w:color="auto" w:fill="DFD8E8" w:themeFill="accent4" w:themeFillTint="3F"/>
      </w:tcPr>
    </w:tblStylePr>
    <w:tblStylePr w:type="band2Horz">
      <w:tblPr/>
      <w:tcPr>
        <w:tcBorders>
          <w:top w:val="single" w:color="8064A2" w:themeColor="accent4" w:sz="8" w:space="0"/>
          <w:left w:val="single" w:color="8064A2" w:themeColor="accent4" w:sz="8" w:space="0"/>
          <w:bottom w:val="single" w:color="8064A2" w:themeColor="accent4" w:sz="8" w:space="0"/>
          <w:right w:val="single" w:color="8064A2" w:themeColor="accent4" w:sz="8" w:space="0"/>
          <w:insideV w:val="single" w:sz="8" w:space="0"/>
        </w:tcBorders>
      </w:tcPr>
    </w:tblStylePr>
  </w:style>
  <w:style w:type="table" w:styleId="53">
    <w:name w:val="Light Grid Accent 5"/>
    <w:basedOn w:val="32"/>
    <w:qFormat/>
    <w:uiPriority w:val="62"/>
    <w:pPr>
      <w:spacing w:after="0" w:line="240" w:lineRule="auto"/>
    </w:p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18" w:space="0"/>
          <w:right w:val="single" w:color="4BACC6" w:themeColor="accent5"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4BACC6" w:themeColor="accent5" w:sz="6" w:space="0"/>
          <w:left w:val="single" w:color="4BACC6" w:themeColor="accent5" w:sz="8" w:space="0"/>
          <w:bottom w:val="single" w:color="4BACC6" w:themeColor="accent5" w:sz="8" w:space="0"/>
          <w:right w:val="single" w:color="4BACC6" w:themeColor="accent5"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tcPr>
    </w:tblStylePr>
    <w:tblStylePr w:type="band1Vert">
      <w:tblPr/>
      <w:tcPr>
        <w:tcBorders>
          <w:top w:val="single" w:color="4BACC6" w:themeColor="accent5" w:sz="8" w:space="0"/>
          <w:left w:val="single" w:color="4BACC6" w:themeColor="accent5" w:sz="8" w:space="0"/>
          <w:bottom w:val="single" w:color="4BACC6" w:themeColor="accent5" w:sz="8" w:space="0"/>
          <w:right w:val="single" w:color="4BACC6" w:themeColor="accent5" w:sz="8" w:space="0"/>
        </w:tcBorders>
        <w:shd w:val="clear" w:color="auto" w:fill="D2EAF0" w:themeFill="accent5" w:themeFillTint="3F"/>
      </w:tcPr>
    </w:tblStylePr>
    <w:tblStylePr w:type="band1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shd w:val="clear" w:color="auto" w:fill="D2EAF0" w:themeFill="accent5" w:themeFillTint="3F"/>
      </w:tcPr>
    </w:tblStylePr>
    <w:tblStylePr w:type="band2Horz">
      <w:tblPr/>
      <w:tcPr>
        <w:tcBorders>
          <w:top w:val="single" w:color="4BACC6" w:themeColor="accent5" w:sz="8" w:space="0"/>
          <w:left w:val="single" w:color="4BACC6" w:themeColor="accent5" w:sz="8" w:space="0"/>
          <w:bottom w:val="single" w:color="4BACC6" w:themeColor="accent5" w:sz="8" w:space="0"/>
          <w:right w:val="single" w:color="4BACC6" w:themeColor="accent5" w:sz="8" w:space="0"/>
          <w:insideV w:val="single" w:sz="8" w:space="0"/>
        </w:tcBorders>
      </w:tcPr>
    </w:tblStylePr>
  </w:style>
  <w:style w:type="table" w:styleId="54">
    <w:name w:val="Light Grid Accent 6"/>
    <w:basedOn w:val="32"/>
    <w:uiPriority w:val="62"/>
    <w:pPr>
      <w:spacing w:after="0" w:line="240" w:lineRule="auto"/>
    </w:p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blStylePr w:type="firstRow">
      <w:pPr>
        <w:spacing w:before="0" w:after="0" w:line="240" w:lineRule="auto"/>
      </w:pPr>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18" w:space="0"/>
          <w:right w:val="single" w:color="F79646" w:themeColor="accent6" w:sz="8" w:space="0"/>
          <w:insideH w:val="nil"/>
          <w:insideV w:val="single"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F79646" w:themeColor="accent6" w:sz="6" w:space="0"/>
          <w:left w:val="single" w:color="F79646" w:themeColor="accent6" w:sz="8" w:space="0"/>
          <w:bottom w:val="single" w:color="F79646" w:themeColor="accent6" w:sz="8" w:space="0"/>
          <w:right w:val="single" w:color="F79646" w:themeColor="accent6" w:sz="8" w:space="0"/>
          <w:insideH w:val="nil"/>
          <w:insideV w:val="single"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tcPr>
    </w:tblStylePr>
    <w:tblStylePr w:type="band1Vert">
      <w:tblPr/>
      <w:tcPr>
        <w:tcBorders>
          <w:top w:val="single" w:color="F79646" w:themeColor="accent6" w:sz="8" w:space="0"/>
          <w:left w:val="single" w:color="F79646" w:themeColor="accent6" w:sz="8" w:space="0"/>
          <w:bottom w:val="single" w:color="F79646" w:themeColor="accent6" w:sz="8" w:space="0"/>
          <w:right w:val="single" w:color="F79646" w:themeColor="accent6" w:sz="8" w:space="0"/>
        </w:tcBorders>
        <w:shd w:val="clear" w:color="auto" w:fill="FDE5D1" w:themeFill="accent6" w:themeFillTint="3F"/>
      </w:tcPr>
    </w:tblStylePr>
    <w:tblStylePr w:type="band1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shd w:val="clear" w:color="auto" w:fill="FDE5D1" w:themeFill="accent6" w:themeFillTint="3F"/>
      </w:tcPr>
    </w:tblStylePr>
    <w:tblStylePr w:type="band2Horz">
      <w:tblPr/>
      <w:tcPr>
        <w:tcBorders>
          <w:top w:val="single" w:color="F79646" w:themeColor="accent6" w:sz="8" w:space="0"/>
          <w:left w:val="single" w:color="F79646" w:themeColor="accent6" w:sz="8" w:space="0"/>
          <w:bottom w:val="single" w:color="F79646" w:themeColor="accent6" w:sz="8" w:space="0"/>
          <w:right w:val="single" w:color="F79646" w:themeColor="accent6" w:sz="8" w:space="0"/>
          <w:insideV w:val="single" w:sz="8" w:space="0"/>
        </w:tcBorders>
      </w:tcPr>
    </w:tblStylePr>
  </w:style>
  <w:style w:type="table" w:styleId="55">
    <w:name w:val="Medium Shading 1"/>
    <w:basedOn w:val="32"/>
    <w:uiPriority w:val="63"/>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3F3F3F" w:themeColor="text1" w:themeTint="BF" w:sz="6" w:space="0"/>
          <w:left w:val="single" w:color="3F3F3F" w:themeColor="text1" w:themeTint="BF" w:sz="8" w:space="0"/>
          <w:bottom w:val="single" w:color="3F3F3F" w:themeColor="text1" w:themeTint="BF" w:sz="8" w:space="0"/>
          <w:right w:val="single" w:color="3F3F3F"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BFBFBF" w:themeFill="text1" w:themeFillTint="3F"/>
      </w:tcPr>
    </w:tblStylePr>
    <w:tblStylePr w:type="band1Horz">
      <w:tblPr/>
      <w:tcPr>
        <w:tcBorders>
          <w:insideH w:val="nil"/>
          <w:insideV w:val="nil"/>
        </w:tcBorders>
        <w:shd w:val="clear" w:color="auto" w:fill="BFBFBF" w:themeFill="text1" w:themeFillTint="3F"/>
      </w:tcPr>
    </w:tblStylePr>
    <w:tblStylePr w:type="band2Horz">
      <w:tblPr/>
      <w:tcPr>
        <w:tcBorders>
          <w:insideH w:val="nil"/>
          <w:insideV w:val="nil"/>
        </w:tcBorders>
      </w:tcPr>
    </w:tblStylePr>
  </w:style>
  <w:style w:type="table" w:styleId="56">
    <w:name w:val="Medium Shading 1 Accent 1"/>
    <w:basedOn w:val="32"/>
    <w:uiPriority w:val="63"/>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shd w:val="clear" w:color="auto" w:fill="4F81BD" w:themeFill="accent1"/>
      </w:tcPr>
    </w:tblStylePr>
    <w:tblStylePr w:type="lastRow">
      <w:pPr>
        <w:spacing w:before="0" w:after="0" w:line="240" w:lineRule="auto"/>
      </w:pPr>
      <w:rPr>
        <w:b/>
        <w:bCs/>
      </w:rPr>
      <w:tblPr/>
      <w:tcPr>
        <w:tcBorders>
          <w:top w:val="double" w:color="7BA0CD" w:themeColor="accent1" w:themeTint="BF" w:sz="6" w:space="0"/>
          <w:left w:val="single" w:color="7BA0CD" w:themeColor="accent1" w:themeTint="BF" w:sz="8" w:space="0"/>
          <w:bottom w:val="single" w:color="7BA0CD" w:themeColor="accent1" w:themeTint="BF" w:sz="8" w:space="0"/>
          <w:right w:val="single" w:color="7BA0CD"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57">
    <w:name w:val="Medium Shading 1 Accent 2"/>
    <w:basedOn w:val="32"/>
    <w:uiPriority w:val="63"/>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shd w:val="clear" w:color="auto" w:fill="C0504D" w:themeFill="accent2"/>
      </w:tcPr>
    </w:tblStylePr>
    <w:tblStylePr w:type="lastRow">
      <w:pPr>
        <w:spacing w:before="0" w:after="0" w:line="240" w:lineRule="auto"/>
      </w:pPr>
      <w:rPr>
        <w:b/>
        <w:bCs/>
      </w:rPr>
      <w:tblPr/>
      <w:tcPr>
        <w:tcBorders>
          <w:top w:val="double" w:color="CF7B79" w:themeColor="accent2" w:themeTint="BF" w:sz="6" w:space="0"/>
          <w:left w:val="single" w:color="CF7B79" w:themeColor="accent2" w:themeTint="BF" w:sz="8" w:space="0"/>
          <w:bottom w:val="single" w:color="CF7B79" w:themeColor="accent2" w:themeTint="BF" w:sz="8" w:space="0"/>
          <w:right w:val="single" w:color="CF7B79"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EFD3D3" w:themeFill="accent2" w:themeFillTint="3F"/>
      </w:tcPr>
    </w:tblStylePr>
    <w:tblStylePr w:type="band1Horz">
      <w:tblPr/>
      <w:tcPr>
        <w:tcBorders>
          <w:insideH w:val="nil"/>
          <w:insideV w:val="nil"/>
        </w:tcBorders>
        <w:shd w:val="clear" w:color="auto" w:fill="EFD3D3" w:themeFill="accent2" w:themeFillTint="3F"/>
      </w:tcPr>
    </w:tblStylePr>
    <w:tblStylePr w:type="band2Horz">
      <w:tblPr/>
      <w:tcPr>
        <w:tcBorders>
          <w:insideH w:val="nil"/>
          <w:insideV w:val="nil"/>
        </w:tcBorders>
      </w:tcPr>
    </w:tblStylePr>
  </w:style>
  <w:style w:type="table" w:styleId="58">
    <w:name w:val="Medium Shading 1 Accent 3"/>
    <w:basedOn w:val="32"/>
    <w:uiPriority w:val="63"/>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shd w:val="clear" w:color="auto" w:fill="9BBB59" w:themeFill="accent3"/>
      </w:tcPr>
    </w:tblStylePr>
    <w:tblStylePr w:type="lastRow">
      <w:pPr>
        <w:spacing w:before="0" w:after="0" w:line="240" w:lineRule="auto"/>
      </w:pPr>
      <w:rPr>
        <w:b/>
        <w:bCs/>
      </w:rPr>
      <w:tblPr/>
      <w:tcPr>
        <w:tcBorders>
          <w:top w:val="double" w:color="B4CC82" w:themeColor="accent3" w:themeTint="BF" w:sz="6" w:space="0"/>
          <w:left w:val="single" w:color="B4CC82" w:themeColor="accent3" w:themeTint="BF" w:sz="8" w:space="0"/>
          <w:bottom w:val="single" w:color="B4CC82" w:themeColor="accent3" w:themeTint="BF" w:sz="8" w:space="0"/>
          <w:right w:val="single" w:color="B4CC82"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59">
    <w:name w:val="Medium Shading 1 Accent 4"/>
    <w:basedOn w:val="32"/>
    <w:qFormat/>
    <w:uiPriority w:val="63"/>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shd w:val="clear" w:color="auto" w:fill="8064A2" w:themeFill="accent4"/>
      </w:tcPr>
    </w:tblStylePr>
    <w:tblStylePr w:type="lastRow">
      <w:pPr>
        <w:spacing w:before="0" w:after="0" w:line="240" w:lineRule="auto"/>
      </w:pPr>
      <w:rPr>
        <w:b/>
        <w:bCs/>
      </w:rPr>
      <w:tblPr/>
      <w:tcPr>
        <w:tcBorders>
          <w:top w:val="double" w:color="9F8AB9" w:themeColor="accent4" w:themeTint="BF" w:sz="6" w:space="0"/>
          <w:left w:val="single" w:color="9F8AB9" w:themeColor="accent4" w:themeTint="BF" w:sz="8" w:space="0"/>
          <w:bottom w:val="single" w:color="9F8AB9" w:themeColor="accent4" w:themeTint="BF" w:sz="8" w:space="0"/>
          <w:right w:val="single" w:color="9F8AB9"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60">
    <w:name w:val="Medium Shading 1 Accent 5"/>
    <w:basedOn w:val="32"/>
    <w:uiPriority w:val="63"/>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shd w:val="clear" w:color="auto" w:fill="4BACC6" w:themeFill="accent5"/>
      </w:tcPr>
    </w:tblStylePr>
    <w:tblStylePr w:type="lastRow">
      <w:pPr>
        <w:spacing w:before="0" w:after="0" w:line="240" w:lineRule="auto"/>
      </w:pPr>
      <w:rPr>
        <w:b/>
        <w:bCs/>
      </w:rPr>
      <w:tblPr/>
      <w:tcPr>
        <w:tcBorders>
          <w:top w:val="double" w:color="78C0D4" w:themeColor="accent5" w:themeTint="BF" w:sz="6" w:space="0"/>
          <w:left w:val="single" w:color="78C0D4" w:themeColor="accent5" w:themeTint="BF" w:sz="8" w:space="0"/>
          <w:bottom w:val="single" w:color="78C0D4" w:themeColor="accent5" w:themeTint="BF" w:sz="8" w:space="0"/>
          <w:right w:val="single" w:color="78C0D4"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D2EAF0" w:themeFill="accent5" w:themeFillTint="3F"/>
      </w:tcPr>
    </w:tblStylePr>
    <w:tblStylePr w:type="band1Horz">
      <w:tblPr/>
      <w:tcPr>
        <w:tcBorders>
          <w:insideH w:val="nil"/>
          <w:insideV w:val="nil"/>
        </w:tcBorders>
        <w:shd w:val="clear" w:color="auto" w:fill="D2EAF0" w:themeFill="accent5" w:themeFillTint="3F"/>
      </w:tcPr>
    </w:tblStylePr>
    <w:tblStylePr w:type="band2Horz">
      <w:tblPr/>
      <w:tcPr>
        <w:tcBorders>
          <w:insideH w:val="nil"/>
          <w:insideV w:val="nil"/>
        </w:tcBorders>
      </w:tcPr>
    </w:tblStylePr>
  </w:style>
  <w:style w:type="table" w:styleId="61">
    <w:name w:val="Medium Shading 1 Accent 6"/>
    <w:basedOn w:val="32"/>
    <w:uiPriority w:val="63"/>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shd w:val="clear" w:color="auto" w:fill="F79646" w:themeFill="accent6"/>
      </w:tcPr>
    </w:tblStylePr>
    <w:tblStylePr w:type="lastRow">
      <w:pPr>
        <w:spacing w:before="0" w:after="0" w:line="240" w:lineRule="auto"/>
      </w:pPr>
      <w:rPr>
        <w:b/>
        <w:bCs/>
      </w:rPr>
      <w:tblPr/>
      <w:tcPr>
        <w:tcBorders>
          <w:top w:val="double" w:color="F9B074" w:themeColor="accent6" w:themeTint="BF" w:sz="6" w:space="0"/>
          <w:left w:val="single" w:color="F9B074" w:themeColor="accent6" w:themeTint="BF" w:sz="8" w:space="0"/>
          <w:bottom w:val="single" w:color="F9B074" w:themeColor="accent6" w:themeTint="BF" w:sz="8" w:space="0"/>
          <w:right w:val="single" w:color="F9B074"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DE5D1" w:themeFill="accent6" w:themeFillTint="3F"/>
      </w:tcPr>
    </w:tblStylePr>
    <w:tblStylePr w:type="band1Horz">
      <w:tblPr/>
      <w:tcPr>
        <w:tcBorders>
          <w:insideH w:val="nil"/>
          <w:insideV w:val="nil"/>
        </w:tcBorders>
        <w:shd w:val="clear" w:color="auto" w:fill="FDE5D1" w:themeFill="accent6" w:themeFillTint="3F"/>
      </w:tcPr>
    </w:tblStylePr>
    <w:tblStylePr w:type="band2Horz">
      <w:tblPr/>
      <w:tcPr>
        <w:tcBorders>
          <w:insideH w:val="nil"/>
          <w:insideV w:val="nil"/>
        </w:tcBorders>
      </w:tcPr>
    </w:tblStylePr>
  </w:style>
  <w:style w:type="table" w:styleId="62">
    <w:name w:val="Medium Shading 2"/>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000000" w:themeFill="tex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3">
    <w:name w:val="Medium Shading 2 Accent 1"/>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F81BD" w:themeFill="accent1"/>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4">
    <w:name w:val="Medium Shading 2 Accent 2"/>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C0504D" w:themeFill="accent2"/>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5">
    <w:name w:val="Medium Shading 2 Accent 3"/>
    <w:basedOn w:val="32"/>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9BBB59" w:themeFill="accent3"/>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6">
    <w:name w:val="Medium Shading 2 Accent 4"/>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8064A2" w:themeFill="accent4"/>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7">
    <w:name w:val="Medium Shading 2 Accent 5"/>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4BACC6" w:themeFill="accent5"/>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8">
    <w:name w:val="Medium Shading 2 Accent 6"/>
    <w:basedOn w:val="32"/>
    <w:qFormat/>
    <w:uiPriority w:val="64"/>
    <w:pPr>
      <w:spacing w:after="0" w:line="240" w:lineRule="auto"/>
    </w:pPr>
    <w:tblPr>
      <w:tblBorders>
        <w:top w:val="single" w:color="auto" w:sz="18" w:space="0"/>
        <w:bottom w:val="single" w:color="auto" w:sz="18" w:space="0"/>
      </w:tblBorders>
      <w:tblCellMar>
        <w:top w:w="0" w:type="dxa"/>
        <w:left w:w="108" w:type="dxa"/>
        <w:bottom w:w="0" w:type="dxa"/>
        <w:right w:w="108" w:type="dxa"/>
      </w:tblCellMar>
    </w:tblPr>
    <w:tblStylePr w:type="firstRow">
      <w:pPr>
        <w:spacing w:before="0" w:after="0" w:line="240" w:lineRule="auto"/>
      </w:pPr>
      <w:rPr>
        <w:b/>
        <w:bCs/>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14:textFill>
          <w14:solidFill>
            <w14:schemeClr w14:val="bg1"/>
          </w14:solidFill>
        </w14:textFill>
      </w:rPr>
      <w:tblPr/>
      <w:tcPr>
        <w:tcBorders>
          <w:top w:val="nil"/>
          <w:left w:val="nil"/>
          <w:bottom w:val="single" w:color="auto" w:sz="18" w:space="0"/>
          <w:right w:val="nil"/>
          <w:insideH w:val="nil"/>
          <w:insideV w:val="nil"/>
        </w:tcBorders>
        <w:shd w:val="clear" w:color="auto" w:fill="F79646" w:themeFill="accent6"/>
      </w:tcPr>
    </w:tblStylePr>
    <w:tblStylePr w:type="lastCol">
      <w:rPr>
        <w:b/>
        <w:bCs/>
        <w:color w:val="FFFFFF" w:themeColor="background1"/>
        <w14:textFill>
          <w14:solidFill>
            <w14:schemeClr w14:val="bg1"/>
          </w14:solidFill>
        </w14:textFill>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7D7D7" w:themeFill="background1" w:themeFillShade="D8"/>
      </w:tcPr>
    </w:tblStylePr>
    <w:tblStylePr w:type="band1Horz">
      <w:tblPr/>
      <w:tcPr>
        <w:shd w:val="clear" w:color="auto" w:fill="D7D7D7" w:themeFill="background1" w:themeFillShade="D8"/>
      </w:tcPr>
    </w:tblStylePr>
    <w:tblStylePr w:type="neCell">
      <w:tblPr/>
      <w:tcPr>
        <w:tcBorders>
          <w:top w:val="single" w:color="auto" w:sz="18" w:space="0"/>
          <w:left w:val="nil"/>
          <w:bottom w:val="single" w:color="auto" w:sz="18" w:space="0"/>
          <w:right w:val="nil"/>
          <w:insideH w:val="nil"/>
          <w:insideV w:val="nil"/>
        </w:tcBorders>
      </w:tcPr>
    </w:tblStylePr>
    <w:tblStylePr w:type="nwCell">
      <w:rPr>
        <w:color w:val="FFFFFF" w:themeColor="background1"/>
        <w14:textFill>
          <w14:solidFill>
            <w14:schemeClr w14:val="bg1"/>
          </w14:solidFill>
        </w14:textFill>
      </w:rPr>
      <w:tblPr/>
      <w:tcPr>
        <w:tcBorders>
          <w:top w:val="single" w:color="auto" w:sz="18" w:space="0"/>
          <w:left w:val="nil"/>
          <w:bottom w:val="single" w:color="auto" w:sz="18" w:space="0"/>
          <w:right w:val="nil"/>
          <w:insideH w:val="nil"/>
          <w:insideV w:val="nil"/>
        </w:tcBorders>
      </w:tcPr>
    </w:tblStylePr>
  </w:style>
  <w:style w:type="table" w:styleId="69">
    <w:name w:val="Medium List 1"/>
    <w:basedOn w:val="32"/>
    <w:qFormat/>
    <w:uiPriority w:val="65"/>
    <w:pPr>
      <w:spacing w:after="0" w:line="240" w:lineRule="auto"/>
    </w:pPr>
    <w:rPr>
      <w:color w:val="000000" w:themeColor="text1"/>
      <w14:textFill>
        <w14:solidFill>
          <w14:schemeClr w14:val="tx1"/>
        </w14:solidFill>
      </w14:textFill>
    </w:rPr>
    <w:tblPr>
      <w:tblBorders>
        <w:top w:val="single" w:color="000000" w:themeColor="text1" w:sz="8" w:space="0"/>
        <w:bottom w:val="single" w:color="000000" w:themeColor="tex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1F497D" w:themeColor="text2"/>
        <w14:textFill>
          <w14:solidFill>
            <w14:schemeClr w14:val="tx2"/>
          </w14:solidFill>
        </w14:textFill>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BFBFBF" w:themeFill="text1" w:themeFillTint="3F"/>
      </w:tcPr>
    </w:tblStylePr>
    <w:tblStylePr w:type="band1Horz">
      <w:tblPr/>
      <w:tcPr>
        <w:shd w:val="clear" w:color="auto" w:fill="BFBFBF" w:themeFill="text1" w:themeFillTint="3F"/>
      </w:tcPr>
    </w:tblStylePr>
  </w:style>
  <w:style w:type="table" w:styleId="70">
    <w:name w:val="Medium List 1 Accent 1"/>
    <w:basedOn w:val="32"/>
    <w:qFormat/>
    <w:uiPriority w:val="65"/>
    <w:pPr>
      <w:spacing w:after="0" w:line="240" w:lineRule="auto"/>
    </w:pPr>
    <w:rPr>
      <w:color w:val="000000" w:themeColor="text1"/>
      <w14:textFill>
        <w14:solidFill>
          <w14:schemeClr w14:val="tx1"/>
        </w14:solidFill>
      </w14:textFill>
    </w:rPr>
    <w:tblPr>
      <w:tblBorders>
        <w:top w:val="single" w:color="4F81BD" w:themeColor="accent1" w:sz="8" w:space="0"/>
        <w:bottom w:val="single" w:color="4F81BD" w:themeColor="accent1"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F81BD" w:themeColor="accent1" w:sz="8" w:space="0"/>
        </w:tcBorders>
      </w:tcPr>
    </w:tblStylePr>
    <w:tblStylePr w:type="lastRow">
      <w:rPr>
        <w:b/>
        <w:bCs/>
        <w:color w:val="1F497D" w:themeColor="text2"/>
        <w14:textFill>
          <w14:solidFill>
            <w14:schemeClr w14:val="tx2"/>
          </w14:solidFill>
        </w14:textFill>
      </w:rPr>
      <w:tblPr/>
      <w:tcPr>
        <w:tcBorders>
          <w:top w:val="single" w:color="4F81BD" w:themeColor="accent1" w:sz="8" w:space="0"/>
          <w:bottom w:val="single" w:color="4F81BD" w:themeColor="accent1" w:sz="8" w:space="0"/>
        </w:tcBorders>
      </w:tcPr>
    </w:tblStylePr>
    <w:tblStylePr w:type="firstCol">
      <w:rPr>
        <w:b/>
        <w:bCs/>
      </w:rPr>
    </w:tblStylePr>
    <w:tblStylePr w:type="lastCol">
      <w:rPr>
        <w:b/>
        <w:bCs/>
      </w:rPr>
      <w:tblPr/>
      <w:tcPr>
        <w:tcBorders>
          <w:top w:val="single" w:color="4F81BD" w:themeColor="accent1" w:sz="8" w:space="0"/>
          <w:bottom w:val="single" w:color="4F81BD" w:themeColor="accent1" w:sz="8" w:space="0"/>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71">
    <w:name w:val="Medium List 1 Accent 2"/>
    <w:basedOn w:val="32"/>
    <w:qFormat/>
    <w:uiPriority w:val="65"/>
    <w:pPr>
      <w:spacing w:after="0" w:line="240" w:lineRule="auto"/>
    </w:pPr>
    <w:rPr>
      <w:color w:val="000000" w:themeColor="text1"/>
      <w14:textFill>
        <w14:solidFill>
          <w14:schemeClr w14:val="tx1"/>
        </w14:solidFill>
      </w14:textFill>
    </w:rPr>
    <w:tblPr>
      <w:tblBorders>
        <w:top w:val="single" w:color="C0504D" w:themeColor="accent2" w:sz="8" w:space="0"/>
        <w:bottom w:val="single" w:color="C0504D" w:themeColor="accent2"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C0504D" w:themeColor="accent2" w:sz="8" w:space="0"/>
        </w:tcBorders>
      </w:tcPr>
    </w:tblStylePr>
    <w:tblStylePr w:type="lastRow">
      <w:rPr>
        <w:b/>
        <w:bCs/>
        <w:color w:val="1F497D" w:themeColor="text2"/>
        <w14:textFill>
          <w14:solidFill>
            <w14:schemeClr w14:val="tx2"/>
          </w14:solidFill>
        </w14:textFill>
      </w:rPr>
      <w:tblPr/>
      <w:tcPr>
        <w:tcBorders>
          <w:top w:val="single" w:color="C0504D" w:themeColor="accent2" w:sz="8" w:space="0"/>
          <w:bottom w:val="single" w:color="C0504D" w:themeColor="accent2" w:sz="8" w:space="0"/>
        </w:tcBorders>
      </w:tcPr>
    </w:tblStylePr>
    <w:tblStylePr w:type="firstCol">
      <w:rPr>
        <w:b/>
        <w:bCs/>
      </w:rPr>
    </w:tblStylePr>
    <w:tblStylePr w:type="lastCol">
      <w:rPr>
        <w:b/>
        <w:bCs/>
      </w:rPr>
      <w:tblPr/>
      <w:tcPr>
        <w:tcBorders>
          <w:top w:val="single" w:color="C0504D" w:themeColor="accent2" w:sz="8" w:space="0"/>
          <w:bottom w:val="single" w:color="C0504D" w:themeColor="accent2" w:sz="8" w:space="0"/>
        </w:tcBorders>
      </w:tcPr>
    </w:tblStylePr>
    <w:tblStylePr w:type="band1Vert">
      <w:tblPr/>
      <w:tcPr>
        <w:shd w:val="clear" w:color="auto" w:fill="EFD3D3" w:themeFill="accent2" w:themeFillTint="3F"/>
      </w:tcPr>
    </w:tblStylePr>
    <w:tblStylePr w:type="band1Horz">
      <w:tblPr/>
      <w:tcPr>
        <w:shd w:val="clear" w:color="auto" w:fill="EFD3D3" w:themeFill="accent2" w:themeFillTint="3F"/>
      </w:tcPr>
    </w:tblStylePr>
  </w:style>
  <w:style w:type="table" w:styleId="72">
    <w:name w:val="Medium List 1 Accent 3"/>
    <w:basedOn w:val="32"/>
    <w:qFormat/>
    <w:uiPriority w:val="65"/>
    <w:pPr>
      <w:spacing w:after="0" w:line="240" w:lineRule="auto"/>
    </w:pPr>
    <w:rPr>
      <w:color w:val="000000" w:themeColor="text1"/>
      <w14:textFill>
        <w14:solidFill>
          <w14:schemeClr w14:val="tx1"/>
        </w14:solidFill>
      </w14:textFill>
    </w:rPr>
    <w:tblPr>
      <w:tblBorders>
        <w:top w:val="single" w:color="9BBB59" w:themeColor="accent3" w:sz="8" w:space="0"/>
        <w:bottom w:val="single" w:color="9BBB59" w:themeColor="accent3"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9BBB59" w:themeColor="accent3" w:sz="8" w:space="0"/>
        </w:tcBorders>
      </w:tcPr>
    </w:tblStylePr>
    <w:tblStylePr w:type="lastRow">
      <w:rPr>
        <w:b/>
        <w:bCs/>
        <w:color w:val="1F497D" w:themeColor="text2"/>
        <w14:textFill>
          <w14:solidFill>
            <w14:schemeClr w14:val="tx2"/>
          </w14:solidFill>
        </w14:textFill>
      </w:rPr>
      <w:tblPr/>
      <w:tcPr>
        <w:tcBorders>
          <w:top w:val="single" w:color="9BBB59" w:themeColor="accent3" w:sz="8" w:space="0"/>
          <w:bottom w:val="single" w:color="9BBB59" w:themeColor="accent3" w:sz="8" w:space="0"/>
        </w:tcBorders>
      </w:tcPr>
    </w:tblStylePr>
    <w:tblStylePr w:type="firstCol">
      <w:rPr>
        <w:b/>
        <w:bCs/>
      </w:rPr>
    </w:tblStylePr>
    <w:tblStylePr w:type="lastCol">
      <w:rPr>
        <w:b/>
        <w:bCs/>
      </w:rPr>
      <w:tblPr/>
      <w:tcPr>
        <w:tcBorders>
          <w:top w:val="single" w:color="9BBB59" w:themeColor="accent3" w:sz="8" w:space="0"/>
          <w:bottom w:val="single" w:color="9BBB59" w:themeColor="accent3" w:sz="8" w:space="0"/>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73">
    <w:name w:val="Medium List 1 Accent 4"/>
    <w:basedOn w:val="32"/>
    <w:qFormat/>
    <w:uiPriority w:val="65"/>
    <w:pPr>
      <w:spacing w:after="0" w:line="240" w:lineRule="auto"/>
    </w:pPr>
    <w:rPr>
      <w:color w:val="000000" w:themeColor="text1"/>
      <w14:textFill>
        <w14:solidFill>
          <w14:schemeClr w14:val="tx1"/>
        </w14:solidFill>
      </w14:textFill>
    </w:rPr>
    <w:tblPr>
      <w:tblBorders>
        <w:top w:val="single" w:color="8064A2" w:themeColor="accent4" w:sz="8" w:space="0"/>
        <w:bottom w:val="single" w:color="8064A2" w:themeColor="accent4"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8064A2" w:themeColor="accent4" w:sz="8" w:space="0"/>
        </w:tcBorders>
      </w:tcPr>
    </w:tblStylePr>
    <w:tblStylePr w:type="lastRow">
      <w:rPr>
        <w:b/>
        <w:bCs/>
        <w:color w:val="1F497D" w:themeColor="text2"/>
        <w14:textFill>
          <w14:solidFill>
            <w14:schemeClr w14:val="tx2"/>
          </w14:solidFill>
        </w14:textFill>
      </w:rPr>
      <w:tblPr/>
      <w:tcPr>
        <w:tcBorders>
          <w:top w:val="single" w:color="8064A2" w:themeColor="accent4" w:sz="8" w:space="0"/>
          <w:bottom w:val="single" w:color="8064A2" w:themeColor="accent4" w:sz="8" w:space="0"/>
        </w:tcBorders>
      </w:tcPr>
    </w:tblStylePr>
    <w:tblStylePr w:type="firstCol">
      <w:rPr>
        <w:b/>
        <w:bCs/>
      </w:rPr>
    </w:tblStylePr>
    <w:tblStylePr w:type="lastCol">
      <w:rPr>
        <w:b/>
        <w:bCs/>
      </w:rPr>
      <w:tblPr/>
      <w:tcPr>
        <w:tcBorders>
          <w:top w:val="single" w:color="8064A2" w:themeColor="accent4" w:sz="8" w:space="0"/>
          <w:bottom w:val="single" w:color="8064A2" w:themeColor="accent4" w:sz="8" w:space="0"/>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74">
    <w:name w:val="Medium List 1 Accent 5"/>
    <w:basedOn w:val="32"/>
    <w:qFormat/>
    <w:uiPriority w:val="65"/>
    <w:pPr>
      <w:spacing w:after="0" w:line="240" w:lineRule="auto"/>
    </w:pPr>
    <w:rPr>
      <w:color w:val="000000" w:themeColor="text1"/>
      <w14:textFill>
        <w14:solidFill>
          <w14:schemeClr w14:val="tx1"/>
        </w14:solidFill>
      </w14:textFill>
    </w:rPr>
    <w:tblPr>
      <w:tblBorders>
        <w:top w:val="single" w:color="4BACC6" w:themeColor="accent5" w:sz="8" w:space="0"/>
        <w:bottom w:val="single" w:color="4BACC6" w:themeColor="accent5"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4BACC6" w:themeColor="accent5" w:sz="8" w:space="0"/>
        </w:tcBorders>
      </w:tcPr>
    </w:tblStylePr>
    <w:tblStylePr w:type="lastRow">
      <w:rPr>
        <w:b/>
        <w:bCs/>
        <w:color w:val="1F497D" w:themeColor="text2"/>
        <w14:textFill>
          <w14:solidFill>
            <w14:schemeClr w14:val="tx2"/>
          </w14:solidFill>
        </w14:textFill>
      </w:rPr>
      <w:tblPr/>
      <w:tcPr>
        <w:tcBorders>
          <w:top w:val="single" w:color="4BACC6" w:themeColor="accent5" w:sz="8" w:space="0"/>
          <w:bottom w:val="single" w:color="4BACC6" w:themeColor="accent5" w:sz="8" w:space="0"/>
        </w:tcBorders>
      </w:tcPr>
    </w:tblStylePr>
    <w:tblStylePr w:type="firstCol">
      <w:rPr>
        <w:b/>
        <w:bCs/>
      </w:rPr>
    </w:tblStylePr>
    <w:tblStylePr w:type="lastCol">
      <w:rPr>
        <w:b/>
        <w:bCs/>
      </w:rPr>
      <w:tblPr/>
      <w:tcPr>
        <w:tcBorders>
          <w:top w:val="single" w:color="4BACC6" w:themeColor="accent5" w:sz="8" w:space="0"/>
          <w:bottom w:val="single" w:color="4BACC6" w:themeColor="accent5" w:sz="8" w:space="0"/>
        </w:tcBorders>
      </w:tcPr>
    </w:tblStylePr>
    <w:tblStylePr w:type="band1Vert">
      <w:tblPr/>
      <w:tcPr>
        <w:shd w:val="clear" w:color="auto" w:fill="D2EAF0" w:themeFill="accent5" w:themeFillTint="3F"/>
      </w:tcPr>
    </w:tblStylePr>
    <w:tblStylePr w:type="band1Horz">
      <w:tblPr/>
      <w:tcPr>
        <w:shd w:val="clear" w:color="auto" w:fill="D2EAF0" w:themeFill="accent5" w:themeFillTint="3F"/>
      </w:tcPr>
    </w:tblStylePr>
  </w:style>
  <w:style w:type="table" w:styleId="75">
    <w:name w:val="Medium List 1 Accent 6"/>
    <w:basedOn w:val="32"/>
    <w:qFormat/>
    <w:uiPriority w:val="65"/>
    <w:pPr>
      <w:spacing w:after="0" w:line="240" w:lineRule="auto"/>
    </w:pPr>
    <w:rPr>
      <w:color w:val="000000" w:themeColor="text1"/>
      <w14:textFill>
        <w14:solidFill>
          <w14:schemeClr w14:val="tx1"/>
        </w14:solidFill>
      </w14:textFill>
    </w:rPr>
    <w:tblPr>
      <w:tblBorders>
        <w:top w:val="single" w:color="F79646" w:themeColor="accent6" w:sz="8" w:space="0"/>
        <w:bottom w:val="single" w:color="F79646" w:themeColor="accent6" w:sz="8" w:space="0"/>
      </w:tblBorders>
      <w:tblCellMar>
        <w:top w:w="0" w:type="dxa"/>
        <w:left w:w="108" w:type="dxa"/>
        <w:bottom w:w="0" w:type="dxa"/>
        <w:right w:w="108" w:type="dxa"/>
      </w:tblCellMar>
    </w:tblPr>
    <w:tblStylePr w:type="firstRow">
      <w:rPr>
        <w:rFonts w:asciiTheme="majorHAnsi" w:hAnsiTheme="majorHAnsi" w:eastAsiaTheme="majorEastAsia" w:cstheme="majorBidi"/>
      </w:rPr>
      <w:tblPr/>
      <w:tcPr>
        <w:tcBorders>
          <w:top w:val="nil"/>
          <w:bottom w:val="single" w:color="F79646" w:themeColor="accent6" w:sz="8" w:space="0"/>
        </w:tcBorders>
      </w:tcPr>
    </w:tblStylePr>
    <w:tblStylePr w:type="lastRow">
      <w:rPr>
        <w:b/>
        <w:bCs/>
        <w:color w:val="1F497D" w:themeColor="text2"/>
        <w14:textFill>
          <w14:solidFill>
            <w14:schemeClr w14:val="tx2"/>
          </w14:solidFill>
        </w14:textFill>
      </w:rPr>
      <w:tblPr/>
      <w:tcPr>
        <w:tcBorders>
          <w:top w:val="single" w:color="F79646" w:themeColor="accent6" w:sz="8" w:space="0"/>
          <w:bottom w:val="single" w:color="F79646" w:themeColor="accent6" w:sz="8" w:space="0"/>
        </w:tcBorders>
      </w:tcPr>
    </w:tblStylePr>
    <w:tblStylePr w:type="firstCol">
      <w:rPr>
        <w:b/>
        <w:bCs/>
      </w:rPr>
    </w:tblStylePr>
    <w:tblStylePr w:type="lastCol">
      <w:rPr>
        <w:b/>
        <w:bCs/>
      </w:rPr>
      <w:tblPr/>
      <w:tcPr>
        <w:tcBorders>
          <w:top w:val="single" w:color="F79646" w:themeColor="accent6" w:sz="8" w:space="0"/>
          <w:bottom w:val="single" w:color="F79646" w:themeColor="accent6" w:sz="8" w:space="0"/>
        </w:tcBorders>
      </w:tcPr>
    </w:tblStylePr>
    <w:tblStylePr w:type="band1Vert">
      <w:tblPr/>
      <w:tcPr>
        <w:shd w:val="clear" w:color="auto" w:fill="FDE5D1" w:themeFill="accent6" w:themeFillTint="3F"/>
      </w:tcPr>
    </w:tblStylePr>
    <w:tblStylePr w:type="band1Horz">
      <w:tblPr/>
      <w:tcPr>
        <w:shd w:val="clear" w:color="auto" w:fill="FDE5D1" w:themeFill="accent6" w:themeFillTint="3F"/>
      </w:tcPr>
    </w:tblStylePr>
  </w:style>
  <w:style w:type="table" w:styleId="76">
    <w:name w:val="Medium Lis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tblBorders>
      <w:tblCellMar>
        <w:top w:w="0" w:type="dxa"/>
        <w:left w:w="108" w:type="dxa"/>
        <w:bottom w:w="0" w:type="dxa"/>
        <w:right w:w="108" w:type="dxa"/>
      </w:tblCellMar>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single" w:color="000000" w:themeColor="tex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FBFBF" w:themeFill="text1" w:themeFillTint="3F"/>
      </w:tcPr>
    </w:tblStylePr>
    <w:tblStylePr w:type="band1Horz">
      <w:tblPr/>
      <w:tcPr>
        <w:tcBorders>
          <w:top w:val="nil"/>
          <w:bottom w:val="nil"/>
          <w:insideH w:val="nil"/>
          <w:insideV w:val="nil"/>
        </w:tcBorders>
        <w:shd w:val="clear" w:color="auto" w:fill="BFBFBF"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77">
    <w:name w:val="Medium List 2 Accent 1"/>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tblBorders>
      <w:tblCellMar>
        <w:top w:w="0" w:type="dxa"/>
        <w:left w:w="108" w:type="dxa"/>
        <w:bottom w:w="0" w:type="dxa"/>
        <w:right w:w="108" w:type="dxa"/>
      </w:tblCellMar>
    </w:tblPr>
    <w:tblStylePr w:type="firstRow">
      <w:rPr>
        <w:sz w:val="24"/>
        <w:szCs w:val="24"/>
      </w:rPr>
      <w:tblPr/>
      <w:tcPr>
        <w:tcBorders>
          <w:top w:val="nil"/>
          <w:left w:val="nil"/>
          <w:bottom w:val="single" w:color="4F81BD" w:themeColor="accent1" w:sz="24" w:space="0"/>
          <w:right w:val="nil"/>
          <w:insideH w:val="nil"/>
          <w:insideV w:val="nil"/>
        </w:tcBorders>
        <w:shd w:val="clear" w:color="auto" w:fill="FFFFFF" w:themeFill="background1"/>
      </w:tcPr>
    </w:tblStylePr>
    <w:tblStylePr w:type="lastRow">
      <w:tblPr/>
      <w:tcPr>
        <w:tcBorders>
          <w:top w:val="single" w:color="4F81BD" w:themeColor="accent1"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F81BD" w:themeColor="accent1" w:sz="8" w:space="0"/>
          <w:insideH w:val="nil"/>
          <w:insideV w:val="nil"/>
        </w:tcBorders>
        <w:shd w:val="clear" w:color="auto" w:fill="FFFFFF" w:themeFill="background1"/>
      </w:tcPr>
    </w:tblStylePr>
    <w:tblStylePr w:type="lastCol">
      <w:tblPr/>
      <w:tcPr>
        <w:tcBorders>
          <w:top w:val="nil"/>
          <w:left w:val="single" w:color="4F81BD"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78">
    <w:name w:val="Medium List 2 Accent 2"/>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tblBorders>
      <w:tblCellMar>
        <w:top w:w="0" w:type="dxa"/>
        <w:left w:w="108" w:type="dxa"/>
        <w:bottom w:w="0" w:type="dxa"/>
        <w:right w:w="108" w:type="dxa"/>
      </w:tblCellMar>
    </w:tblPr>
    <w:tblStylePr w:type="firstRow">
      <w:rPr>
        <w:sz w:val="24"/>
        <w:szCs w:val="24"/>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tblPr/>
      <w:tcPr>
        <w:tcBorders>
          <w:top w:val="single" w:color="C0504D" w:themeColor="accent2"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C0504D" w:themeColor="accent2" w:sz="8" w:space="0"/>
          <w:insideH w:val="nil"/>
          <w:insideV w:val="nil"/>
        </w:tcBorders>
        <w:shd w:val="clear" w:color="auto" w:fill="FFFFFF" w:themeFill="background1"/>
      </w:tcPr>
    </w:tblStylePr>
    <w:tblStylePr w:type="lastCol">
      <w:tblPr/>
      <w:tcPr>
        <w:tcBorders>
          <w:top w:val="nil"/>
          <w:left w:val="single" w:color="C0504D"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3" w:themeFill="accent2" w:themeFillTint="3F"/>
      </w:tcPr>
    </w:tblStylePr>
    <w:tblStylePr w:type="band1Horz">
      <w:tblPr/>
      <w:tcPr>
        <w:tcBorders>
          <w:top w:val="nil"/>
          <w:bottom w:val="nil"/>
          <w:insideH w:val="nil"/>
          <w:insideV w:val="nil"/>
        </w:tcBorders>
        <w:shd w:val="clear" w:color="auto" w:fill="EFD3D3"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79">
    <w:name w:val="Medium List 2 Accent 3"/>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tblBorders>
      <w:tblCellMar>
        <w:top w:w="0" w:type="dxa"/>
        <w:left w:w="108" w:type="dxa"/>
        <w:bottom w:w="0" w:type="dxa"/>
        <w:right w:w="108" w:type="dxa"/>
      </w:tblCellMar>
    </w:tblPr>
    <w:tblStylePr w:type="firstRow">
      <w:rPr>
        <w:sz w:val="24"/>
        <w:szCs w:val="24"/>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tblPr/>
      <w:tcPr>
        <w:tcBorders>
          <w:top w:val="single" w:color="9BBB59" w:themeColor="accent3"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9BBB59" w:themeColor="accent3" w:sz="8" w:space="0"/>
          <w:insideH w:val="nil"/>
          <w:insideV w:val="nil"/>
        </w:tcBorders>
        <w:shd w:val="clear" w:color="auto" w:fill="FFFFFF" w:themeFill="background1"/>
      </w:tcPr>
    </w:tblStylePr>
    <w:tblStylePr w:type="lastCol">
      <w:tblPr/>
      <w:tcPr>
        <w:tcBorders>
          <w:top w:val="nil"/>
          <w:left w:val="single" w:color="9BBB59"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80">
    <w:name w:val="Medium List 2 Accent 4"/>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tblBorders>
      <w:tblCellMar>
        <w:top w:w="0" w:type="dxa"/>
        <w:left w:w="108" w:type="dxa"/>
        <w:bottom w:w="0" w:type="dxa"/>
        <w:right w:w="108" w:type="dxa"/>
      </w:tblCellMar>
    </w:tblPr>
    <w:tblStylePr w:type="firstRow">
      <w:rPr>
        <w:sz w:val="24"/>
        <w:szCs w:val="24"/>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tblPr/>
      <w:tcPr>
        <w:tcBorders>
          <w:top w:val="single" w:color="8064A2" w:themeColor="accent4"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8064A2" w:themeColor="accent4" w:sz="8" w:space="0"/>
          <w:insideH w:val="nil"/>
          <w:insideV w:val="nil"/>
        </w:tcBorders>
        <w:shd w:val="clear" w:color="auto" w:fill="FFFFFF" w:themeFill="background1"/>
      </w:tcPr>
    </w:tblStylePr>
    <w:tblStylePr w:type="lastCol">
      <w:tblPr/>
      <w:tcPr>
        <w:tcBorders>
          <w:top w:val="nil"/>
          <w:left w:val="single" w:color="8064A2"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81">
    <w:name w:val="Medium List 2 Accent 5"/>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tblBorders>
      <w:tblCellMar>
        <w:top w:w="0" w:type="dxa"/>
        <w:left w:w="108" w:type="dxa"/>
        <w:bottom w:w="0" w:type="dxa"/>
        <w:right w:w="108" w:type="dxa"/>
      </w:tblCellMar>
    </w:tblPr>
    <w:tblStylePr w:type="firstRow">
      <w:rPr>
        <w:sz w:val="24"/>
        <w:szCs w:val="24"/>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tblPr/>
      <w:tcPr>
        <w:tcBorders>
          <w:top w:val="single" w:color="4BACC6" w:themeColor="accent5"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4BACC6" w:themeColor="accent5" w:sz="8" w:space="0"/>
          <w:insideH w:val="nil"/>
          <w:insideV w:val="nil"/>
        </w:tcBorders>
        <w:shd w:val="clear" w:color="auto" w:fill="FFFFFF" w:themeFill="background1"/>
      </w:tcPr>
    </w:tblStylePr>
    <w:tblStylePr w:type="lastCol">
      <w:tblPr/>
      <w:tcPr>
        <w:tcBorders>
          <w:top w:val="nil"/>
          <w:left w:val="single" w:color="4BACC6"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0" w:themeFill="accent5" w:themeFillTint="3F"/>
      </w:tcPr>
    </w:tblStylePr>
    <w:tblStylePr w:type="band1Horz">
      <w:tblPr/>
      <w:tcPr>
        <w:tcBorders>
          <w:top w:val="nil"/>
          <w:bottom w:val="nil"/>
          <w:insideH w:val="nil"/>
          <w:insideV w:val="nil"/>
        </w:tcBorders>
        <w:shd w:val="clear" w:color="auto" w:fill="D2EAF0"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82">
    <w:name w:val="Medium List 2 Accent 6"/>
    <w:basedOn w:val="32"/>
    <w:qFormat/>
    <w:uiPriority w:val="66"/>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tblBorders>
      <w:tblCellMar>
        <w:top w:w="0" w:type="dxa"/>
        <w:left w:w="108" w:type="dxa"/>
        <w:bottom w:w="0" w:type="dxa"/>
        <w:right w:w="108" w:type="dxa"/>
      </w:tblCellMar>
    </w:tblPr>
    <w:tblStylePr w:type="firstRow">
      <w:rPr>
        <w:sz w:val="24"/>
        <w:szCs w:val="24"/>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tblPr/>
      <w:tcPr>
        <w:tcBorders>
          <w:top w:val="single" w:color="F79646" w:themeColor="accent6" w:sz="8" w:space="0"/>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F79646" w:themeColor="accent6" w:sz="8" w:space="0"/>
          <w:insideH w:val="nil"/>
          <w:insideV w:val="nil"/>
        </w:tcBorders>
        <w:shd w:val="clear" w:color="auto" w:fill="FFFFFF" w:themeFill="background1"/>
      </w:tcPr>
    </w:tblStylePr>
    <w:tblStylePr w:type="lastCol">
      <w:tblPr/>
      <w:tcPr>
        <w:tcBorders>
          <w:top w:val="nil"/>
          <w:left w:val="single" w:color="F79646"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5D1" w:themeFill="accent6" w:themeFillTint="3F"/>
      </w:tcPr>
    </w:tblStylePr>
    <w:tblStylePr w:type="band1Horz">
      <w:tblPr/>
      <w:tcPr>
        <w:tcBorders>
          <w:top w:val="nil"/>
          <w:bottom w:val="nil"/>
          <w:insideH w:val="nil"/>
          <w:insideV w:val="nil"/>
        </w:tcBorders>
        <w:shd w:val="clear" w:color="auto" w:fill="FDE5D1"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83">
    <w:name w:val="Medium Grid 1"/>
    <w:basedOn w:val="32"/>
    <w:qFormat/>
    <w:uiPriority w:val="67"/>
    <w:pPr>
      <w:spacing w:after="0" w:line="240" w:lineRule="auto"/>
    </w:pPr>
    <w:tblPr>
      <w:tblBorders>
        <w:top w:val="single" w:color="3F3F3F" w:themeColor="text1" w:themeTint="BF" w:sz="8" w:space="0"/>
        <w:left w:val="single" w:color="3F3F3F" w:themeColor="text1" w:themeTint="BF" w:sz="8" w:space="0"/>
        <w:bottom w:val="single" w:color="3F3F3F" w:themeColor="text1" w:themeTint="BF" w:sz="8" w:space="0"/>
        <w:right w:val="single" w:color="3F3F3F" w:themeColor="text1" w:themeTint="BF" w:sz="8" w:space="0"/>
        <w:insideH w:val="single" w:color="3F3F3F" w:themeColor="text1" w:themeTint="BF" w:sz="8" w:space="0"/>
        <w:insideV w:val="single" w:color="3F3F3F" w:themeColor="text1" w:themeTint="BF" w:sz="8" w:space="0"/>
      </w:tblBorders>
      <w:tblCellMar>
        <w:top w:w="0" w:type="dxa"/>
        <w:left w:w="108" w:type="dxa"/>
        <w:bottom w:w="0" w:type="dxa"/>
        <w:right w:w="108" w:type="dxa"/>
      </w:tblCellMar>
    </w:tblPr>
    <w:tcPr>
      <w:shd w:val="clear" w:color="auto" w:fill="BFBFBF" w:themeFill="text1" w:themeFillTint="3F"/>
    </w:tcPr>
    <w:tblStylePr w:type="firstRow">
      <w:rPr>
        <w:b/>
        <w:bCs/>
      </w:rPr>
    </w:tblStylePr>
    <w:tblStylePr w:type="lastRow">
      <w:rPr>
        <w:b/>
        <w:bCs/>
      </w:rPr>
      <w:tblPr/>
      <w:tcPr>
        <w:tcBorders>
          <w:top w:val="single" w:color="3F3F3F" w:themeColor="text1" w:themeTint="BF" w:sz="18" w:space="0"/>
        </w:tcBorders>
      </w:tcPr>
    </w:tblStylePr>
    <w:tblStylePr w:type="firstCol">
      <w:rPr>
        <w:b/>
        <w:bCs/>
      </w:rPr>
    </w:tblStylePr>
    <w:tblStylePr w:type="lastCol">
      <w:rPr>
        <w:b/>
        <w:bCs/>
      </w:r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84">
    <w:name w:val="Medium Grid 1 Accent 1"/>
    <w:basedOn w:val="32"/>
    <w:qFormat/>
    <w:uiPriority w:val="67"/>
    <w:pPr>
      <w:spacing w:after="0" w:line="240" w:lineRule="auto"/>
    </w:pPr>
    <w:tblPr>
      <w:tblBorders>
        <w:top w:val="single" w:color="7BA0CD" w:themeColor="accent1" w:themeTint="BF" w:sz="8" w:space="0"/>
        <w:left w:val="single" w:color="7BA0CD" w:themeColor="accent1" w:themeTint="BF" w:sz="8" w:space="0"/>
        <w:bottom w:val="single" w:color="7BA0CD" w:themeColor="accent1" w:themeTint="BF" w:sz="8" w:space="0"/>
        <w:right w:val="single" w:color="7BA0CD" w:themeColor="accent1" w:themeTint="BF" w:sz="8" w:space="0"/>
        <w:insideH w:val="single" w:color="7BA0CD" w:themeColor="accent1" w:themeTint="BF" w:sz="8" w:space="0"/>
        <w:insideV w:val="single" w:color="7BA0CD" w:themeColor="accent1" w:themeTint="BF" w:sz="8" w:space="0"/>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color="7BA0CD" w:themeColor="accent1" w:themeTint="BF" w:sz="18" w:space="0"/>
        </w:tcBorders>
      </w:tcPr>
    </w:tblStylePr>
    <w:tblStylePr w:type="firstCol">
      <w:rPr>
        <w:b/>
        <w:bCs/>
      </w:rPr>
    </w:tblStylePr>
    <w:tblStylePr w:type="lastCol">
      <w:rPr>
        <w:b/>
        <w:bCs/>
      </w:r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85">
    <w:name w:val="Medium Grid 1 Accent 2"/>
    <w:basedOn w:val="32"/>
    <w:qFormat/>
    <w:uiPriority w:val="67"/>
    <w:pPr>
      <w:spacing w:after="0" w:line="240" w:lineRule="auto"/>
    </w:pPr>
    <w:tblPr>
      <w:tblBorders>
        <w:top w:val="single" w:color="CF7B79" w:themeColor="accent2" w:themeTint="BF" w:sz="8" w:space="0"/>
        <w:left w:val="single" w:color="CF7B79" w:themeColor="accent2" w:themeTint="BF" w:sz="8" w:space="0"/>
        <w:bottom w:val="single" w:color="CF7B79" w:themeColor="accent2" w:themeTint="BF" w:sz="8" w:space="0"/>
        <w:right w:val="single" w:color="CF7B79" w:themeColor="accent2" w:themeTint="BF" w:sz="8" w:space="0"/>
        <w:insideH w:val="single" w:color="CF7B79" w:themeColor="accent2" w:themeTint="BF" w:sz="8" w:space="0"/>
        <w:insideV w:val="single" w:color="CF7B79" w:themeColor="accent2" w:themeTint="BF" w:sz="8" w:space="0"/>
      </w:tblBorders>
      <w:tblCellMar>
        <w:top w:w="0" w:type="dxa"/>
        <w:left w:w="108" w:type="dxa"/>
        <w:bottom w:w="0" w:type="dxa"/>
        <w:right w:w="108" w:type="dxa"/>
      </w:tblCellMar>
    </w:tblPr>
    <w:tcPr>
      <w:shd w:val="clear" w:color="auto" w:fill="EFD3D3" w:themeFill="accent2" w:themeFillTint="3F"/>
    </w:tcPr>
    <w:tblStylePr w:type="firstRow">
      <w:rPr>
        <w:b/>
        <w:bCs/>
      </w:rPr>
    </w:tblStylePr>
    <w:tblStylePr w:type="lastRow">
      <w:rPr>
        <w:b/>
        <w:bCs/>
      </w:rPr>
      <w:tblPr/>
      <w:tcPr>
        <w:tcBorders>
          <w:top w:val="single" w:color="CF7B79" w:themeColor="accent2" w:themeTint="BF" w:sz="18" w:space="0"/>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86">
    <w:name w:val="Medium Grid 1 Accent 3"/>
    <w:basedOn w:val="32"/>
    <w:qFormat/>
    <w:uiPriority w:val="67"/>
    <w:pPr>
      <w:spacing w:after="0" w:line="240" w:lineRule="auto"/>
    </w:pPr>
    <w:tblPr>
      <w:tblBorders>
        <w:top w:val="single" w:color="B4CC82" w:themeColor="accent3" w:themeTint="BF" w:sz="8" w:space="0"/>
        <w:left w:val="single" w:color="B4CC82" w:themeColor="accent3" w:themeTint="BF" w:sz="8" w:space="0"/>
        <w:bottom w:val="single" w:color="B4CC82" w:themeColor="accent3" w:themeTint="BF" w:sz="8" w:space="0"/>
        <w:right w:val="single" w:color="B4CC82" w:themeColor="accent3" w:themeTint="BF" w:sz="8" w:space="0"/>
        <w:insideH w:val="single" w:color="B4CC82" w:themeColor="accent3" w:themeTint="BF" w:sz="8" w:space="0"/>
        <w:insideV w:val="single" w:color="B4CC82" w:themeColor="accent3" w:themeTint="BF" w:sz="8" w:space="0"/>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color="B4CC82" w:themeColor="accent3" w:themeTint="BF" w:sz="18" w:space="0"/>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87">
    <w:name w:val="Medium Grid 1 Accent 4"/>
    <w:basedOn w:val="32"/>
    <w:qFormat/>
    <w:uiPriority w:val="67"/>
    <w:pPr>
      <w:spacing w:after="0" w:line="240" w:lineRule="auto"/>
    </w:pPr>
    <w:tblPr>
      <w:tblBorders>
        <w:top w:val="single" w:color="9F8AB9" w:themeColor="accent4" w:themeTint="BF" w:sz="8" w:space="0"/>
        <w:left w:val="single" w:color="9F8AB9" w:themeColor="accent4" w:themeTint="BF" w:sz="8" w:space="0"/>
        <w:bottom w:val="single" w:color="9F8AB9" w:themeColor="accent4" w:themeTint="BF" w:sz="8" w:space="0"/>
        <w:right w:val="single" w:color="9F8AB9" w:themeColor="accent4" w:themeTint="BF" w:sz="8" w:space="0"/>
        <w:insideH w:val="single" w:color="9F8AB9" w:themeColor="accent4" w:themeTint="BF" w:sz="8" w:space="0"/>
        <w:insideV w:val="single" w:color="9F8AB9" w:themeColor="accent4" w:themeTint="BF" w:sz="8" w:space="0"/>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color="9F8AB9" w:themeColor="accent4" w:themeTint="BF" w:sz="18" w:space="0"/>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88">
    <w:name w:val="Medium Grid 1 Accent 5"/>
    <w:basedOn w:val="32"/>
    <w:qFormat/>
    <w:uiPriority w:val="67"/>
    <w:pPr>
      <w:spacing w:after="0" w:line="240" w:lineRule="auto"/>
    </w:pPr>
    <w:tblPr>
      <w:tblBorders>
        <w:top w:val="single" w:color="78C0D4" w:themeColor="accent5" w:themeTint="BF" w:sz="8" w:space="0"/>
        <w:left w:val="single" w:color="78C0D4" w:themeColor="accent5" w:themeTint="BF" w:sz="8" w:space="0"/>
        <w:bottom w:val="single" w:color="78C0D4" w:themeColor="accent5" w:themeTint="BF" w:sz="8" w:space="0"/>
        <w:right w:val="single" w:color="78C0D4" w:themeColor="accent5" w:themeTint="BF" w:sz="8" w:space="0"/>
        <w:insideH w:val="single" w:color="78C0D4" w:themeColor="accent5" w:themeTint="BF" w:sz="8" w:space="0"/>
        <w:insideV w:val="single" w:color="78C0D4" w:themeColor="accent5" w:themeTint="BF" w:sz="8" w:space="0"/>
      </w:tblBorders>
      <w:tblCellMar>
        <w:top w:w="0" w:type="dxa"/>
        <w:left w:w="108" w:type="dxa"/>
        <w:bottom w:w="0" w:type="dxa"/>
        <w:right w:w="108" w:type="dxa"/>
      </w:tblCellMar>
    </w:tblPr>
    <w:tcPr>
      <w:shd w:val="clear" w:color="auto" w:fill="D2EAF0" w:themeFill="accent5" w:themeFillTint="3F"/>
    </w:tcPr>
    <w:tblStylePr w:type="firstRow">
      <w:rPr>
        <w:b/>
        <w:bCs/>
      </w:rPr>
    </w:tblStylePr>
    <w:tblStylePr w:type="lastRow">
      <w:rPr>
        <w:b/>
        <w:bCs/>
      </w:rPr>
      <w:tblPr/>
      <w:tcPr>
        <w:tcBorders>
          <w:top w:val="single" w:color="78C0D4" w:themeColor="accent5" w:themeTint="BF" w:sz="18" w:space="0"/>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89">
    <w:name w:val="Medium Grid 1 Accent 6"/>
    <w:basedOn w:val="32"/>
    <w:qFormat/>
    <w:uiPriority w:val="67"/>
    <w:pPr>
      <w:spacing w:after="0" w:line="240" w:lineRule="auto"/>
    </w:pPr>
    <w:tblPr>
      <w:tblBorders>
        <w:top w:val="single" w:color="F9B074" w:themeColor="accent6" w:themeTint="BF" w:sz="8" w:space="0"/>
        <w:left w:val="single" w:color="F9B074" w:themeColor="accent6" w:themeTint="BF" w:sz="8" w:space="0"/>
        <w:bottom w:val="single" w:color="F9B074" w:themeColor="accent6" w:themeTint="BF" w:sz="8" w:space="0"/>
        <w:right w:val="single" w:color="F9B074" w:themeColor="accent6" w:themeTint="BF" w:sz="8" w:space="0"/>
        <w:insideH w:val="single" w:color="F9B074" w:themeColor="accent6" w:themeTint="BF" w:sz="8" w:space="0"/>
        <w:insideV w:val="single" w:color="F9B074" w:themeColor="accent6" w:themeTint="BF" w:sz="8" w:space="0"/>
      </w:tblBorders>
      <w:tblCellMar>
        <w:top w:w="0" w:type="dxa"/>
        <w:left w:w="108" w:type="dxa"/>
        <w:bottom w:w="0" w:type="dxa"/>
        <w:right w:w="108" w:type="dxa"/>
      </w:tblCellMar>
    </w:tblPr>
    <w:tcPr>
      <w:shd w:val="clear" w:color="auto" w:fill="FDE5D1" w:themeFill="accent6" w:themeFillTint="3F"/>
    </w:tcPr>
    <w:tblStylePr w:type="firstRow">
      <w:rPr>
        <w:b/>
        <w:bCs/>
      </w:rPr>
    </w:tblStylePr>
    <w:tblStylePr w:type="lastRow">
      <w:rPr>
        <w:b/>
        <w:bCs/>
      </w:rPr>
      <w:tblPr/>
      <w:tcPr>
        <w:tcBorders>
          <w:top w:val="single" w:color="F9B074" w:themeColor="accent6" w:themeTint="BF" w:sz="18" w:space="0"/>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90">
    <w:name w:val="Medium Grid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CellMar>
        <w:top w:w="0" w:type="dxa"/>
        <w:left w:w="108" w:type="dxa"/>
        <w:bottom w:w="0" w:type="dxa"/>
        <w:right w:w="108" w:type="dxa"/>
      </w:tblCellMar>
    </w:tblPr>
    <w:tcPr>
      <w:shd w:val="clear" w:color="auto" w:fill="BFBFBF" w:themeFill="text1" w:themeFillTint="3F"/>
    </w:tcPr>
    <w:tblStylePr w:type="firstRow">
      <w:rPr>
        <w:b/>
        <w:bCs/>
        <w:color w:val="000000" w:themeColor="text1"/>
        <w14:textFill>
          <w14:solidFill>
            <w14:schemeClr w14:val="tx1"/>
          </w14:solidFill>
        </w14:textFill>
      </w:rPr>
      <w:tblPr/>
      <w:tcPr>
        <w:shd w:val="clear" w:color="auto" w:fill="E5E5E5" w:themeFill="tex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7F7F7F" w:themeFill="text1" w:themeFillTint="7F"/>
      </w:tcPr>
    </w:tblStylePr>
    <w:tblStylePr w:type="band1Horz">
      <w:tblPr/>
      <w:tcPr>
        <w:tcBorders>
          <w:insideH w:val="single" w:sz="6" w:space="0"/>
          <w:insideV w:val="single" w:sz="6" w:space="0"/>
        </w:tcBorders>
        <w:shd w:val="clear" w:color="auto" w:fill="7F7F7F" w:themeFill="text1" w:themeFillTint="7F"/>
      </w:tcPr>
    </w:tblStylePr>
    <w:tblStylePr w:type="nwCell">
      <w:tblPr/>
      <w:tcPr>
        <w:shd w:val="clear" w:color="auto" w:fill="FFFFFF" w:themeFill="background1"/>
      </w:tcPr>
    </w:tblStylePr>
  </w:style>
  <w:style w:type="table" w:styleId="91">
    <w:name w:val="Medium Grid 2 Accent 1"/>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F81BD" w:themeColor="accent1" w:sz="8" w:space="0"/>
        <w:left w:val="single" w:color="4F81BD" w:themeColor="accent1" w:sz="8" w:space="0"/>
        <w:bottom w:val="single" w:color="4F81BD" w:themeColor="accent1" w:sz="8" w:space="0"/>
        <w:right w:val="single" w:color="4F81BD" w:themeColor="accent1" w:sz="8" w:space="0"/>
        <w:insideH w:val="single" w:color="4F81BD" w:themeColor="accent1" w:sz="8" w:space="0"/>
        <w:insideV w:val="single" w:color="4F81BD" w:themeColor="accent1" w:sz="8" w:space="0"/>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14:textFill>
          <w14:solidFill>
            <w14:schemeClr w14:val="tx1"/>
          </w14:solidFill>
        </w14:textFill>
      </w:rPr>
      <w:tblPr/>
      <w:tcPr>
        <w:shd w:val="clear" w:color="auto" w:fill="EDF2F8" w:themeFill="accent1"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C0DE" w:themeFill="accent1" w:themeFillTint="7F"/>
      </w:tcPr>
    </w:tblStylePr>
    <w:tblStylePr w:type="band1Horz">
      <w:tblPr/>
      <w:tcPr>
        <w:tcBorders>
          <w:insideH w:val="single" w:sz="6" w:space="0"/>
          <w:insideV w:val="single" w:sz="6" w:space="0"/>
        </w:tcBorders>
        <w:shd w:val="clear" w:color="auto" w:fill="A7C0DE" w:themeFill="accent1" w:themeFillTint="7F"/>
      </w:tcPr>
    </w:tblStylePr>
    <w:tblStylePr w:type="nwCell">
      <w:tblPr/>
      <w:tcPr>
        <w:shd w:val="clear" w:color="auto" w:fill="FFFFFF" w:themeFill="background1"/>
      </w:tcPr>
    </w:tblStylePr>
  </w:style>
  <w:style w:type="table" w:styleId="92">
    <w:name w:val="Medium Grid 2 Accent 2"/>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C0504D" w:themeColor="accent2" w:sz="8" w:space="0"/>
        <w:left w:val="single" w:color="C0504D" w:themeColor="accent2" w:sz="8" w:space="0"/>
        <w:bottom w:val="single" w:color="C0504D" w:themeColor="accent2" w:sz="8" w:space="0"/>
        <w:right w:val="single" w:color="C0504D" w:themeColor="accent2" w:sz="8" w:space="0"/>
        <w:insideH w:val="single" w:color="C0504D" w:themeColor="accent2" w:sz="8" w:space="0"/>
        <w:insideV w:val="single" w:color="C0504D" w:themeColor="accent2" w:sz="8" w:space="0"/>
      </w:tblBorders>
      <w:tblCellMar>
        <w:top w:w="0" w:type="dxa"/>
        <w:left w:w="108" w:type="dxa"/>
        <w:bottom w:w="0" w:type="dxa"/>
        <w:right w:w="108" w:type="dxa"/>
      </w:tblCellMar>
    </w:tblPr>
    <w:tcPr>
      <w:shd w:val="clear" w:color="auto" w:fill="EFD3D3" w:themeFill="accent2" w:themeFillTint="3F"/>
    </w:tcPr>
    <w:tblStylePr w:type="firstRow">
      <w:rPr>
        <w:b/>
        <w:bCs/>
        <w:color w:val="000000" w:themeColor="text1"/>
        <w14:textFill>
          <w14:solidFill>
            <w14:schemeClr w14:val="tx1"/>
          </w14:solidFill>
        </w14:textFill>
      </w:rPr>
      <w:tblPr/>
      <w:tcPr>
        <w:shd w:val="clear" w:color="auto" w:fill="F8EDED" w:themeFill="accent2"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insideV w:val="single" w:sz="6" w:space="0"/>
        </w:tcBorders>
        <w:shd w:val="clear" w:color="auto" w:fill="DFA7A6" w:themeFill="accent2" w:themeFillTint="7F"/>
      </w:tcPr>
    </w:tblStylePr>
    <w:tblStylePr w:type="nwCell">
      <w:tblPr/>
      <w:tcPr>
        <w:shd w:val="clear" w:color="auto" w:fill="FFFFFF" w:themeFill="background1"/>
      </w:tcPr>
    </w:tblStylePr>
  </w:style>
  <w:style w:type="table" w:styleId="93">
    <w:name w:val="Medium Grid 2 Accent 3"/>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9BBB59" w:themeColor="accent3" w:sz="8" w:space="0"/>
        <w:left w:val="single" w:color="9BBB59" w:themeColor="accent3" w:sz="8" w:space="0"/>
        <w:bottom w:val="single" w:color="9BBB59" w:themeColor="accent3" w:sz="8" w:space="0"/>
        <w:right w:val="single" w:color="9BBB59" w:themeColor="accent3" w:sz="8" w:space="0"/>
        <w:insideH w:val="single" w:color="9BBB59" w:themeColor="accent3" w:sz="8" w:space="0"/>
        <w:insideV w:val="single" w:color="9BBB59" w:themeColor="accent3" w:sz="8" w:space="0"/>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14:textFill>
          <w14:solidFill>
            <w14:schemeClr w14:val="tx1"/>
          </w14:solidFill>
        </w14:textFill>
      </w:rPr>
      <w:tblPr/>
      <w:tcPr>
        <w:shd w:val="clear" w:color="auto" w:fill="F5F8EE" w:themeFill="accent3"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insideV w:val="single" w:sz="6" w:space="0"/>
        </w:tcBorders>
        <w:shd w:val="clear" w:color="auto" w:fill="CDDDAC" w:themeFill="accent3" w:themeFillTint="7F"/>
      </w:tcPr>
    </w:tblStylePr>
    <w:tblStylePr w:type="nwCell">
      <w:tblPr/>
      <w:tcPr>
        <w:shd w:val="clear" w:color="auto" w:fill="FFFFFF" w:themeFill="background1"/>
      </w:tcPr>
    </w:tblStylePr>
  </w:style>
  <w:style w:type="table" w:styleId="94">
    <w:name w:val="Medium Grid 2 Accent 4"/>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8064A2" w:themeColor="accent4" w:sz="8" w:space="0"/>
        <w:left w:val="single" w:color="8064A2" w:themeColor="accent4" w:sz="8" w:space="0"/>
        <w:bottom w:val="single" w:color="8064A2" w:themeColor="accent4" w:sz="8" w:space="0"/>
        <w:right w:val="single" w:color="8064A2" w:themeColor="accent4" w:sz="8" w:space="0"/>
        <w:insideH w:val="single" w:color="8064A2" w:themeColor="accent4" w:sz="8" w:space="0"/>
        <w:insideV w:val="single" w:color="8064A2" w:themeColor="accent4" w:sz="8" w:space="0"/>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14:textFill>
          <w14:solidFill>
            <w14:schemeClr w14:val="tx1"/>
          </w14:solidFill>
        </w14:textFill>
      </w:rPr>
      <w:tblPr/>
      <w:tcPr>
        <w:shd w:val="clear" w:color="auto" w:fill="F2EFF5" w:themeFill="accent4"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insideV w:val="single" w:sz="6" w:space="0"/>
        </w:tcBorders>
        <w:shd w:val="clear" w:color="auto" w:fill="BFB1D0" w:themeFill="accent4" w:themeFillTint="7F"/>
      </w:tcPr>
    </w:tblStylePr>
    <w:tblStylePr w:type="nwCell">
      <w:tblPr/>
      <w:tcPr>
        <w:shd w:val="clear" w:color="auto" w:fill="FFFFFF" w:themeFill="background1"/>
      </w:tcPr>
    </w:tblStylePr>
  </w:style>
  <w:style w:type="table" w:styleId="95">
    <w:name w:val="Medium Grid 2 Accent 5"/>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4BACC6" w:themeColor="accent5" w:sz="8" w:space="0"/>
        <w:left w:val="single" w:color="4BACC6" w:themeColor="accent5" w:sz="8" w:space="0"/>
        <w:bottom w:val="single" w:color="4BACC6" w:themeColor="accent5" w:sz="8" w:space="0"/>
        <w:right w:val="single" w:color="4BACC6" w:themeColor="accent5" w:sz="8" w:space="0"/>
        <w:insideH w:val="single" w:color="4BACC6" w:themeColor="accent5" w:sz="8" w:space="0"/>
        <w:insideV w:val="single" w:color="4BACC6" w:themeColor="accent5" w:sz="8" w:space="0"/>
      </w:tblBorders>
      <w:tblCellMar>
        <w:top w:w="0" w:type="dxa"/>
        <w:left w:w="108" w:type="dxa"/>
        <w:bottom w:w="0" w:type="dxa"/>
        <w:right w:w="108" w:type="dxa"/>
      </w:tblCellMar>
    </w:tblPr>
    <w:tcPr>
      <w:shd w:val="clear" w:color="auto" w:fill="D2EAF0" w:themeFill="accent5" w:themeFillTint="3F"/>
    </w:tcPr>
    <w:tblStylePr w:type="firstRow">
      <w:rPr>
        <w:b/>
        <w:bCs/>
        <w:color w:val="000000" w:themeColor="text1"/>
        <w14:textFill>
          <w14:solidFill>
            <w14:schemeClr w14:val="tx1"/>
          </w14:solidFill>
        </w14:textFill>
      </w:rPr>
      <w:tblPr/>
      <w:tcPr>
        <w:shd w:val="clear" w:color="auto" w:fill="EDF6F9" w:themeFill="accent5"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insideV w:val="single" w:sz="6" w:space="0"/>
        </w:tcBorders>
        <w:shd w:val="clear" w:color="auto" w:fill="A5D5E2" w:themeFill="accent5" w:themeFillTint="7F"/>
      </w:tcPr>
    </w:tblStylePr>
    <w:tblStylePr w:type="nwCell">
      <w:tblPr/>
      <w:tcPr>
        <w:shd w:val="clear" w:color="auto" w:fill="FFFFFF" w:themeFill="background1"/>
      </w:tcPr>
    </w:tblStylePr>
  </w:style>
  <w:style w:type="table" w:styleId="96">
    <w:name w:val="Medium Grid 2 Accent 6"/>
    <w:basedOn w:val="32"/>
    <w:qFormat/>
    <w:uiPriority w:val="68"/>
    <w:pPr>
      <w:spacing w:after="0" w:line="240" w:lineRule="auto"/>
    </w:pPr>
    <w:rPr>
      <w:rFonts w:asciiTheme="majorHAnsi" w:hAnsiTheme="majorHAnsi" w:eastAsiaTheme="majorEastAsia" w:cstheme="majorBidi"/>
      <w:color w:val="000000" w:themeColor="text1"/>
      <w14:textFill>
        <w14:solidFill>
          <w14:schemeClr w14:val="tx1"/>
        </w14:solidFill>
      </w14:textFill>
    </w:rPr>
    <w:tblPr>
      <w:tblBorders>
        <w:top w:val="single" w:color="F79646" w:themeColor="accent6" w:sz="8" w:space="0"/>
        <w:left w:val="single" w:color="F79646" w:themeColor="accent6" w:sz="8" w:space="0"/>
        <w:bottom w:val="single" w:color="F79646" w:themeColor="accent6" w:sz="8" w:space="0"/>
        <w:right w:val="single" w:color="F79646" w:themeColor="accent6" w:sz="8" w:space="0"/>
        <w:insideH w:val="single" w:color="F79646" w:themeColor="accent6" w:sz="8" w:space="0"/>
        <w:insideV w:val="single" w:color="F79646" w:themeColor="accent6" w:sz="8" w:space="0"/>
      </w:tblBorders>
      <w:tblCellMar>
        <w:top w:w="0" w:type="dxa"/>
        <w:left w:w="108" w:type="dxa"/>
        <w:bottom w:w="0" w:type="dxa"/>
        <w:right w:w="108" w:type="dxa"/>
      </w:tblCellMar>
    </w:tblPr>
    <w:tcPr>
      <w:shd w:val="clear" w:color="auto" w:fill="FDE5D1" w:themeFill="accent6" w:themeFillTint="3F"/>
    </w:tcPr>
    <w:tblStylePr w:type="firstRow">
      <w:rPr>
        <w:b/>
        <w:bCs/>
        <w:color w:val="000000" w:themeColor="text1"/>
        <w14:textFill>
          <w14:solidFill>
            <w14:schemeClr w14:val="tx1"/>
          </w14:solidFill>
        </w14:textFill>
      </w:rPr>
      <w:tblPr/>
      <w:tcPr>
        <w:shd w:val="clear" w:color="auto" w:fill="FEF4EC" w:themeFill="accent6" w:themeFillTint="19"/>
      </w:tcPr>
    </w:tblStylePr>
    <w:tblStylePr w:type="lastRow">
      <w:rPr>
        <w:b/>
        <w:bCs/>
        <w:color w:val="000000" w:themeColor="text1"/>
        <w14:textFill>
          <w14:solidFill>
            <w14:schemeClr w14:val="tx1"/>
          </w14:solidFill>
        </w14:textFill>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14:textFill>
          <w14:solidFill>
            <w14:schemeClr w14:val="tx1"/>
          </w14:solidFill>
        </w14:textFill>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14:textFill>
          <w14:solidFill>
            <w14:schemeClr w14:val="tx1"/>
          </w14:solidFill>
        </w14:textFill>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insideV w:val="single" w:sz="6" w:space="0"/>
        </w:tcBorders>
        <w:shd w:val="clear" w:color="auto" w:fill="FBCAA2" w:themeFill="accent6" w:themeFillTint="7F"/>
      </w:tcPr>
    </w:tblStylePr>
    <w:tblStylePr w:type="nwCell">
      <w:tblPr/>
      <w:tcPr>
        <w:shd w:val="clear" w:color="auto" w:fill="FFFFFF" w:themeFill="background1"/>
      </w:tcPr>
    </w:tblStylePr>
  </w:style>
  <w:style w:type="table" w:styleId="97">
    <w:name w:val="Medium Grid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BFBFBF" w:themeFill="tex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000000" w:themeFill="tex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000000" w:themeFill="tex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F7F7F"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7F7F7F" w:themeFill="text1" w:themeFillTint="7F"/>
      </w:tcPr>
    </w:tblStylePr>
  </w:style>
  <w:style w:type="table" w:styleId="98">
    <w:name w:val="Medium Grid 3 Accent 1"/>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F81BD" w:themeFill="accent1"/>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F81BD" w:themeFill="accent1"/>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F81BD" w:themeFill="accent1"/>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F81BD"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7C0DE"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7C0DE" w:themeFill="accent1" w:themeFillTint="7F"/>
      </w:tcPr>
    </w:tblStylePr>
  </w:style>
  <w:style w:type="table" w:styleId="99">
    <w:name w:val="Medium Grid 3 Accent 2"/>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FD3D3" w:themeFill="accent2"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C0504D" w:themeFill="accent2"/>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C0504D" w:themeFill="accent2"/>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C0504D" w:themeFill="accent2"/>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C0504D"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FA7A6"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DFA7A6" w:themeFill="accent2" w:themeFillTint="7F"/>
      </w:tcPr>
    </w:tblStylePr>
  </w:style>
  <w:style w:type="table" w:styleId="100">
    <w:name w:val="Medium Grid 3 Accent 3"/>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9BBB59" w:themeFill="accent3"/>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9BBB59" w:themeFill="accent3"/>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9BBB59" w:themeFill="accent3"/>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9BBB59"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CDDDAC"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CDDDAC" w:themeFill="accent3" w:themeFillTint="7F"/>
      </w:tcPr>
    </w:tblStylePr>
  </w:style>
  <w:style w:type="table" w:styleId="101">
    <w:name w:val="Medium Grid 3 Accent 4"/>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8064A2" w:themeFill="accent4"/>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8064A2" w:themeFill="accent4"/>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8064A2" w:themeFill="accent4"/>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8064A2"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FB1D0"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BFB1D0" w:themeFill="accent4" w:themeFillTint="7F"/>
      </w:tcPr>
    </w:tblStylePr>
  </w:style>
  <w:style w:type="table" w:styleId="102">
    <w:name w:val="Medium Grid 3 Accent 5"/>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D2EAF0" w:themeFill="accent5"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4BACC6" w:themeFill="accent5"/>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4BACC6" w:themeFill="accent5"/>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4BACC6" w:themeFill="accent5"/>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4BACC6"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A5D5E2"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A5D5E2" w:themeFill="accent5" w:themeFillTint="7F"/>
      </w:tcPr>
    </w:tblStylePr>
  </w:style>
  <w:style w:type="table" w:styleId="103">
    <w:name w:val="Medium Grid 3 Accent 6"/>
    <w:basedOn w:val="32"/>
    <w:qFormat/>
    <w:uiPriority w:val="69"/>
    <w:pPr>
      <w:spacing w:after="0" w:line="240" w:lineRule="auto"/>
    </w:pPr>
    <w:tblPr>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CellMar>
        <w:top w:w="0" w:type="dxa"/>
        <w:left w:w="108" w:type="dxa"/>
        <w:bottom w:w="0" w:type="dxa"/>
        <w:right w:w="108" w:type="dxa"/>
      </w:tblCellMar>
    </w:tblPr>
    <w:tcPr>
      <w:shd w:val="clear" w:color="auto" w:fill="FDE5D1" w:themeFill="accent6" w:themeFillTint="3F"/>
    </w:tcPr>
    <w:tblStylePr w:type="firstRow">
      <w:rPr>
        <w:b/>
        <w:bCs/>
        <w:i w:val="0"/>
        <w:iCs w:val="0"/>
        <w:color w:val="FFFFFF" w:themeColor="background1"/>
        <w14:textFill>
          <w14:solidFill>
            <w14:schemeClr w14:val="bg1"/>
          </w14:solidFill>
        </w14:textFill>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sz="8" w:space="0"/>
        </w:tcBorders>
        <w:shd w:val="clear" w:color="auto" w:fill="F79646" w:themeFill="accent6"/>
      </w:tcPr>
    </w:tblStylePr>
    <w:tblStylePr w:type="lastRow">
      <w:rPr>
        <w:b/>
        <w:bCs/>
        <w:i w:val="0"/>
        <w:iCs w:val="0"/>
        <w:color w:val="FFFFFF" w:themeColor="background1"/>
        <w14:textFill>
          <w14:solidFill>
            <w14:schemeClr w14:val="bg1"/>
          </w14:solidFill>
        </w14:textFill>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sz="8" w:space="0"/>
        </w:tcBorders>
        <w:shd w:val="clear" w:color="auto" w:fill="F79646" w:themeFill="accent6"/>
      </w:tcPr>
    </w:tblStylePr>
    <w:tblStylePr w:type="firstCol">
      <w:rPr>
        <w:b/>
        <w:bCs/>
        <w:i w:val="0"/>
        <w:iCs w:val="0"/>
        <w:color w:val="FFFFFF" w:themeColor="background1"/>
        <w14:textFill>
          <w14:solidFill>
            <w14:schemeClr w14:val="bg1"/>
          </w14:solidFill>
        </w14:textFill>
      </w:rPr>
      <w:tblPr/>
      <w:tcPr>
        <w:tcBorders>
          <w:left w:val="single" w:color="FFFFFF" w:themeColor="background1" w:sz="8" w:space="0"/>
          <w:right w:val="single" w:color="FFFFFF" w:themeColor="background1" w:sz="24" w:space="0"/>
          <w:insideH w:val="nil"/>
          <w:insideV w:val="nil"/>
        </w:tcBorders>
        <w:shd w:val="clear" w:color="auto" w:fill="F79646" w:themeFill="accent6"/>
      </w:tcPr>
    </w:tblStylePr>
    <w:tblStylePr w:type="lastCol">
      <w:rPr>
        <w:b/>
        <w:bCs/>
        <w:i w:val="0"/>
        <w:iCs w:val="0"/>
        <w:color w:val="FFFFFF" w:themeColor="background1"/>
        <w14:textFill>
          <w14:solidFill>
            <w14:schemeClr w14:val="bg1"/>
          </w14:solidFill>
        </w14:textFill>
      </w:rPr>
      <w:tblPr/>
      <w:tcPr>
        <w:tcBorders>
          <w:top w:val="nil"/>
          <w:left w:val="single" w:color="FFFFFF" w:themeColor="background1" w:sz="24" w:space="0"/>
          <w:bottom w:val="nil"/>
          <w:right w:val="nil"/>
          <w:insideH w:val="nil"/>
          <w:insideV w:val="nil"/>
        </w:tcBorders>
        <w:shd w:val="clear" w:color="auto" w:fill="F79646"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FBCAA2"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sz="8" w:space="0"/>
          <w:insideV w:val="single" w:sz="8" w:space="0"/>
        </w:tcBorders>
        <w:shd w:val="clear" w:color="auto" w:fill="FBCAA2" w:themeFill="accent6" w:themeFillTint="7F"/>
      </w:tcPr>
    </w:tblStylePr>
  </w:style>
  <w:style w:type="table" w:styleId="104">
    <w:name w:val="Dark List"/>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105">
    <w:name w:val="Dark List Accent 1"/>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43F61"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366091"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366091" w:themeFill="accent1" w:themeFillShade="BF"/>
      </w:tcPr>
    </w:tblStylePr>
    <w:tblStylePr w:type="band1Vert">
      <w:tblPr/>
      <w:tcPr>
        <w:tcBorders>
          <w:top w:val="nil"/>
          <w:left w:val="nil"/>
          <w:bottom w:val="nil"/>
          <w:right w:val="nil"/>
          <w:insideH w:val="nil"/>
          <w:insideV w:val="nil"/>
        </w:tcBorders>
        <w:shd w:val="clear" w:color="auto" w:fill="366091" w:themeFill="accent1" w:themeFillShade="BF"/>
      </w:tcPr>
    </w:tblStylePr>
    <w:tblStylePr w:type="band1Horz">
      <w:tblPr/>
      <w:tcPr>
        <w:tcBorders>
          <w:top w:val="nil"/>
          <w:left w:val="nil"/>
          <w:bottom w:val="nil"/>
          <w:right w:val="nil"/>
          <w:insideH w:val="nil"/>
          <w:insideV w:val="nil"/>
        </w:tcBorders>
        <w:shd w:val="clear" w:color="auto" w:fill="366091" w:themeFill="accent1" w:themeFillShade="BF"/>
      </w:tcPr>
    </w:tblStylePr>
  </w:style>
  <w:style w:type="table" w:styleId="106">
    <w:name w:val="Dark List Accent 2"/>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943734"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943734" w:themeFill="accent2" w:themeFillShade="BF"/>
      </w:tcPr>
    </w:tblStylePr>
    <w:tblStylePr w:type="band1Vert">
      <w:tblPr/>
      <w:tcPr>
        <w:tcBorders>
          <w:top w:val="nil"/>
          <w:left w:val="nil"/>
          <w:bottom w:val="nil"/>
          <w:right w:val="nil"/>
          <w:insideH w:val="nil"/>
          <w:insideV w:val="nil"/>
        </w:tcBorders>
        <w:shd w:val="clear" w:color="auto" w:fill="943734" w:themeFill="accent2" w:themeFillShade="BF"/>
      </w:tcPr>
    </w:tblStylePr>
    <w:tblStylePr w:type="band1Horz">
      <w:tblPr/>
      <w:tcPr>
        <w:tcBorders>
          <w:top w:val="nil"/>
          <w:left w:val="nil"/>
          <w:bottom w:val="nil"/>
          <w:right w:val="nil"/>
          <w:insideH w:val="nil"/>
          <w:insideV w:val="nil"/>
        </w:tcBorders>
        <w:shd w:val="clear" w:color="auto" w:fill="943734" w:themeFill="accent2" w:themeFillShade="BF"/>
      </w:tcPr>
    </w:tblStylePr>
  </w:style>
  <w:style w:type="table" w:styleId="107">
    <w:name w:val="Dark List Accent 3"/>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4E6127"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76923C"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108">
    <w:name w:val="Dark List Accent 4"/>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F3051"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F497A"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109">
    <w:name w:val="Dark List Accent 5"/>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31849B"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110">
    <w:name w:val="Dark List Accent 6"/>
    <w:basedOn w:val="32"/>
    <w:qFormat/>
    <w:uiPriority w:val="70"/>
    <w:pPr>
      <w:spacing w:after="0" w:line="240" w:lineRule="auto"/>
    </w:pPr>
    <w:rPr>
      <w:color w:val="FFFFFF" w:themeColor="background1"/>
      <w14:textFill>
        <w14:solidFill>
          <w14:schemeClr w14:val="bg1"/>
        </w14:solidFill>
      </w14:textFill>
    </w:rPr>
    <w:tblPr>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E36C09"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E36C09" w:themeFill="accent6" w:themeFillShade="BF"/>
      </w:tcPr>
    </w:tblStylePr>
    <w:tblStylePr w:type="band1Vert">
      <w:tblPr/>
      <w:tcPr>
        <w:tcBorders>
          <w:top w:val="nil"/>
          <w:left w:val="nil"/>
          <w:bottom w:val="nil"/>
          <w:right w:val="nil"/>
          <w:insideH w:val="nil"/>
          <w:insideV w:val="nil"/>
        </w:tcBorders>
        <w:shd w:val="clear" w:color="auto" w:fill="E36C09" w:themeFill="accent6" w:themeFillShade="BF"/>
      </w:tcPr>
    </w:tblStylePr>
    <w:tblStylePr w:type="band1Horz">
      <w:tblPr/>
      <w:tcPr>
        <w:tcBorders>
          <w:top w:val="nil"/>
          <w:left w:val="nil"/>
          <w:bottom w:val="nil"/>
          <w:right w:val="nil"/>
          <w:insideH w:val="nil"/>
          <w:insideV w:val="nil"/>
        </w:tcBorders>
        <w:shd w:val="clear" w:color="auto" w:fill="E36C09" w:themeFill="accent6" w:themeFillShade="BF"/>
      </w:tcPr>
    </w:tblStylePr>
  </w:style>
  <w:style w:type="table" w:styleId="111">
    <w:name w:val="Colorful Shading"/>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5E5E5" w:themeFill="tex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000000" w:themeFill="tex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000000" w:themeFill="tex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7F7F7F" w:themeFill="tex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2">
    <w:name w:val="Colorful Shading Accent 1"/>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4F81BD" w:themeColor="accent1" w:sz="4" w:space="0"/>
        <w:bottom w:val="single" w:color="4F81BD" w:themeColor="accent1" w:sz="4" w:space="0"/>
        <w:right w:val="single" w:color="4F81BD" w:themeColor="accent1"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B4D74" w:themeFill="accent1"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B4D74" w:themeFill="accent1"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B4D74" w:themeFill="accent1" w:themeFillShade="99"/>
      </w:tcPr>
    </w:tblStylePr>
    <w:tblStylePr w:type="band1Vert">
      <w:tblPr/>
      <w:tcPr>
        <w:shd w:val="clear" w:color="auto" w:fill="B8CCE4" w:themeFill="accent1" w:themeFillTint="66"/>
      </w:tcPr>
    </w:tblStylePr>
    <w:tblStylePr w:type="band1Horz">
      <w:tblPr/>
      <w:tcPr>
        <w:shd w:val="clear" w:color="auto" w:fill="A7C0DE" w:themeFill="accent1"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3">
    <w:name w:val="Colorful Shading Accent 2"/>
    <w:basedOn w:val="32"/>
    <w:qFormat/>
    <w:uiPriority w:val="71"/>
    <w:pPr>
      <w:spacing w:after="0" w:line="240" w:lineRule="auto"/>
    </w:pPr>
    <w:rPr>
      <w:color w:val="000000" w:themeColor="text1"/>
      <w14:textFill>
        <w14:solidFill>
          <w14:schemeClr w14:val="tx1"/>
        </w14:solidFill>
      </w14:textFill>
    </w:rPr>
    <w:tblPr>
      <w:tblBorders>
        <w:top w:val="single" w:color="C0504D" w:themeColor="accent2" w:sz="24" w:space="0"/>
        <w:left w:val="single" w:color="C0504D" w:themeColor="accent2" w:sz="4" w:space="0"/>
        <w:bottom w:val="single" w:color="C0504D" w:themeColor="accent2" w:sz="4" w:space="0"/>
        <w:right w:val="single" w:color="C0504D" w:themeColor="accent2"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color="C0504D" w:themeColor="accent2"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772C2A" w:themeFill="accent2"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772C2A" w:themeFill="accent2"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4">
    <w:name w:val="Colorful Shading Accent 3"/>
    <w:basedOn w:val="32"/>
    <w:qFormat/>
    <w:uiPriority w:val="71"/>
    <w:pPr>
      <w:spacing w:after="0" w:line="240" w:lineRule="auto"/>
    </w:pPr>
    <w:rPr>
      <w:color w:val="000000" w:themeColor="text1"/>
      <w14:textFill>
        <w14:solidFill>
          <w14:schemeClr w14:val="tx1"/>
        </w14:solidFill>
      </w14:textFill>
    </w:rPr>
    <w:tblPr>
      <w:tblBorders>
        <w:top w:val="single" w:color="8064A2" w:themeColor="accent4" w:sz="24" w:space="0"/>
        <w:left w:val="single" w:color="9BBB59" w:themeColor="accent3" w:sz="4" w:space="0"/>
        <w:bottom w:val="single" w:color="9BBB59" w:themeColor="accent3" w:sz="4" w:space="0"/>
        <w:right w:val="single" w:color="9BBB59" w:themeColor="accent3"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color="8064A2" w:themeColor="accent4"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5E7530" w:themeFill="accent3"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5E7530" w:themeFill="accent3"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115">
    <w:name w:val="Colorful Shading Accent 4"/>
    <w:basedOn w:val="32"/>
    <w:qFormat/>
    <w:uiPriority w:val="71"/>
    <w:pPr>
      <w:spacing w:after="0" w:line="240" w:lineRule="auto"/>
    </w:pPr>
    <w:rPr>
      <w:color w:val="000000" w:themeColor="text1"/>
      <w14:textFill>
        <w14:solidFill>
          <w14:schemeClr w14:val="tx1"/>
        </w14:solidFill>
      </w14:textFill>
    </w:rPr>
    <w:tblPr>
      <w:tblBorders>
        <w:top w:val="single" w:color="9BBB59" w:themeColor="accent3" w:sz="24" w:space="0"/>
        <w:left w:val="single" w:color="8064A2" w:themeColor="accent4" w:sz="4" w:space="0"/>
        <w:bottom w:val="single" w:color="8064A2" w:themeColor="accent4" w:sz="4" w:space="0"/>
        <w:right w:val="single" w:color="8064A2" w:themeColor="accent4"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2EFF5" w:themeFill="accent4" w:themeFillTint="19"/>
    </w:tcPr>
    <w:tblStylePr w:type="firstRow">
      <w:rPr>
        <w:b/>
        <w:bCs/>
      </w:rPr>
      <w:tblPr/>
      <w:tcPr>
        <w:tcBorders>
          <w:top w:val="nil"/>
          <w:left w:val="nil"/>
          <w:bottom w:val="single" w:color="9BBB59" w:themeColor="accent3"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4C3A62" w:themeFill="accent4"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4C3A62" w:themeFill="accent4"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4C3A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6">
    <w:name w:val="Colorful Shading Accent 5"/>
    <w:basedOn w:val="32"/>
    <w:qFormat/>
    <w:uiPriority w:val="71"/>
    <w:pPr>
      <w:spacing w:after="0" w:line="240" w:lineRule="auto"/>
    </w:pPr>
    <w:rPr>
      <w:color w:val="000000" w:themeColor="text1"/>
      <w14:textFill>
        <w14:solidFill>
          <w14:schemeClr w14:val="tx1"/>
        </w14:solidFill>
      </w14:textFill>
    </w:rPr>
    <w:tblPr>
      <w:tblBorders>
        <w:top w:val="single" w:color="F79646" w:themeColor="accent6" w:sz="24" w:space="0"/>
        <w:left w:val="single" w:color="4BACC6" w:themeColor="accent5" w:sz="4" w:space="0"/>
        <w:bottom w:val="single" w:color="4BACC6" w:themeColor="accent5" w:sz="4" w:space="0"/>
        <w:right w:val="single" w:color="4BACC6" w:themeColor="accent5"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color="F79646" w:themeColor="accent6"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276A7C" w:themeFill="accent5"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276A7C" w:themeFill="accent5"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7">
    <w:name w:val="Colorful Shading Accent 6"/>
    <w:basedOn w:val="32"/>
    <w:qFormat/>
    <w:uiPriority w:val="71"/>
    <w:pPr>
      <w:spacing w:after="0" w:line="240" w:lineRule="auto"/>
    </w:pPr>
    <w:rPr>
      <w:color w:val="000000" w:themeColor="text1"/>
      <w14:textFill>
        <w14:solidFill>
          <w14:schemeClr w14:val="tx1"/>
        </w14:solidFill>
      </w14:textFill>
    </w:rPr>
    <w:tblPr>
      <w:tblBorders>
        <w:top w:val="single" w:color="4BACC6" w:themeColor="accent5" w:sz="24" w:space="0"/>
        <w:left w:val="single" w:color="F79646" w:themeColor="accent6" w:sz="4" w:space="0"/>
        <w:bottom w:val="single" w:color="F79646" w:themeColor="accent6" w:sz="4" w:space="0"/>
        <w:right w:val="single" w:color="F79646" w:themeColor="accent6" w:sz="4" w:space="0"/>
        <w:insideH w:val="single" w:color="FFFFFF" w:themeColor="background1" w:sz="4" w:space="0"/>
        <w:insideV w:val="single" w:color="FFFFFF" w:themeColor="background1" w:sz="4" w:space="0"/>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color="4BACC6" w:themeColor="accent5" w:sz="24" w:space="0"/>
          <w:right w:val="nil"/>
          <w:insideH w:val="nil"/>
          <w:insideV w:val="nil"/>
        </w:tcBorders>
        <w:shd w:val="clear" w:color="auto" w:fill="FFFFFF" w:themeFill="background1"/>
      </w:tcPr>
    </w:tblStylePr>
    <w:tblStylePr w:type="lastRow">
      <w:rPr>
        <w:b/>
        <w:bCs/>
        <w:color w:val="FFFFFF" w:themeColor="background1"/>
        <w14:textFill>
          <w14:solidFill>
            <w14:schemeClr w14:val="bg1"/>
          </w14:solidFill>
        </w14:textFill>
      </w:rPr>
      <w:tblPr/>
      <w:tcPr>
        <w:tcBorders>
          <w:top w:val="single" w:color="FFFFFF" w:themeColor="background1" w:sz="6" w:space="0"/>
        </w:tcBorders>
        <w:shd w:val="clear" w:color="auto" w:fill="B65607" w:themeFill="accent6" w:themeFillShade="99"/>
      </w:tcPr>
    </w:tblStylePr>
    <w:tblStylePr w:type="firstCol">
      <w:rPr>
        <w:color w:val="FFFFFF" w:themeColor="background1"/>
        <w14:textFill>
          <w14:solidFill>
            <w14:schemeClr w14:val="bg1"/>
          </w14:solidFill>
        </w14:textFill>
      </w:rPr>
      <w:tblPr/>
      <w:tcPr>
        <w:tcBorders>
          <w:top w:val="nil"/>
          <w:left w:val="nil"/>
          <w:bottom w:val="nil"/>
          <w:right w:val="nil"/>
          <w:insideH w:val="single" w:sz="4" w:space="0"/>
          <w:insideV w:val="nil"/>
        </w:tcBorders>
        <w:shd w:val="clear" w:color="auto" w:fill="B65607" w:themeFill="accent6" w:themeFillShade="99"/>
      </w:tcPr>
    </w:tblStylePr>
    <w:tblStylePr w:type="lastCol">
      <w:rPr>
        <w:color w:val="FFFFFF" w:themeColor="background1"/>
        <w14:textFill>
          <w14:solidFill>
            <w14:schemeClr w14:val="bg1"/>
          </w14:solidFill>
        </w14:textFill>
      </w:rPr>
      <w:tblPr/>
      <w:tcPr>
        <w:tcBorders>
          <w:top w:val="nil"/>
          <w:left w:val="nil"/>
          <w:bottom w:val="nil"/>
          <w:right w:val="nil"/>
          <w:insideH w:val="nil"/>
          <w:insideV w:val="nil"/>
        </w:tcBorders>
        <w:shd w:val="clear" w:color="auto" w:fill="B65607"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14:textFill>
          <w14:solidFill>
            <w14:schemeClr w14:val="tx1"/>
          </w14:solidFill>
        </w14:textFill>
      </w:rPr>
    </w:tblStylePr>
    <w:tblStylePr w:type="nwCell">
      <w:rPr>
        <w:color w:val="000000" w:themeColor="text1"/>
        <w14:textFill>
          <w14:solidFill>
            <w14:schemeClr w14:val="tx1"/>
          </w14:solidFill>
        </w14:textFill>
      </w:rPr>
    </w:tblStylePr>
  </w:style>
  <w:style w:type="table" w:styleId="118">
    <w:name w:val="Colorful List"/>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5E5E5" w:themeFill="tex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FBFBF" w:themeFill="text1" w:themeFillTint="3F"/>
      </w:tcPr>
    </w:tblStylePr>
    <w:tblStylePr w:type="band1Horz">
      <w:tblPr/>
      <w:tcPr>
        <w:shd w:val="clear" w:color="auto" w:fill="CCCCCC" w:themeFill="text1" w:themeFillTint="33"/>
      </w:tcPr>
    </w:tblStylePr>
  </w:style>
  <w:style w:type="table" w:styleId="119">
    <w:name w:val="Colorful List Accent 1"/>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120">
    <w:name w:val="Colorful List Accent 2"/>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9E3A38" w:themeFill="accent2" w:themeFillShade="CC"/>
      </w:tcPr>
    </w:tblStylePr>
    <w:tblStylePr w:type="lastRow">
      <w:rPr>
        <w:b/>
        <w:bCs/>
        <w:color w:val="9F3B38"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3" w:themeFill="accent2" w:themeFillTint="3F"/>
      </w:tcPr>
    </w:tblStylePr>
    <w:tblStylePr w:type="band1Horz">
      <w:tblPr/>
      <w:tcPr>
        <w:shd w:val="clear" w:color="auto" w:fill="F2DBDB" w:themeFill="accent2" w:themeFillTint="33"/>
      </w:tcPr>
    </w:tblStylePr>
  </w:style>
  <w:style w:type="table" w:styleId="121">
    <w:name w:val="Colorful List Accent 3"/>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664E82" w:themeFill="accent4" w:themeFillShade="CC"/>
      </w:tcPr>
    </w:tblStylePr>
    <w:tblStylePr w:type="lastRow">
      <w:rPr>
        <w:b/>
        <w:bCs/>
        <w:color w:val="664F83"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122">
    <w:name w:val="Colorful List Accent 4"/>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2EFF5" w:themeFill="accent4"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7E9C40" w:themeFill="accent3" w:themeFillShade="CC"/>
      </w:tcPr>
    </w:tblStylePr>
    <w:tblStylePr w:type="lastRow">
      <w:rPr>
        <w:b/>
        <w:bCs/>
        <w:color w:val="7E9D40"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123">
    <w:name w:val="Colorful List Accent 5"/>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F3730A" w:themeFill="accent6" w:themeFillShade="CC"/>
      </w:tcPr>
    </w:tblStylePr>
    <w:tblStylePr w:type="lastRow">
      <w:rPr>
        <w:b/>
        <w:bCs/>
        <w:color w:val="F3740B"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0" w:themeFill="accent5" w:themeFillTint="3F"/>
      </w:tcPr>
    </w:tblStylePr>
    <w:tblStylePr w:type="band1Horz">
      <w:tblPr/>
      <w:tcPr>
        <w:shd w:val="clear" w:color="auto" w:fill="DAEEF3" w:themeFill="accent5" w:themeFillTint="33"/>
      </w:tcPr>
    </w:tblStylePr>
  </w:style>
  <w:style w:type="table" w:styleId="124">
    <w:name w:val="Colorful List Accent 6"/>
    <w:basedOn w:val="32"/>
    <w:qFormat/>
    <w:uiPriority w:val="72"/>
    <w:pPr>
      <w:spacing w:after="0" w:line="240" w:lineRule="auto"/>
    </w:pPr>
    <w:rPr>
      <w:color w:val="000000" w:themeColor="text1"/>
      <w14:textFill>
        <w14:solidFill>
          <w14:schemeClr w14:val="tx1"/>
        </w14:solidFill>
      </w14:textFill>
    </w:rPr>
    <w:tblPr>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14:textFill>
          <w14:solidFill>
            <w14:schemeClr w14:val="bg1"/>
          </w14:solidFill>
        </w14:textFill>
      </w:rPr>
      <w:tblPr/>
      <w:tcPr>
        <w:tcBorders>
          <w:bottom w:val="single" w:color="FFFFFF" w:themeColor="background1" w:sz="12" w:space="0"/>
        </w:tcBorders>
        <w:shd w:val="clear" w:color="auto" w:fill="348DA5" w:themeFill="accent5" w:themeFillShade="CC"/>
      </w:tcPr>
    </w:tblStylePr>
    <w:tblStylePr w:type="lastRow">
      <w:rPr>
        <w:b/>
        <w:bCs/>
        <w:color w:val="358EA6"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5D1" w:themeFill="accent6" w:themeFillTint="3F"/>
      </w:tcPr>
    </w:tblStylePr>
    <w:tblStylePr w:type="band1Horz">
      <w:tblPr/>
      <w:tcPr>
        <w:shd w:val="clear" w:color="auto" w:fill="FDE9D9" w:themeFill="accent6" w:themeFillTint="33"/>
      </w:tcPr>
    </w:tblStylePr>
  </w:style>
  <w:style w:type="table" w:styleId="125">
    <w:name w:val="Colorful Grid"/>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14:textFill>
          <w14:solidFill>
            <w14:schemeClr w14:val="tx1"/>
          </w14:solidFill>
        </w14:textFill>
      </w:rPr>
      <w:tblPr/>
      <w:tcPr>
        <w:shd w:val="clear" w:color="auto" w:fill="999999" w:themeFill="text1" w:themeFillTint="66"/>
      </w:tcPr>
    </w:tblStylePr>
    <w:tblStylePr w:type="firstCol">
      <w:rPr>
        <w:color w:val="FFFFFF" w:themeColor="background1"/>
        <w14:textFill>
          <w14:solidFill>
            <w14:schemeClr w14:val="bg1"/>
          </w14:solidFill>
        </w14:textFill>
      </w:rPr>
      <w:tblPr/>
      <w:tcPr>
        <w:shd w:val="clear" w:color="auto" w:fill="000000" w:themeFill="text1" w:themeFillShade="BF"/>
      </w:tcPr>
    </w:tblStylePr>
    <w:tblStylePr w:type="lastCol">
      <w:rPr>
        <w:color w:val="FFFFFF" w:themeColor="background1"/>
        <w14:textFill>
          <w14:solidFill>
            <w14:schemeClr w14:val="bg1"/>
          </w14:solidFill>
        </w14:textFill>
      </w:rPr>
      <w:tblPr/>
      <w:tcPr>
        <w:shd w:val="clear" w:color="auto" w:fill="000000" w:themeFill="text1" w:themeFillShade="BF"/>
      </w:tcPr>
    </w:tblStylePr>
    <w:tblStylePr w:type="band1Vert">
      <w:tblPr/>
      <w:tcPr>
        <w:shd w:val="clear" w:color="auto" w:fill="7F7F7F" w:themeFill="text1" w:themeFillTint="7F"/>
      </w:tcPr>
    </w:tblStylePr>
    <w:tblStylePr w:type="band1Horz">
      <w:tblPr/>
      <w:tcPr>
        <w:shd w:val="clear" w:color="auto" w:fill="7F7F7F" w:themeFill="text1" w:themeFillTint="7F"/>
      </w:tcPr>
    </w:tblStylePr>
  </w:style>
  <w:style w:type="table" w:styleId="126">
    <w:name w:val="Colorful Grid Accent 1"/>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14:textFill>
          <w14:solidFill>
            <w14:schemeClr w14:val="tx1"/>
          </w14:solidFill>
        </w14:textFill>
      </w:rPr>
      <w:tblPr/>
      <w:tcPr>
        <w:shd w:val="clear" w:color="auto" w:fill="B8CCE4" w:themeFill="accent1" w:themeFillTint="66"/>
      </w:tcPr>
    </w:tblStylePr>
    <w:tblStylePr w:type="firstCol">
      <w:rPr>
        <w:color w:val="FFFFFF" w:themeColor="background1"/>
        <w14:textFill>
          <w14:solidFill>
            <w14:schemeClr w14:val="bg1"/>
          </w14:solidFill>
        </w14:textFill>
      </w:rPr>
      <w:tblPr/>
      <w:tcPr>
        <w:shd w:val="clear" w:color="auto" w:fill="366091" w:themeFill="accent1" w:themeFillShade="BF"/>
      </w:tcPr>
    </w:tblStylePr>
    <w:tblStylePr w:type="lastCol">
      <w:rPr>
        <w:color w:val="FFFFFF" w:themeColor="background1"/>
        <w14:textFill>
          <w14:solidFill>
            <w14:schemeClr w14:val="bg1"/>
          </w14:solidFill>
        </w14:textFill>
      </w:rPr>
      <w:tblPr/>
      <w:tcPr>
        <w:shd w:val="clear" w:color="auto" w:fill="366091" w:themeFill="accent1" w:themeFillShade="BF"/>
      </w:tcPr>
    </w:tblStylePr>
    <w:tblStylePr w:type="band1Vert">
      <w:tblPr/>
      <w:tcPr>
        <w:shd w:val="clear" w:color="auto" w:fill="A7C0DE" w:themeFill="accent1" w:themeFillTint="7F"/>
      </w:tcPr>
    </w:tblStylePr>
    <w:tblStylePr w:type="band1Horz">
      <w:tblPr/>
      <w:tcPr>
        <w:shd w:val="clear" w:color="auto" w:fill="A7C0DE" w:themeFill="accent1" w:themeFillTint="7F"/>
      </w:tcPr>
    </w:tblStylePr>
  </w:style>
  <w:style w:type="table" w:styleId="127">
    <w:name w:val="Colorful Grid Accent 2"/>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14:textFill>
          <w14:solidFill>
            <w14:schemeClr w14:val="tx1"/>
          </w14:solidFill>
        </w14:textFill>
      </w:rPr>
      <w:tblPr/>
      <w:tcPr>
        <w:shd w:val="clear" w:color="auto" w:fill="E5B8B7" w:themeFill="accent2" w:themeFillTint="66"/>
      </w:tcPr>
    </w:tblStylePr>
    <w:tblStylePr w:type="firstCol">
      <w:rPr>
        <w:color w:val="FFFFFF" w:themeColor="background1"/>
        <w14:textFill>
          <w14:solidFill>
            <w14:schemeClr w14:val="bg1"/>
          </w14:solidFill>
        </w14:textFill>
      </w:rPr>
      <w:tblPr/>
      <w:tcPr>
        <w:shd w:val="clear" w:color="auto" w:fill="943734" w:themeFill="accent2" w:themeFillShade="BF"/>
      </w:tcPr>
    </w:tblStylePr>
    <w:tblStylePr w:type="lastCol">
      <w:rPr>
        <w:color w:val="FFFFFF" w:themeColor="background1"/>
        <w14:textFill>
          <w14:solidFill>
            <w14:schemeClr w14:val="bg1"/>
          </w14:solidFill>
        </w14:textFill>
      </w:rPr>
      <w:tblPr/>
      <w:tcPr>
        <w:shd w:val="clear" w:color="auto" w:fill="9437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128">
    <w:name w:val="Colorful Grid Accent 3"/>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14:textFill>
          <w14:solidFill>
            <w14:schemeClr w14:val="tx1"/>
          </w14:solidFill>
        </w14:textFill>
      </w:rPr>
      <w:tblPr/>
      <w:tcPr>
        <w:shd w:val="clear" w:color="auto" w:fill="D6E3BC" w:themeFill="accent3" w:themeFillTint="66"/>
      </w:tcPr>
    </w:tblStylePr>
    <w:tblStylePr w:type="firstCol">
      <w:rPr>
        <w:color w:val="FFFFFF" w:themeColor="background1"/>
        <w14:textFill>
          <w14:solidFill>
            <w14:schemeClr w14:val="bg1"/>
          </w14:solidFill>
        </w14:textFill>
      </w:rPr>
      <w:tblPr/>
      <w:tcPr>
        <w:shd w:val="clear" w:color="auto" w:fill="76923C" w:themeFill="accent3" w:themeFillShade="BF"/>
      </w:tcPr>
    </w:tblStylePr>
    <w:tblStylePr w:type="lastCol">
      <w:rPr>
        <w:color w:val="FFFFFF" w:themeColor="background1"/>
        <w14:textFill>
          <w14:solidFill>
            <w14:schemeClr w14:val="bg1"/>
          </w14:solidFill>
        </w14:textFill>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129">
    <w:name w:val="Colorful Grid Accent 4"/>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14:textFill>
          <w14:solidFill>
            <w14:schemeClr w14:val="tx1"/>
          </w14:solidFill>
        </w14:textFill>
      </w:rPr>
      <w:tblPr/>
      <w:tcPr>
        <w:shd w:val="clear" w:color="auto" w:fill="CCC0D9" w:themeFill="accent4" w:themeFillTint="66"/>
      </w:tcPr>
    </w:tblStylePr>
    <w:tblStylePr w:type="firstCol">
      <w:rPr>
        <w:color w:val="FFFFFF" w:themeColor="background1"/>
        <w14:textFill>
          <w14:solidFill>
            <w14:schemeClr w14:val="bg1"/>
          </w14:solidFill>
        </w14:textFill>
      </w:rPr>
      <w:tblPr/>
      <w:tcPr>
        <w:shd w:val="clear" w:color="auto" w:fill="5F497A" w:themeFill="accent4" w:themeFillShade="BF"/>
      </w:tcPr>
    </w:tblStylePr>
    <w:tblStylePr w:type="lastCol">
      <w:rPr>
        <w:color w:val="FFFFFF" w:themeColor="background1"/>
        <w14:textFill>
          <w14:solidFill>
            <w14:schemeClr w14:val="bg1"/>
          </w14:solidFill>
        </w14:textFill>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130">
    <w:name w:val="Colorful Grid Accent 5"/>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14:textFill>
          <w14:solidFill>
            <w14:schemeClr w14:val="tx1"/>
          </w14:solidFill>
        </w14:textFill>
      </w:rPr>
      <w:tblPr/>
      <w:tcPr>
        <w:shd w:val="clear" w:color="auto" w:fill="B6DDE8" w:themeFill="accent5" w:themeFillTint="66"/>
      </w:tcPr>
    </w:tblStylePr>
    <w:tblStylePr w:type="firstCol">
      <w:rPr>
        <w:color w:val="FFFFFF" w:themeColor="background1"/>
        <w14:textFill>
          <w14:solidFill>
            <w14:schemeClr w14:val="bg1"/>
          </w14:solidFill>
        </w14:textFill>
      </w:rPr>
      <w:tblPr/>
      <w:tcPr>
        <w:shd w:val="clear" w:color="auto" w:fill="31849B" w:themeFill="accent5" w:themeFillShade="BF"/>
      </w:tcPr>
    </w:tblStylePr>
    <w:tblStylePr w:type="lastCol">
      <w:rPr>
        <w:color w:val="FFFFFF" w:themeColor="background1"/>
        <w14:textFill>
          <w14:solidFill>
            <w14:schemeClr w14:val="bg1"/>
          </w14:solidFill>
        </w14:textFill>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131">
    <w:name w:val="Colorful Grid Accent 6"/>
    <w:basedOn w:val="32"/>
    <w:qFormat/>
    <w:uiPriority w:val="73"/>
    <w:pPr>
      <w:spacing w:after="0" w:line="240" w:lineRule="auto"/>
    </w:pPr>
    <w:rPr>
      <w:color w:val="000000" w:themeColor="text1"/>
      <w14:textFill>
        <w14:solidFill>
          <w14:schemeClr w14:val="tx1"/>
        </w14:solidFill>
      </w14:textFill>
    </w:rPr>
    <w:tblPr>
      <w:tblBorders>
        <w:insideH w:val="single" w:color="FFFFFF" w:themeColor="background1" w:sz="4" w:space="0"/>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14:textFill>
          <w14:solidFill>
            <w14:schemeClr w14:val="tx1"/>
          </w14:solidFill>
        </w14:textFill>
      </w:rPr>
      <w:tblPr/>
      <w:tcPr>
        <w:shd w:val="clear" w:color="auto" w:fill="FBD4B4" w:themeFill="accent6" w:themeFillTint="66"/>
      </w:tcPr>
    </w:tblStylePr>
    <w:tblStylePr w:type="firstCol">
      <w:rPr>
        <w:color w:val="FFFFFF" w:themeColor="background1"/>
        <w14:textFill>
          <w14:solidFill>
            <w14:schemeClr w14:val="bg1"/>
          </w14:solidFill>
        </w14:textFill>
      </w:rPr>
      <w:tblPr/>
      <w:tcPr>
        <w:shd w:val="clear" w:color="auto" w:fill="E36C09" w:themeFill="accent6" w:themeFillShade="BF"/>
      </w:tcPr>
    </w:tblStylePr>
    <w:tblStylePr w:type="lastCol">
      <w:rPr>
        <w:color w:val="FFFFFF" w:themeColor="background1"/>
        <w14:textFill>
          <w14:solidFill>
            <w14:schemeClr w14:val="bg1"/>
          </w14:solidFill>
        </w14:textFill>
      </w:rPr>
      <w:tblPr/>
      <w:tcPr>
        <w:shd w:val="clear" w:color="auto" w:fill="E36C09"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133">
    <w:name w:val="Strong"/>
    <w:basedOn w:val="132"/>
    <w:qFormat/>
    <w:uiPriority w:val="22"/>
    <w:rPr>
      <w:b/>
      <w:bCs/>
    </w:rPr>
  </w:style>
  <w:style w:type="character" w:styleId="134">
    <w:name w:val="Emphasis"/>
    <w:basedOn w:val="132"/>
    <w:qFormat/>
    <w:uiPriority w:val="20"/>
    <w:rPr>
      <w:i/>
      <w:iCs/>
    </w:rPr>
  </w:style>
  <w:style w:type="character" w:customStyle="1" w:styleId="135">
    <w:name w:val="Header Char"/>
    <w:basedOn w:val="132"/>
    <w:link w:val="25"/>
    <w:qFormat/>
    <w:uiPriority w:val="99"/>
  </w:style>
  <w:style w:type="character" w:customStyle="1" w:styleId="136">
    <w:name w:val="Footer Char"/>
    <w:basedOn w:val="132"/>
    <w:link w:val="24"/>
    <w:qFormat/>
    <w:uiPriority w:val="99"/>
  </w:style>
  <w:style w:type="paragraph" w:styleId="137">
    <w:name w:val="No Spacing"/>
    <w:qFormat/>
    <w:uiPriority w:val="1"/>
    <w:pPr>
      <w:spacing w:after="0" w:line="240" w:lineRule="auto"/>
    </w:pPr>
    <w:rPr>
      <w:rFonts w:asciiTheme="minorHAnsi" w:hAnsiTheme="minorHAnsi" w:eastAsiaTheme="minorEastAsia" w:cstheme="minorBidi"/>
      <w:sz w:val="22"/>
      <w:szCs w:val="22"/>
      <w:lang w:val="en-US" w:eastAsia="en-US" w:bidi="ar-SA"/>
    </w:rPr>
  </w:style>
  <w:style w:type="character" w:customStyle="1" w:styleId="138">
    <w:name w:val="Heading 1 Char"/>
    <w:basedOn w:val="132"/>
    <w:link w:val="3"/>
    <w:uiPriority w:val="9"/>
    <w:rPr>
      <w:rFonts w:asciiTheme="majorHAnsi" w:hAnsiTheme="majorHAnsi" w:eastAsiaTheme="majorEastAsia" w:cstheme="majorBidi"/>
      <w:b/>
      <w:bCs/>
      <w:color w:val="376092" w:themeColor="accent1" w:themeShade="BF"/>
      <w:sz w:val="28"/>
      <w:szCs w:val="28"/>
    </w:rPr>
  </w:style>
  <w:style w:type="character" w:customStyle="1" w:styleId="139">
    <w:name w:val="Heading 2 Char"/>
    <w:basedOn w:val="132"/>
    <w:link w:val="4"/>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customStyle="1" w:styleId="140">
    <w:name w:val="Heading 3 Char"/>
    <w:basedOn w:val="132"/>
    <w:link w:val="5"/>
    <w:qFormat/>
    <w:uiPriority w:val="9"/>
    <w:rPr>
      <w:rFonts w:asciiTheme="majorHAnsi" w:hAnsiTheme="majorHAnsi" w:eastAsiaTheme="majorEastAsia" w:cstheme="majorBidi"/>
      <w:b/>
      <w:bCs/>
      <w:color w:val="4F81BD" w:themeColor="accent1"/>
      <w14:textFill>
        <w14:solidFill>
          <w14:schemeClr w14:val="accent1"/>
        </w14:solidFill>
      </w14:textFill>
    </w:rPr>
  </w:style>
  <w:style w:type="character" w:customStyle="1" w:styleId="141">
    <w:name w:val="Title Char"/>
    <w:basedOn w:val="132"/>
    <w:link w:val="31"/>
    <w:qFormat/>
    <w:uiPriority w:val="10"/>
    <w:rPr>
      <w:rFonts w:asciiTheme="majorHAnsi" w:hAnsiTheme="majorHAnsi" w:eastAsiaTheme="majorEastAsia" w:cstheme="majorBidi"/>
      <w:color w:val="17375E" w:themeColor="text2" w:themeShade="BF"/>
      <w:spacing w:val="5"/>
      <w:kern w:val="28"/>
      <w:sz w:val="52"/>
      <w:szCs w:val="52"/>
    </w:rPr>
  </w:style>
  <w:style w:type="character" w:customStyle="1" w:styleId="142">
    <w:name w:val="Subtitle Char"/>
    <w:basedOn w:val="132"/>
    <w:link w:val="26"/>
    <w:qFormat/>
    <w:uiPriority w:val="11"/>
    <w:rPr>
      <w:rFonts w:asciiTheme="majorHAnsi" w:hAnsiTheme="majorHAnsi" w:eastAsiaTheme="majorEastAsia" w:cstheme="majorBidi"/>
      <w:i/>
      <w:iCs/>
      <w:color w:val="4F81BD" w:themeColor="accent1"/>
      <w:spacing w:val="15"/>
      <w:sz w:val="24"/>
      <w:szCs w:val="24"/>
      <w14:textFill>
        <w14:solidFill>
          <w14:schemeClr w14:val="accent1"/>
        </w14:solidFill>
      </w14:textFill>
    </w:rPr>
  </w:style>
  <w:style w:type="paragraph" w:styleId="143">
    <w:name w:val="List Paragraph"/>
    <w:basedOn w:val="1"/>
    <w:qFormat/>
    <w:uiPriority w:val="34"/>
    <w:pPr>
      <w:ind w:left="720"/>
      <w:contextualSpacing/>
    </w:pPr>
  </w:style>
  <w:style w:type="character" w:customStyle="1" w:styleId="144">
    <w:name w:val="Body Text Char"/>
    <w:basedOn w:val="132"/>
    <w:link w:val="19"/>
    <w:qFormat/>
    <w:uiPriority w:val="99"/>
  </w:style>
  <w:style w:type="character" w:customStyle="1" w:styleId="145">
    <w:name w:val="Body Text 2 Char"/>
    <w:basedOn w:val="132"/>
    <w:link w:val="28"/>
    <w:qFormat/>
    <w:uiPriority w:val="99"/>
  </w:style>
  <w:style w:type="character" w:customStyle="1" w:styleId="146">
    <w:name w:val="Body Text 3 Char"/>
    <w:basedOn w:val="132"/>
    <w:link w:val="17"/>
    <w:qFormat/>
    <w:uiPriority w:val="99"/>
    <w:rPr>
      <w:sz w:val="16"/>
      <w:szCs w:val="16"/>
    </w:rPr>
  </w:style>
  <w:style w:type="character" w:customStyle="1" w:styleId="147">
    <w:name w:val="Macro Text Char"/>
    <w:basedOn w:val="132"/>
    <w:link w:val="2"/>
    <w:qFormat/>
    <w:uiPriority w:val="99"/>
    <w:rPr>
      <w:rFonts w:ascii="Courier" w:hAnsi="Courier"/>
      <w:sz w:val="20"/>
      <w:szCs w:val="20"/>
    </w:rPr>
  </w:style>
  <w:style w:type="paragraph" w:styleId="148">
    <w:name w:val="Quote"/>
    <w:basedOn w:val="1"/>
    <w:next w:val="1"/>
    <w:link w:val="149"/>
    <w:qFormat/>
    <w:uiPriority w:val="29"/>
    <w:rPr>
      <w:i/>
      <w:iCs/>
      <w:color w:val="000000" w:themeColor="text1"/>
      <w14:textFill>
        <w14:solidFill>
          <w14:schemeClr w14:val="tx1"/>
        </w14:solidFill>
      </w14:textFill>
    </w:rPr>
  </w:style>
  <w:style w:type="character" w:customStyle="1" w:styleId="149">
    <w:name w:val="Quote Char"/>
    <w:basedOn w:val="132"/>
    <w:link w:val="148"/>
    <w:qFormat/>
    <w:uiPriority w:val="29"/>
    <w:rPr>
      <w:i/>
      <w:iCs/>
      <w:color w:val="000000" w:themeColor="text1"/>
      <w14:textFill>
        <w14:solidFill>
          <w14:schemeClr w14:val="tx1"/>
        </w14:solidFill>
      </w14:textFill>
    </w:rPr>
  </w:style>
  <w:style w:type="character" w:customStyle="1" w:styleId="150">
    <w:name w:val="Heading 4 Char"/>
    <w:basedOn w:val="132"/>
    <w:link w:val="6"/>
    <w:semiHidden/>
    <w:qFormat/>
    <w:uiPriority w:val="9"/>
    <w:rPr>
      <w:rFonts w:asciiTheme="majorHAnsi" w:hAnsiTheme="majorHAnsi" w:eastAsiaTheme="majorEastAsia" w:cstheme="majorBidi"/>
      <w:b/>
      <w:bCs/>
      <w:i/>
      <w:iCs/>
      <w:color w:val="4F81BD" w:themeColor="accent1"/>
      <w14:textFill>
        <w14:solidFill>
          <w14:schemeClr w14:val="accent1"/>
        </w14:solidFill>
      </w14:textFill>
    </w:rPr>
  </w:style>
  <w:style w:type="character" w:customStyle="1" w:styleId="151">
    <w:name w:val="Heading 5 Char"/>
    <w:basedOn w:val="132"/>
    <w:link w:val="7"/>
    <w:semiHidden/>
    <w:qFormat/>
    <w:uiPriority w:val="9"/>
    <w:rPr>
      <w:rFonts w:asciiTheme="majorHAnsi" w:hAnsiTheme="majorHAnsi" w:eastAsiaTheme="majorEastAsia" w:cstheme="majorBidi"/>
      <w:color w:val="254061" w:themeColor="accent1" w:themeShade="80"/>
    </w:rPr>
  </w:style>
  <w:style w:type="character" w:customStyle="1" w:styleId="152">
    <w:name w:val="Heading 6 Char"/>
    <w:basedOn w:val="132"/>
    <w:link w:val="8"/>
    <w:semiHidden/>
    <w:qFormat/>
    <w:uiPriority w:val="9"/>
    <w:rPr>
      <w:rFonts w:asciiTheme="majorHAnsi" w:hAnsiTheme="majorHAnsi" w:eastAsiaTheme="majorEastAsia" w:cstheme="majorBidi"/>
      <w:i/>
      <w:iCs/>
      <w:color w:val="254061" w:themeColor="accent1" w:themeShade="80"/>
    </w:rPr>
  </w:style>
  <w:style w:type="character" w:customStyle="1" w:styleId="153">
    <w:name w:val="Heading 7 Char"/>
    <w:basedOn w:val="132"/>
    <w:link w:val="9"/>
    <w:semiHidden/>
    <w:qFormat/>
    <w:uiPriority w:val="9"/>
    <w:rPr>
      <w:rFonts w:asciiTheme="majorHAnsi" w:hAnsiTheme="majorHAnsi" w:eastAsiaTheme="majorEastAsia" w:cstheme="majorBidi"/>
      <w:i/>
      <w:iCs/>
      <w:color w:val="404040" w:themeColor="text1" w:themeTint="BF"/>
      <w14:textFill>
        <w14:solidFill>
          <w14:schemeClr w14:val="tx1">
            <w14:lumMod w14:val="75000"/>
            <w14:lumOff w14:val="25000"/>
          </w14:schemeClr>
        </w14:solidFill>
      </w14:textFill>
    </w:rPr>
  </w:style>
  <w:style w:type="character" w:customStyle="1" w:styleId="154">
    <w:name w:val="Heading 8 Char"/>
    <w:basedOn w:val="132"/>
    <w:link w:val="10"/>
    <w:semiHidden/>
    <w:qFormat/>
    <w:uiPriority w:val="9"/>
    <w:rPr>
      <w:rFonts w:asciiTheme="majorHAnsi" w:hAnsiTheme="majorHAnsi" w:eastAsiaTheme="majorEastAsia" w:cstheme="majorBidi"/>
      <w:color w:val="4F81BD" w:themeColor="accent1"/>
      <w:sz w:val="20"/>
      <w:szCs w:val="20"/>
      <w14:textFill>
        <w14:solidFill>
          <w14:schemeClr w14:val="accent1"/>
        </w14:solidFill>
      </w14:textFill>
    </w:rPr>
  </w:style>
  <w:style w:type="character" w:customStyle="1" w:styleId="155">
    <w:name w:val="Heading 9 Char"/>
    <w:basedOn w:val="132"/>
    <w:link w:val="11"/>
    <w:semiHidden/>
    <w:qFormat/>
    <w:uiPriority w:val="9"/>
    <w:rPr>
      <w:rFonts w:asciiTheme="majorHAnsi" w:hAnsiTheme="majorHAnsi" w:eastAsiaTheme="majorEastAsia" w:cstheme="majorBidi"/>
      <w:i/>
      <w:iCs/>
      <w:color w:val="404040" w:themeColor="text1" w:themeTint="BF"/>
      <w:sz w:val="20"/>
      <w:szCs w:val="20"/>
      <w14:textFill>
        <w14:solidFill>
          <w14:schemeClr w14:val="tx1">
            <w14:lumMod w14:val="75000"/>
            <w14:lumOff w14:val="25000"/>
          </w14:schemeClr>
        </w14:solidFill>
      </w14:textFill>
    </w:rPr>
  </w:style>
  <w:style w:type="paragraph" w:styleId="156">
    <w:name w:val="Intense Quote"/>
    <w:basedOn w:val="1"/>
    <w:next w:val="1"/>
    <w:link w:val="157"/>
    <w:qFormat/>
    <w:uiPriority w:val="30"/>
    <w:pPr>
      <w:pBdr>
        <w:bottom w:val="single" w:color="4F81BD" w:themeColor="accent1" w:sz="4" w:space="4"/>
      </w:pBdr>
      <w:spacing w:before="200" w:after="280"/>
      <w:ind w:left="936" w:right="936"/>
    </w:pPr>
    <w:rPr>
      <w:b/>
      <w:bCs/>
      <w:i/>
      <w:iCs/>
      <w:color w:val="4F81BD" w:themeColor="accent1"/>
      <w14:textFill>
        <w14:solidFill>
          <w14:schemeClr w14:val="accent1"/>
        </w14:solidFill>
      </w14:textFill>
    </w:rPr>
  </w:style>
  <w:style w:type="character" w:customStyle="1" w:styleId="157">
    <w:name w:val="Intense Quote Char"/>
    <w:basedOn w:val="132"/>
    <w:link w:val="156"/>
    <w:qFormat/>
    <w:uiPriority w:val="30"/>
    <w:rPr>
      <w:b/>
      <w:bCs/>
      <w:i/>
      <w:iCs/>
      <w:color w:val="4F81BD" w:themeColor="accent1"/>
      <w14:textFill>
        <w14:solidFill>
          <w14:schemeClr w14:val="accent1"/>
        </w14:solidFill>
      </w14:textFill>
    </w:rPr>
  </w:style>
  <w:style w:type="character" w:customStyle="1" w:styleId="158">
    <w:name w:val="Subtle Emphasis"/>
    <w:basedOn w:val="132"/>
    <w:qFormat/>
    <w:uiPriority w:val="19"/>
    <w:rPr>
      <w:i/>
      <w:iCs/>
      <w:color w:val="808080" w:themeColor="text1" w:themeTint="80"/>
      <w14:textFill>
        <w14:solidFill>
          <w14:schemeClr w14:val="tx1">
            <w14:lumMod w14:val="50000"/>
            <w14:lumOff w14:val="50000"/>
          </w14:schemeClr>
        </w14:solidFill>
      </w14:textFill>
    </w:rPr>
  </w:style>
  <w:style w:type="character" w:customStyle="1" w:styleId="159">
    <w:name w:val="Intense Emphasis"/>
    <w:basedOn w:val="132"/>
    <w:qFormat/>
    <w:uiPriority w:val="21"/>
    <w:rPr>
      <w:b/>
      <w:bCs/>
      <w:i/>
      <w:iCs/>
      <w:color w:val="4F81BD" w:themeColor="accent1"/>
      <w14:textFill>
        <w14:solidFill>
          <w14:schemeClr w14:val="accent1"/>
        </w14:solidFill>
      </w14:textFill>
    </w:rPr>
  </w:style>
  <w:style w:type="character" w:customStyle="1" w:styleId="160">
    <w:name w:val="Subtle Reference"/>
    <w:basedOn w:val="132"/>
    <w:qFormat/>
    <w:uiPriority w:val="31"/>
    <w:rPr>
      <w:smallCaps/>
      <w:color w:val="C0504D" w:themeColor="accent2"/>
      <w:u w:val="single"/>
      <w14:textFill>
        <w14:solidFill>
          <w14:schemeClr w14:val="accent2"/>
        </w14:solidFill>
      </w14:textFill>
    </w:rPr>
  </w:style>
  <w:style w:type="character" w:customStyle="1" w:styleId="161">
    <w:name w:val="Intense Reference"/>
    <w:basedOn w:val="132"/>
    <w:qFormat/>
    <w:uiPriority w:val="32"/>
    <w:rPr>
      <w:b/>
      <w:bCs/>
      <w:smallCaps/>
      <w:color w:val="C0504D" w:themeColor="accent2"/>
      <w:spacing w:val="5"/>
      <w:u w:val="single"/>
      <w14:textFill>
        <w14:solidFill>
          <w14:schemeClr w14:val="accent2"/>
        </w14:solidFill>
      </w14:textFill>
    </w:rPr>
  </w:style>
  <w:style w:type="character" w:customStyle="1" w:styleId="162">
    <w:name w:val="Book Title"/>
    <w:basedOn w:val="132"/>
    <w:qFormat/>
    <w:uiPriority w:val="33"/>
    <w:rPr>
      <w:b/>
      <w:bCs/>
      <w:smallCaps/>
      <w:spacing w:val="5"/>
    </w:rPr>
  </w:style>
  <w:style w:type="paragraph" w:customStyle="1" w:styleId="163">
    <w:name w:val="TOC Heading"/>
    <w:basedOn w:val="3"/>
    <w:next w:val="1"/>
    <w:semiHidden/>
    <w:unhideWhenUsed/>
    <w:qFormat/>
    <w:uiPriority w:val="39"/>
    <w:pPr>
      <w:outlineLvl w:val="9"/>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datastoreItem>
</file>

<file path=docProps/app.xml><?xml version="1.0" encoding="utf-8"?>
<Properties xmlns="http://schemas.openxmlformats.org/officeDocument/2006/extended-properties" xmlns:vt="http://schemas.openxmlformats.org/officeDocument/2006/docPropsVTypes">
  <Template>Normal.dotm</Template>
  <Pages>3</Pages>
  <Words>7076</Words>
  <Characters>7196</Characters>
  <Lines>0</Lines>
  <Paragraphs>0</Paragraphs>
  <TotalTime>13</TotalTime>
  <ScaleCrop>false</ScaleCrop>
  <LinksUpToDate>false</LinksUpToDate>
  <CharactersWithSpaces>7196</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2013-12-23T23:15:00Z</dcterms:created>
  <dc:creator>python-docx</dc:creator>
  <dc:description>generated by python-docx</dc:description>
  <cp:lastModifiedBy>龍</cp:lastModifiedBy>
  <dcterms:modified xsi:type="dcterms:W3CDTF">2026-08-18T03:54:11Z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eyJoZGlkIjoiYzE5OTY4OTg5NmY0YmVhMTY1ODQwYjIxNDdiYzFhNmEiLCJ1c2VySWQiOiIzMzE0Njg4MDUifQ==</vt:lpwstr>
  </property>
  <property fmtid="{D5CDD505-2E9C-101B-9397-08002B2CF9AE}" pid="3" name="KSOProductBuildVer">
    <vt:lpwstr>2052-12.1.0.28043</vt:lpwstr>
  </property>
  <property fmtid="{D5CDD505-2E9C-101B-9397-08002B2CF9AE}" pid="4" name="ICV">
    <vt:lpwstr>2371DF03353B4388B81C779F01A3A593_12</vt:lpwstr>
  </property>
</Properties>
</file>