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3BF69">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Hans"/>
        </w:rPr>
        <w:t>附件</w:t>
      </w:r>
      <w:r>
        <w:rPr>
          <w:rFonts w:hint="default" w:ascii="方正仿宋_GBK" w:hAnsi="方正仿宋_GBK" w:eastAsia="方正仿宋_GBK" w:cs="方正仿宋_GBK"/>
          <w:sz w:val="32"/>
          <w:szCs w:val="32"/>
          <w:lang w:val="en-US" w:eastAsia="zh-CN"/>
        </w:rPr>
        <w:t>3</w:t>
      </w:r>
    </w:p>
    <w:p w14:paraId="447524E3">
      <w:pPr>
        <w:keepNext w:val="0"/>
        <w:keepLines w:val="0"/>
        <w:pageBreakBefore w:val="0"/>
        <w:widowControl w:val="0"/>
        <w:kinsoku/>
        <w:wordWrap/>
        <w:overflowPunct/>
        <w:topLinePunct w:val="0"/>
        <w:autoSpaceDE/>
        <w:autoSpaceDN/>
        <w:bidi w:val="0"/>
        <w:adjustRightInd/>
        <w:snapToGrid/>
        <w:spacing w:line="570" w:lineRule="exact"/>
        <w:ind w:firstLineChars="200"/>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部分不合格项目小知识</w:t>
      </w:r>
    </w:p>
    <w:p w14:paraId="5CC4C6C3">
      <w:pPr>
        <w:keepNext w:val="0"/>
        <w:keepLines w:val="0"/>
        <w:pageBreakBefore w:val="0"/>
        <w:widowControl w:val="0"/>
        <w:kinsoku/>
        <w:wordWrap/>
        <w:overflowPunct/>
        <w:topLinePunct w:val="0"/>
        <w:autoSpaceDE/>
        <w:autoSpaceDN/>
        <w:bidi w:val="0"/>
        <w:adjustRightInd/>
        <w:snapToGrid/>
        <w:spacing w:line="570" w:lineRule="exact"/>
        <w:ind w:firstLineChars="200"/>
        <w:jc w:val="center"/>
        <w:textAlignment w:val="auto"/>
        <w:rPr>
          <w:rFonts w:hint="eastAsia" w:ascii="方正小标宋_GBK" w:hAnsi="方正小标宋_GBK" w:eastAsia="方正小标宋_GBK" w:cs="方正小标宋_GBK"/>
          <w:sz w:val="40"/>
          <w:szCs w:val="40"/>
          <w:lang w:val="en-US" w:eastAsia="zh-CN"/>
        </w:rPr>
      </w:pPr>
      <w:bookmarkStart w:id="0" w:name="_GoBack"/>
      <w:bookmarkEnd w:id="0"/>
    </w:p>
    <w:p w14:paraId="058EEBC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w:t>
      </w:r>
      <w:r>
        <w:rPr>
          <w:rFonts w:hint="default" w:ascii="方正黑体_GBK" w:hAnsi="方正黑体_GBK" w:eastAsia="方正黑体_GBK" w:cs="方正黑体_GBK"/>
          <w:sz w:val="32"/>
          <w:szCs w:val="32"/>
          <w:lang w:val="en-US" w:eastAsia="zh-CN"/>
        </w:rPr>
        <w:t>苯甲酸及其钠盐</w:t>
      </w:r>
      <w:r>
        <w:rPr>
          <w:rFonts w:hint="eastAsia" w:ascii="方正黑体_GBK" w:hAnsi="方正黑体_GBK" w:eastAsia="方正黑体_GBK" w:cs="方正黑体_GBK"/>
          <w:sz w:val="32"/>
          <w:szCs w:val="32"/>
          <w:lang w:val="en-US" w:eastAsia="zh-CN"/>
        </w:rPr>
        <w:t>（</w:t>
      </w:r>
      <w:r>
        <w:rPr>
          <w:rFonts w:hint="default" w:ascii="方正黑体_GBK" w:hAnsi="方正黑体_GBK" w:eastAsia="方正黑体_GBK" w:cs="方正黑体_GBK"/>
          <w:sz w:val="32"/>
          <w:szCs w:val="32"/>
          <w:lang w:val="en-US" w:eastAsia="zh-CN"/>
        </w:rPr>
        <w:t>以苯甲酸计</w:t>
      </w:r>
      <w:r>
        <w:rPr>
          <w:rFonts w:hint="eastAsia" w:ascii="方正黑体_GBK" w:hAnsi="方正黑体_GBK" w:eastAsia="方正黑体_GBK" w:cs="方正黑体_GBK"/>
          <w:sz w:val="32"/>
          <w:szCs w:val="32"/>
          <w:lang w:val="en-US" w:eastAsia="zh-CN"/>
        </w:rPr>
        <w:t>）</w:t>
      </w:r>
    </w:p>
    <w:p w14:paraId="2955AD6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苯甲酸（benzoic acid）又称安息香酸，在酸性条件下对多种微生物有明显的杀菌、抑菌作用，是很常用的食品防腐剂。它是常见植物代谢产物，在食品中存在少量本底，如红枣、蓝莓、奶粉（来自饲料）等。一般情况下，苯甲酸被认为是安全的，在食品中添加少量苯甲酸时，对人体并无毒害。人体摄入少量的苯甲酸后，苯甲酸与体内的一种氨基酸生成一种无害的新物质，随尿液排出，但如果人体长期大量摄入苯甲酸或苯甲酸钠残留超标的食品，可能会造成肝脏积累性中毒，危害肝脏健康。联合国粮农组织（FAO）和世界卫生组织食品添加剂联合专家委员（JECFA）建议其日容许摄入量（ADI）为 0~5mg/kg bw（以苯甲酸计）</w:t>
      </w:r>
      <w:r>
        <w:rPr>
          <w:rFonts w:hint="eastAsia" w:ascii="方正仿宋_GBK" w:hAnsi="方正仿宋_GBK" w:eastAsia="方正仿宋_GBK" w:cs="方正仿宋_GBK"/>
          <w:sz w:val="32"/>
          <w:szCs w:val="32"/>
          <w:lang w:val="en-US" w:eastAsia="zh-CN"/>
        </w:rPr>
        <w:t>。</w:t>
      </w:r>
    </w:p>
    <w:p w14:paraId="7B32FE4E">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造成食品中苯甲酸不合格的主要原因有：生产经营企业为延长产品保质期，或者弥补产品生产过程卫生条件不佳而超限量、超范围使用，或者使用时未准确计量。</w:t>
      </w:r>
    </w:p>
    <w:p w14:paraId="6744383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w:t>
      </w:r>
      <w:r>
        <w:rPr>
          <w:rFonts w:hint="default" w:ascii="方正黑体_GBK" w:hAnsi="方正黑体_GBK" w:eastAsia="方正黑体_GBK" w:cs="方正黑体_GBK"/>
          <w:sz w:val="32"/>
          <w:szCs w:val="32"/>
          <w:lang w:val="en-US" w:eastAsia="zh-CN"/>
        </w:rPr>
        <w:t>防腐剂混合使用时各自用量占其最大使用量的比例之和</w:t>
      </w:r>
    </w:p>
    <w:p w14:paraId="45B75335">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防腐剂是能抑制微生物活动，防止食品腐败变质的一类</w:t>
      </w:r>
      <w:r>
        <w:rPr>
          <w:rFonts w:hint="default" w:ascii="方正仿宋_GBK" w:hAnsi="方正仿宋_GBK" w:eastAsia="方正仿宋_GBK" w:cs="方正仿宋_GBK"/>
          <w:sz w:val="32"/>
          <w:szCs w:val="32"/>
          <w:lang w:val="en-US" w:eastAsia="zh-CN"/>
        </w:rPr>
        <w:fldChar w:fldCharType="begin"/>
      </w:r>
      <w:r>
        <w:rPr>
          <w:rFonts w:hint="default" w:ascii="方正仿宋_GBK" w:hAnsi="方正仿宋_GBK" w:eastAsia="方正仿宋_GBK" w:cs="方正仿宋_GBK"/>
          <w:sz w:val="32"/>
          <w:szCs w:val="32"/>
          <w:lang w:val="en-US" w:eastAsia="zh-CN"/>
        </w:rPr>
        <w:instrText xml:space="preserve"> HYPERLINK "https://baike.baidu.com/item/%E9%A3%9F%E5%93%81%E6%B7%BB%E5%8A%A0%E5%89%82/1680288" \t "_blank" </w:instrText>
      </w:r>
      <w:r>
        <w:rPr>
          <w:rFonts w:hint="default" w:ascii="方正仿宋_GBK" w:hAnsi="方正仿宋_GBK" w:eastAsia="方正仿宋_GBK" w:cs="方正仿宋_GBK"/>
          <w:sz w:val="32"/>
          <w:szCs w:val="32"/>
          <w:lang w:val="en-US" w:eastAsia="zh-CN"/>
        </w:rPr>
        <w:fldChar w:fldCharType="separate"/>
      </w:r>
      <w:r>
        <w:rPr>
          <w:rFonts w:hint="default" w:ascii="方正仿宋_GBK" w:hAnsi="方正仿宋_GBK" w:eastAsia="方正仿宋_GBK" w:cs="方正仿宋_GBK"/>
          <w:sz w:val="32"/>
          <w:szCs w:val="32"/>
          <w:lang w:val="en-US" w:eastAsia="zh-CN"/>
        </w:rPr>
        <w:t>食品添加剂</w:t>
      </w:r>
      <w:r>
        <w:rPr>
          <w:rFonts w:hint="default" w:ascii="方正仿宋_GBK" w:hAnsi="方正仿宋_GBK" w:eastAsia="方正仿宋_GBK" w:cs="方正仿宋_GBK"/>
          <w:sz w:val="32"/>
          <w:szCs w:val="32"/>
          <w:lang w:val="en-US" w:eastAsia="zh-CN"/>
        </w:rPr>
        <w:fldChar w:fldCharType="end"/>
      </w:r>
      <w:r>
        <w:rPr>
          <w:rFonts w:hint="default" w:ascii="方正仿宋_GBK" w:hAnsi="方正仿宋_GBK" w:eastAsia="方正仿宋_GBK" w:cs="方正仿宋_GBK"/>
          <w:sz w:val="32"/>
          <w:szCs w:val="32"/>
          <w:lang w:val="en-US" w:eastAsia="zh-CN"/>
        </w:rPr>
        <w:t>。长期食用防腐剂超标的产品，可能会引发肠胃炎等疾病，可能对肝、肾等人体重要器官带来危害，还可能诱发过敏等症状，长期过量食用食品防腐剂超标的食物可能对人体健康产生一定影响。《食品安全国家标准 食品添加剂使用标准》（GB 2760-2014）中规定，防腐剂混合使用时各自用量占其最大使用量的比例之和不应超过1。防腐剂混合使用时各自用量占其最大使用量的比例之和不合格的原因，可能是生产厂商对国家标准不了解或了解得不够透彻，未按标准要求添加多种防腐剂所致。</w:t>
      </w:r>
    </w:p>
    <w:p w14:paraId="539A918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lang w:val="en-US" w:eastAsia="zh-CN"/>
        </w:rPr>
        <w:t>、大肠菌群</w:t>
      </w:r>
    </w:p>
    <w:p w14:paraId="67F30377">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大肠菌群（</w:t>
      </w:r>
      <w:r>
        <w:rPr>
          <w:rFonts w:hint="default" w:ascii="方正仿宋_GBK" w:hAnsi="方正仿宋_GBK" w:eastAsia="方正仿宋_GBK" w:cs="方正仿宋_GBK"/>
          <w:sz w:val="32"/>
          <w:szCs w:val="32"/>
          <w:lang w:val="en-US" w:eastAsia="zh-CN"/>
        </w:rPr>
        <w:t>coliforms</w:t>
      </w:r>
      <w:r>
        <w:rPr>
          <w:rFonts w:hint="eastAsia" w:ascii="方正仿宋_GBK" w:hAnsi="方正仿宋_GBK" w:eastAsia="方正仿宋_GBK" w:cs="方正仿宋_GBK"/>
          <w:sz w:val="32"/>
          <w:szCs w:val="32"/>
          <w:lang w:val="en-US" w:eastAsia="zh-CN"/>
        </w:rPr>
        <w:t>）包括肠杆菌科的埃希氏菌属、柠檬酸杆菌属、肠杆菌属和克雷伯菌属。这些菌属中的细菌，主要来自人和温血动物的肠道，需氧与兼性厌氧，不形成芽孢，在</w:t>
      </w:r>
      <w:r>
        <w:rPr>
          <w:rFonts w:hint="default"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~37</w:t>
      </w:r>
      <w:r>
        <w:rPr>
          <w:rFonts w:hint="eastAsia" w:ascii="方正仿宋_GBK" w:hAnsi="方正仿宋_GBK" w:eastAsia="方正仿宋_GBK" w:cs="方正仿宋_GBK"/>
          <w:sz w:val="32"/>
          <w:szCs w:val="32"/>
          <w:lang w:val="en-US" w:eastAsia="zh-CN"/>
        </w:rPr>
        <w:t>℃下能发酵乳糖产酸产气的革兰氏阴性杆菌。食品中大肠菌群的数量可以采用相当于每克或每毫升食品的最近似数来表示，简称大肠菌群最近似数（</w:t>
      </w:r>
      <w:r>
        <w:rPr>
          <w:rFonts w:hint="default" w:ascii="方正仿宋_GBK" w:hAnsi="方正仿宋_GBK" w:eastAsia="方正仿宋_GBK" w:cs="方正仿宋_GBK"/>
          <w:sz w:val="32"/>
          <w:szCs w:val="32"/>
          <w:lang w:val="en-US" w:eastAsia="zh-CN"/>
        </w:rPr>
        <w:t>MPN</w:t>
      </w:r>
      <w:r>
        <w:rPr>
          <w:rFonts w:hint="eastAsia" w:ascii="方正仿宋_GBK" w:hAnsi="方正仿宋_GBK" w:eastAsia="方正仿宋_GBK" w:cs="方正仿宋_GBK"/>
          <w:sz w:val="32"/>
          <w:szCs w:val="32"/>
          <w:lang w:val="en-US" w:eastAsia="zh-CN"/>
        </w:rPr>
        <w:t>）；也可以采用菌落形成单位（</w:t>
      </w:r>
      <w:r>
        <w:rPr>
          <w:rFonts w:hint="default" w:ascii="方正仿宋_GBK" w:hAnsi="方正仿宋_GBK" w:eastAsia="方正仿宋_GBK" w:cs="方正仿宋_GBK"/>
          <w:sz w:val="32"/>
          <w:szCs w:val="32"/>
          <w:lang w:val="en-US" w:eastAsia="zh-CN"/>
        </w:rPr>
        <w:t>CFU</w:t>
      </w:r>
      <w:r>
        <w:rPr>
          <w:rFonts w:hint="eastAsia" w:ascii="方正仿宋_GBK" w:hAnsi="方正仿宋_GBK" w:eastAsia="方正仿宋_GBK" w:cs="方正仿宋_GBK"/>
          <w:sz w:val="32"/>
          <w:szCs w:val="32"/>
          <w:lang w:val="en-US" w:eastAsia="zh-CN"/>
        </w:rPr>
        <w:t xml:space="preserve">）表示。大肠菌群是国内外常用的指示性指标之一。其卫生学意义：一是作为食品受到人与温血动物粪便污染的指示菌；二是作为肠道致病菌污染食品的指示菌，提示食品被致病菌（如沙门氏菌、志贺氏菌、致泻大肠埃希氏菌等）污染的可能性较大。食品中大肠菌群不合格，说明食品存在卫生质量缺陷，对人体健康具有潜在危害。 </w:t>
      </w:r>
    </w:p>
    <w:p w14:paraId="42920DB6">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大肠菌群超标可能由于产品的加工原料、包装材料受污染，或在生产过程中产品受人员、工器具等生产设备、环境的污染，有加热处理工艺的产品加热不彻底而导致。</w:t>
      </w:r>
    </w:p>
    <w:p w14:paraId="7136111A">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噻虫胺</w:t>
      </w:r>
    </w:p>
    <w:p w14:paraId="253EE9AC">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噻虫胺（</w:t>
      </w:r>
      <w:r>
        <w:rPr>
          <w:rFonts w:hint="default" w:ascii="方正仿宋_GBK" w:hAnsi="方正仿宋_GBK" w:eastAsia="方正仿宋_GBK" w:cs="方正仿宋_GBK"/>
          <w:sz w:val="32"/>
          <w:szCs w:val="32"/>
          <w:lang w:val="en-US" w:eastAsia="zh-CN"/>
        </w:rPr>
        <w:t>clothianidin</w:t>
      </w:r>
      <w:r>
        <w:rPr>
          <w:rFonts w:hint="eastAsia" w:ascii="方正仿宋_GBK" w:hAnsi="方正仿宋_GBK" w:eastAsia="方正仿宋_GBK" w:cs="方正仿宋_GBK"/>
          <w:sz w:val="32"/>
          <w:szCs w:val="32"/>
          <w:lang w:val="en-US" w:eastAsia="zh-CN"/>
        </w:rPr>
        <w:t xml:space="preserve">），烟碱类杀虫剂，具有触杀、胃毒作用，具有根内吸活性和层间传导性。土壤处理、叶面喷施和种子处理，防治水稻、玉米、油菜、果树和蔬菜、柑橘的刺吸式和咀嚼式害虫，如飞虱、椿象、蚜虫和烟粉虱。雌雄大鼠急性经口 </w:t>
      </w:r>
      <w:r>
        <w:rPr>
          <w:rFonts w:hint="default" w:ascii="方正仿宋_GBK" w:hAnsi="方正仿宋_GBK" w:eastAsia="方正仿宋_GBK" w:cs="方正仿宋_GBK"/>
          <w:sz w:val="32"/>
          <w:szCs w:val="32"/>
          <w:lang w:val="en-US" w:eastAsia="zh-CN"/>
        </w:rPr>
        <w:t>LD50&gt;5000mg/kg</w:t>
      </w:r>
      <w:r>
        <w:rPr>
          <w:rFonts w:hint="eastAsia" w:ascii="方正仿宋_GBK" w:hAnsi="方正仿宋_GBK" w:eastAsia="方正仿宋_GBK" w:cs="方正仿宋_GBK"/>
          <w:sz w:val="32"/>
          <w:szCs w:val="32"/>
          <w:lang w:val="en-US" w:eastAsia="zh-CN"/>
        </w:rPr>
        <w:t xml:space="preserve">，急性毒性分级为微毒。急性中毒可出现恶心、呕吐、头痛、乏力、躁动、抽搐等。食用食品一般不会导致噻虫胺的急性中毒，但长期食用噻虫胺超标的食品，对人体健康也有一定影响。 </w:t>
      </w:r>
    </w:p>
    <w:p w14:paraId="3D142CDF">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铝的残留量(干样品,以Al计)</w:t>
      </w:r>
    </w:p>
    <w:p w14:paraId="23F5FD6E">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含铝食品添加剂（比如钾明矾、铵明矾）可用作膨松剂、稳定剂。按标准使用含铝食品添加剂不会对健康造成危害，但长期过量摄入铝可能与儿童智力发育障碍、软骨病、骨质疏松等疾病有关。铝残留量超标的原因可能是个别生产经营企业为增加产品口感，在生产加工过程中超限量、超范围使用含铝添加剂，或者其使用的复配添加剂中铝含量过高，而在粉丝、粉条产品中，还可能是生产经营企业使用的原料受环境原因，天然含有较高含量的铝本底所致。</w:t>
      </w:r>
    </w:p>
    <w:p w14:paraId="532A6CFF">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极性组分</w:t>
      </w:r>
    </w:p>
    <w:p w14:paraId="0A55DDF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极性组分是食用油在高温煎炸过程中发生热氧化反应、热聚合反应、热氧化聚合反应、热裂解反应和水解反应所产生比正常油脂分子（甘油三酸酯）极性大的一些成分，如游离脂肪酸、甘油一酯、甘油二酯、氧化甘油三酯和甘油三酯聚合物等，其中甘油三酯聚合物对人体健康的危害性最大，它由氧化甘油三酯通过聚合反应生成，可根据聚合程度的不同分为氧化甘油三酯二聚物和氧化甘油三酯寡聚物。 </w:t>
      </w:r>
    </w:p>
    <w:p w14:paraId="0A73FA35">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长期食用过度煎炸的食用植物油，其热氧化产物、热氧化聚合产物对人体健康不利。</w:t>
      </w:r>
    </w:p>
    <w:p w14:paraId="57B0A733">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苯并[a]芘</w:t>
      </w:r>
    </w:p>
    <w:p w14:paraId="064B8ABB">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苯并</w:t>
      </w:r>
      <w:r>
        <w:rPr>
          <w:rFonts w:hint="default"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lang w:val="en-US" w:eastAsia="zh-CN"/>
        </w:rPr>
        <w:t>芘</w:t>
      </w:r>
      <w:r>
        <w:rPr>
          <w:rFonts w:hint="default" w:ascii="方正仿宋_GBK" w:hAnsi="方正仿宋_GBK" w:eastAsia="方正仿宋_GBK" w:cs="方正仿宋_GBK"/>
          <w:sz w:val="32"/>
          <w:szCs w:val="32"/>
          <w:lang w:val="en-US" w:eastAsia="zh-CN"/>
        </w:rPr>
        <w:t>[benzoapyrene, B</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P]</w:t>
      </w:r>
      <w:r>
        <w:rPr>
          <w:rFonts w:hint="eastAsia" w:ascii="方正仿宋_GBK" w:hAnsi="方正仿宋_GBK" w:eastAsia="方正仿宋_GBK" w:cs="方正仿宋_GBK"/>
          <w:sz w:val="32"/>
          <w:szCs w:val="32"/>
          <w:lang w:val="en-US" w:eastAsia="zh-CN"/>
        </w:rPr>
        <w:t>是持久性有机污染物多环芳烃化合物的一种，化学性质较稳定。苯并</w:t>
      </w:r>
      <w:r>
        <w:rPr>
          <w:rFonts w:hint="default"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lang w:val="en-US" w:eastAsia="zh-CN"/>
        </w:rPr>
        <w:t>芘具有致畸、致癌和生殖毒性，可引起皮肤、肺、胃、乳腺、血液淋巴变化和肿瘤，可通过血</w:t>
      </w:r>
      <w:r>
        <w:rPr>
          <w:rFonts w:hint="default"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胎盘屏障。造成食品中苯并</w:t>
      </w:r>
      <w:r>
        <w:rPr>
          <w:rFonts w:hint="default"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lang w:val="en-US" w:eastAsia="zh-CN"/>
        </w:rPr>
        <w:t>芘不合格的主要原因有：食品在烘烤或熏制时直接受到污染；食品成分高温烹调加工时发生热解或热聚反应所形成；食品加工时受机油和食品包装材料等污染；植物性食品吸收土壤、水和大气中的苯并</w:t>
      </w:r>
      <w:r>
        <w:rPr>
          <w:rFonts w:hint="default" w:ascii="方正仿宋_GBK" w:hAnsi="方正仿宋_GBK" w:eastAsia="方正仿宋_GBK" w:cs="方正仿宋_GBK"/>
          <w:sz w:val="32"/>
          <w:szCs w:val="32"/>
          <w:lang w:val="en-US" w:eastAsia="zh-CN"/>
        </w:rPr>
        <w:t>[a]</w:t>
      </w:r>
      <w:r>
        <w:rPr>
          <w:rFonts w:hint="eastAsia" w:ascii="方正仿宋_GBK" w:hAnsi="方正仿宋_GBK" w:eastAsia="方正仿宋_GBK" w:cs="方正仿宋_GBK"/>
          <w:sz w:val="32"/>
          <w:szCs w:val="32"/>
          <w:lang w:val="en-US" w:eastAsia="zh-CN"/>
        </w:rPr>
        <w:t>芘而被污染；在柏油路上晒粮食受到污染；企业在生产时没有严格挑拣原料和进行相关检测；生产经营企业采用的工艺控制不当。</w:t>
      </w:r>
    </w:p>
    <w:p w14:paraId="1A187149">
      <w:pPr>
        <w:keepNext w:val="0"/>
        <w:keepLines w:val="0"/>
        <w:pageBreakBefore w:val="0"/>
        <w:widowControl w:val="0"/>
        <w:numPr>
          <w:numId w:val="0"/>
        </w:numPr>
        <w:kinsoku/>
        <w:wordWrap/>
        <w:overflowPunct/>
        <w:topLinePunct w:val="0"/>
        <w:autoSpaceDE/>
        <w:autoSpaceDN/>
        <w:bidi w:val="0"/>
        <w:adjustRightInd/>
        <w:snapToGrid/>
        <w:spacing w:line="570" w:lineRule="exact"/>
        <w:ind w:leftChars="200"/>
        <w:textAlignment w:val="auto"/>
        <w:rPr>
          <w:rFonts w:hint="default" w:ascii="方正仿宋_GBK" w:hAnsi="方正仿宋_GBK" w:eastAsia="方正仿宋_GBK" w:cs="方正仿宋_GBK"/>
          <w:sz w:val="32"/>
          <w:szCs w:val="32"/>
          <w:lang w:val="en-US" w:eastAsia="zh-CN"/>
        </w:rPr>
      </w:pPr>
    </w:p>
    <w:sectPr>
      <w:footerReference r:id="rId3" w:type="default"/>
      <w:pgSz w:w="11906" w:h="16838"/>
      <w:pgMar w:top="198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embedRegular r:id="rId1" w:fontKey="{4573DE87-A35C-4791-9ED0-013E0E702FA5}"/>
  </w:font>
  <w:font w:name="方正小标宋_GBK">
    <w:panose1 w:val="02000000000000000000"/>
    <w:charset w:val="86"/>
    <w:family w:val="auto"/>
    <w:pitch w:val="default"/>
    <w:sig w:usb0="A00002BF" w:usb1="38CF7CFA" w:usb2="00082016" w:usb3="00000000" w:csb0="00040001" w:csb1="00000000"/>
    <w:embedRegular r:id="rId2" w:fontKey="{79757B31-4E88-45D4-B1AC-8E0709E162E5}"/>
  </w:font>
  <w:font w:name="方正黑体_GBK">
    <w:panose1 w:val="02010600010101010101"/>
    <w:charset w:val="86"/>
    <w:family w:val="auto"/>
    <w:pitch w:val="default"/>
    <w:sig w:usb0="00000001" w:usb1="080E0000" w:usb2="00000000" w:usb3="00000000" w:csb0="00040000" w:csb1="00000000"/>
    <w:embedRegular r:id="rId3" w:fontKey="{F093EF2C-EC55-423D-900E-FC4F94D5E5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61EDD64D">
        <w:pPr>
          <w:pStyle w:val="3"/>
          <w:jc w:val="center"/>
        </w:pPr>
        <w:r>
          <w:fldChar w:fldCharType="begin"/>
        </w:r>
        <w:r>
          <w:instrText xml:space="preserve">PAGE   \* MERGEFORMAT</w:instrText>
        </w:r>
        <w:r>
          <w:fldChar w:fldCharType="separate"/>
        </w:r>
        <w:r>
          <w:rPr>
            <w:lang w:val="zh-CN"/>
          </w:rPr>
          <w:t>1</w:t>
        </w:r>
        <w:r>
          <w:fldChar w:fldCharType="end"/>
        </w:r>
      </w:p>
    </w:sdtContent>
  </w:sdt>
  <w:p w14:paraId="1FDEF6D4">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5A214"/>
    <w:multiLevelType w:val="singleLevel"/>
    <w:tmpl w:val="6B25A21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45415"/>
    <w:rsid w:val="4FE45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Body Text First Indent 2"/>
    <w:basedOn w:val="2"/>
    <w:next w:val="1"/>
    <w:qFormat/>
    <w:uiPriority w:val="0"/>
    <w:pPr>
      <w:adjustRightInd w:val="0"/>
      <w:ind w:left="0" w:leftChars="0" w:firstLine="880" w:firstLineChars="200"/>
    </w:pPr>
    <w:rPr>
      <w:rFonts w:ascii="Calibri" w:hAnsi="Calibri" w:eastAsia="仿宋" w:cs="Times New Roman"/>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2026-06-24T08:38:00Z</dcterms:created>
  <dc:creator>WPS_1593580216</dc:creator>
  <cp:lastModifiedBy>WPS_1593580216</cp:lastModifiedBy>
  <dcterms:modified xsi:type="dcterms:W3CDTF">2026-06-24T08:51:18Z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CAD43F9842AC40BFA94F180BC07B829F_11</vt:lpwstr>
  </property>
  <property fmtid="{D5CDD505-2E9C-101B-9397-08002B2CF9AE}" pid="4" name="KSOTemplateDocerSaveRecord">
    <vt:lpwstr>eyJoZGlkIjoiYjBlNDBlN2E2NGQyNzBmNTZlNjhmMWQ0MTQ1MDg0NjQiLCJ1c2VySWQiOiIxMDI2NDg4NTkxIn0=</vt:lpwstr>
  </property>
</Properties>
</file>