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3BF69">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Hans"/>
        </w:rPr>
        <w:t>附件</w:t>
      </w:r>
      <w:r>
        <w:rPr>
          <w:rFonts w:hint="default" w:ascii="方正仿宋_GBK" w:hAnsi="方正仿宋_GBK" w:eastAsia="方正仿宋_GBK" w:cs="方正仿宋_GBK"/>
          <w:sz w:val="32"/>
          <w:szCs w:val="32"/>
          <w:lang w:val="en-US" w:eastAsia="zh-CN"/>
        </w:rPr>
        <w:t>3</w:t>
      </w:r>
    </w:p>
    <w:p w14:paraId="447524E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部分不合格项目小知识</w:t>
      </w:r>
    </w:p>
    <w:p w14:paraId="5CC4C6C3">
      <w:pPr>
        <w:keepNext w:val="0"/>
        <w:keepLines w:val="0"/>
        <w:pageBreakBefore w:val="0"/>
        <w:widowControl w:val="0"/>
        <w:kinsoku/>
        <w:wordWrap/>
        <w:overflowPunct/>
        <w:topLinePunct w:val="0"/>
        <w:autoSpaceDE/>
        <w:autoSpaceDN/>
        <w:bidi w:val="0"/>
        <w:adjustRightInd/>
        <w:snapToGrid/>
        <w:spacing w:line="570" w:lineRule="exact"/>
        <w:ind w:firstLineChars="200"/>
        <w:jc w:val="center"/>
        <w:textAlignment w:val="auto"/>
        <w:rPr>
          <w:rFonts w:hint="eastAsia" w:ascii="方正小标宋_GBK" w:hAnsi="方正小标宋_GBK" w:eastAsia="方正小标宋_GBK" w:cs="方正小标宋_GBK"/>
          <w:sz w:val="40"/>
          <w:szCs w:val="40"/>
          <w:lang w:val="en-US" w:eastAsia="zh-CN"/>
        </w:rPr>
      </w:pPr>
    </w:p>
    <w:p w14:paraId="058EEBC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一、苯甲酸及其钠盐（以苯甲酸计）</w:t>
      </w:r>
    </w:p>
    <w:p w14:paraId="2955AD6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苯甲酸（benzoic acid）又称安息香酸，在酸性条件下对多种微生物有明显的杀菌、抑菌作用，是很常用的食品防腐剂。它是常见植物代谢产物，在食品中存在少量本底，如红枣、蓝莓、奶粉（来自饲料）等。一般情况下，苯甲酸被认为是安全的，在食品中添加少量苯甲酸时，对人体并无毒害。人体摄入少量的苯甲酸后，苯甲酸与体内的一种氨基酸生成一种无害的新物质，随尿液排出，但如果人体长期大量摄入苯甲酸或苯甲酸钠残留超标的食品，可能会造成肝脏积累性中毒，危害肝脏健康。联合国粮农组织（FAO）和世界卫生组织食品添加剂联合专家委员（JECFA）建议其日容许摄入量（ADI）为0~5mg/kgbw（以苯甲酸计）。</w:t>
      </w:r>
    </w:p>
    <w:p w14:paraId="7B32FE4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造成食品中苯甲酸不合格的主要原因有：生产经营企业为延长产品保质期，或者弥补产品生产过程卫生条件不佳而超限量、超范围使用，或者使用时未准确计量。</w:t>
      </w:r>
    </w:p>
    <w:p w14:paraId="3D142CD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二、铝的残留量(干样品,以Al计)</w:t>
      </w:r>
    </w:p>
    <w:p w14:paraId="23F5FD6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含铝食品添加剂（比如钾明矾、铵明矾）可用作膨松剂、稳定剂。按标准使用含铝食品添加剂不会对健康造成危害，但长期过量摄入铝可能与儿童智力发育障碍、软骨病、骨质疏松等疾病有关。铝残留量超标的原因可能是个别生产经营企业为增加产品口感，在生产加工过程中超限量、超范围使用含铝添加剂，或者其使用的复配添加剂中铝含量过高。</w:t>
      </w:r>
    </w:p>
    <w:p w14:paraId="1E76E19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三、柠檬黄</w:t>
      </w:r>
    </w:p>
    <w:p w14:paraId="64BA6D8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柠檬黄（</w:t>
      </w:r>
      <w:r>
        <w:rPr>
          <w:rFonts w:hint="default" w:ascii="方正仿宋_GBK" w:hAnsi="方正仿宋_GBK" w:eastAsia="方正仿宋_GBK" w:cs="方正仿宋_GBK"/>
          <w:sz w:val="32"/>
          <w:szCs w:val="32"/>
          <w:lang w:val="en-US" w:eastAsia="zh-CN"/>
        </w:rPr>
        <w:t>tartrazine</w:t>
      </w:r>
      <w:r>
        <w:rPr>
          <w:rFonts w:hint="eastAsia" w:ascii="方正仿宋_GBK" w:hAnsi="方正仿宋_GBK" w:eastAsia="方正仿宋_GBK" w:cs="方正仿宋_GBK"/>
          <w:sz w:val="32"/>
          <w:szCs w:val="32"/>
          <w:lang w:val="en-US" w:eastAsia="zh-CN"/>
        </w:rPr>
        <w:t>），橙黄或亮橙色的粉末或颗粒，是一种合成着色剂，常用于饮料类配制酒、糖果、风味发酵乳、腌渍蔬菜、果冻、膨化食品等制品。柠檬黄基本无毒，不在体内贮积，绝大部分以原形排出体外；但是如果，也存在健康风险。联合国粮农组织（</w:t>
      </w:r>
      <w:r>
        <w:rPr>
          <w:rFonts w:hint="default" w:ascii="方正仿宋_GBK" w:hAnsi="方正仿宋_GBK" w:eastAsia="方正仿宋_GBK" w:cs="方正仿宋_GBK"/>
          <w:sz w:val="32"/>
          <w:szCs w:val="32"/>
          <w:lang w:val="en-US" w:eastAsia="zh-CN"/>
        </w:rPr>
        <w:t>FAO</w:t>
      </w:r>
      <w:r>
        <w:rPr>
          <w:rFonts w:hint="eastAsia" w:ascii="方正仿宋_GBK" w:hAnsi="方正仿宋_GBK" w:eastAsia="方正仿宋_GBK" w:cs="方正仿宋_GBK"/>
          <w:sz w:val="32"/>
          <w:szCs w:val="32"/>
          <w:lang w:val="en-US" w:eastAsia="zh-CN"/>
        </w:rPr>
        <w:t>）和世界卫生组织食品添加剂联合专家委员会（</w:t>
      </w:r>
      <w:r>
        <w:rPr>
          <w:rFonts w:hint="default" w:ascii="方正仿宋_GBK" w:hAnsi="方正仿宋_GBK" w:eastAsia="方正仿宋_GBK" w:cs="方正仿宋_GBK"/>
          <w:sz w:val="32"/>
          <w:szCs w:val="32"/>
          <w:lang w:val="en-US" w:eastAsia="zh-CN"/>
        </w:rPr>
        <w:t>JECFA</w:t>
      </w:r>
      <w:r>
        <w:rPr>
          <w:rFonts w:hint="eastAsia" w:ascii="方正仿宋_GBK" w:hAnsi="方正仿宋_GBK" w:eastAsia="方正仿宋_GBK" w:cs="方正仿宋_GBK"/>
          <w:sz w:val="32"/>
          <w:szCs w:val="32"/>
          <w:lang w:val="en-US" w:eastAsia="zh-CN"/>
        </w:rPr>
        <w:t>）建议其日容许摄入量（</w:t>
      </w:r>
      <w:r>
        <w:rPr>
          <w:rFonts w:hint="default" w:ascii="方正仿宋_GBK" w:hAnsi="方正仿宋_GBK" w:eastAsia="方正仿宋_GBK" w:cs="方正仿宋_GBK"/>
          <w:sz w:val="32"/>
          <w:szCs w:val="32"/>
          <w:lang w:val="en-US" w:eastAsia="zh-CN"/>
        </w:rPr>
        <w:t>ADI</w:t>
      </w:r>
      <w:r>
        <w:rPr>
          <w:rFonts w:hint="eastAsia" w:ascii="方正仿宋_GBK" w:hAnsi="方正仿宋_GBK" w:eastAsia="方正仿宋_GBK" w:cs="方正仿宋_GBK"/>
          <w:sz w:val="32"/>
          <w:szCs w:val="32"/>
          <w:lang w:val="en-US" w:eastAsia="zh-CN"/>
        </w:rPr>
        <w:t xml:space="preserve">）为 </w:t>
      </w:r>
      <w:r>
        <w:rPr>
          <w:rFonts w:hint="default" w:ascii="方正仿宋_GBK" w:hAnsi="方正仿宋_GBK" w:eastAsia="方正仿宋_GBK" w:cs="方正仿宋_GBK"/>
          <w:sz w:val="32"/>
          <w:szCs w:val="32"/>
          <w:lang w:val="en-US" w:eastAsia="zh-CN"/>
        </w:rPr>
        <w:t>0~10mg/kgbw</w:t>
      </w:r>
      <w:r>
        <w:rPr>
          <w:rFonts w:hint="eastAsia" w:ascii="方正仿宋_GBK" w:hAnsi="方正仿宋_GBK" w:eastAsia="方正仿宋_GBK" w:cs="方正仿宋_GBK"/>
          <w:sz w:val="32"/>
          <w:szCs w:val="32"/>
          <w:lang w:val="en-US" w:eastAsia="zh-CN"/>
        </w:rPr>
        <w:t xml:space="preserve">。 </w:t>
      </w:r>
    </w:p>
    <w:p w14:paraId="26C38C2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造成食品中柠檬黄不合格的主要原因有：生产经营企业超限量、超范围使用，或者未准确计量。</w:t>
      </w:r>
    </w:p>
    <w:p w14:paraId="3A73D60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四、大肠菌群</w:t>
      </w:r>
    </w:p>
    <w:p w14:paraId="09A40DC0">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大肠菌群包括肠杆菌科的埃希氏菌属、柠檬酸杆菌属、肠杆菌属和克雷伯菌属。这些菌属中的细菌，主要来自人和温血动物的肠道，需氧与兼性厌氧，不形成芽孢，在</w:t>
      </w:r>
      <w:r>
        <w:rPr>
          <w:rFonts w:hint="default"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~37</w:t>
      </w:r>
      <w:r>
        <w:rPr>
          <w:rFonts w:hint="eastAsia" w:ascii="方正仿宋_GBK" w:hAnsi="方正仿宋_GBK" w:eastAsia="方正仿宋_GBK" w:cs="方正仿宋_GBK"/>
          <w:sz w:val="32"/>
          <w:szCs w:val="32"/>
          <w:lang w:val="en-US" w:eastAsia="zh-CN"/>
        </w:rPr>
        <w:t>℃下能发酵乳糖产酸产气的革兰氏阴性杆菌。食品中大肠菌群的数量可以采用相当于每克或每毫升食品的最近似数来表示，简称大肠菌群最近似数（</w:t>
      </w:r>
      <w:r>
        <w:rPr>
          <w:rFonts w:hint="default" w:ascii="方正仿宋_GBK" w:hAnsi="方正仿宋_GBK" w:eastAsia="方正仿宋_GBK" w:cs="方正仿宋_GBK"/>
          <w:sz w:val="32"/>
          <w:szCs w:val="32"/>
          <w:lang w:val="en-US" w:eastAsia="zh-CN"/>
        </w:rPr>
        <w:t>MPN</w:t>
      </w:r>
      <w:r>
        <w:rPr>
          <w:rFonts w:hint="eastAsia" w:ascii="方正仿宋_GBK" w:hAnsi="方正仿宋_GBK" w:eastAsia="方正仿宋_GBK" w:cs="方正仿宋_GBK"/>
          <w:sz w:val="32"/>
          <w:szCs w:val="32"/>
          <w:lang w:val="en-US" w:eastAsia="zh-CN"/>
        </w:rPr>
        <w:t>）；也可以采用菌落形成单位（</w:t>
      </w:r>
      <w:r>
        <w:rPr>
          <w:rFonts w:hint="default" w:ascii="方正仿宋_GBK" w:hAnsi="方正仿宋_GBK" w:eastAsia="方正仿宋_GBK" w:cs="方正仿宋_GBK"/>
          <w:sz w:val="32"/>
          <w:szCs w:val="32"/>
          <w:lang w:val="en-US" w:eastAsia="zh-CN"/>
        </w:rPr>
        <w:t>CFU</w:t>
      </w:r>
      <w:r>
        <w:rPr>
          <w:rFonts w:hint="eastAsia" w:ascii="方正仿宋_GBK" w:hAnsi="方正仿宋_GBK" w:eastAsia="方正仿宋_GBK" w:cs="方正仿宋_GBK"/>
          <w:sz w:val="32"/>
          <w:szCs w:val="32"/>
          <w:lang w:val="en-US" w:eastAsia="zh-CN"/>
        </w:rPr>
        <w:t xml:space="preserve">）表示。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 </w:t>
      </w:r>
    </w:p>
    <w:p w14:paraId="155CD6AE">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大肠菌群超标可能由于产品的加工原料、包装材料受污染，或在生产过程中产品受人员、工器具等生产设备、环境的污染，有加热处理工艺的产品加热不彻底而导致。</w:t>
      </w:r>
    </w:p>
    <w:p w14:paraId="532A6CF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五、极性组分</w:t>
      </w:r>
    </w:p>
    <w:p w14:paraId="0A55DDF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极性组分是食用油在高温煎炸过程中发生热氧化反应、热聚合反应、热氧化聚合反应、热裂解反应和水解反应所产生比正常油脂分子（甘油三酸酯）极性大的一些成分，如游离脂肪酸、甘油一酯、甘油二酯、氧化甘油三酯和甘油三酯聚合物等，其中甘油三酯聚合物对人体健康的危害性最大，它由氧化甘油三酯通过聚合反应生成，可根据聚合程度的不同分为氧化甘油三酯二聚物和氧化甘油三酯寡聚物。 </w:t>
      </w:r>
    </w:p>
    <w:p w14:paraId="777EB8B9">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长期食用过度煎炸的食用植物油，其热氧化产物、热氧化聚合产物对人体健康不利。</w:t>
      </w:r>
    </w:p>
    <w:p w14:paraId="5D58045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六、阴离子合成洗涤剂(以十二烷基苯磺酸钠计)</w:t>
      </w:r>
    </w:p>
    <w:p w14:paraId="32E9D934">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阴离子合成洗涤剂主要成分为十二烷基苯磺酸钠，是洗洁精、餐具洗涤剂核心有效成分。小碗检出残留的主要原因</w:t>
      </w:r>
      <w:r>
        <w:rPr>
          <w:rFonts w:hint="eastAsia" w:ascii="方正仿宋_GBK" w:hAnsi="方正仿宋_GBK" w:eastAsia="方正仿宋_GBK" w:cs="方正仿宋_GBK"/>
          <w:sz w:val="32"/>
          <w:szCs w:val="32"/>
          <w:lang w:val="en-US" w:eastAsia="zh-CN"/>
        </w:rPr>
        <w:t>是洗碗时洗洁精用量偏大，仅简单过水，未使用流动清水多次冲净，碗内壁、碗底、碗沿凹槽藏留洗涤液，烘干/存放后形成残留。冲洗不到位就直接高温消毒柜、沸水烫洗，高温无法分解洗涤剂，反而让残留牢牢附着碗壁；抹布、洗碗池长期油腻带洗涤剂，二次污染干净小碗。短期刺激：微量残留随食物入口，刺激口腔、食道、肠胃黏膜，易引发恶心、腹胀、腹泻；皮肤敏感者端碗接触会手痒、起皮。长期累积会对人体健康造成一定的危害。</w:t>
      </w:r>
    </w:p>
    <w:p w14:paraId="0CF61C5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w:t>
      </w:r>
      <w:r>
        <w:rPr>
          <w:rFonts w:hint="default" w:ascii="方正黑体_GBK" w:hAnsi="方正黑体_GBK" w:eastAsia="方正黑体_GBK" w:cs="方正黑体_GBK"/>
          <w:sz w:val="32"/>
          <w:szCs w:val="32"/>
          <w:lang w:val="en-US" w:eastAsia="zh-CN"/>
        </w:rPr>
        <w:t>丙溴磷</w:t>
      </w:r>
    </w:p>
    <w:p w14:paraId="074D2C56">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丙溴磷是一种具有触杀和胃毒作用，专用于杀灭刺吸式口器害虫的超高效有机磷杀虫剂。《食品安全国家标准食品中农药最大残留限量》（GB 2763—20</w:t>
      </w:r>
      <w:r>
        <w:rPr>
          <w:rFonts w:hint="eastAsia" w:ascii="方正仿宋_GBK" w:hAnsi="方正仿宋_GBK" w:eastAsia="方正仿宋_GBK" w:cs="方正仿宋_GBK"/>
          <w:sz w:val="32"/>
          <w:szCs w:val="32"/>
          <w:lang w:val="en-US" w:eastAsia="zh-CN"/>
        </w:rPr>
        <w:t>26</w:t>
      </w:r>
      <w:r>
        <w:rPr>
          <w:rFonts w:hint="default" w:ascii="方正仿宋_GBK" w:hAnsi="方正仿宋_GBK" w:eastAsia="方正仿宋_GBK" w:cs="方正仿宋_GBK"/>
          <w:sz w:val="32"/>
          <w:szCs w:val="32"/>
          <w:lang w:val="en-US" w:eastAsia="zh-CN"/>
        </w:rPr>
        <w:t>）中规定，丙溴磷在柑橘中的最大残留限量为0.2mg/kg。少量的农药残留不会引起人体急性中毒，但长期食用农药残留超标的食品，对人体健康有一定影响。</w:t>
      </w:r>
    </w:p>
    <w:p w14:paraId="674438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w:t>
      </w:r>
      <w:r>
        <w:rPr>
          <w:rFonts w:hint="default" w:ascii="方正黑体_GBK" w:hAnsi="方正黑体_GBK" w:eastAsia="方正黑体_GBK" w:cs="方正黑体_GBK"/>
          <w:sz w:val="32"/>
          <w:szCs w:val="32"/>
          <w:lang w:val="en-US" w:eastAsia="zh-CN"/>
        </w:rPr>
        <w:t>噻虫嗪</w:t>
      </w:r>
    </w:p>
    <w:p w14:paraId="45B75335">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注意不能与碱性药剂混用。不要在低于零下10℃和高于35℃的环境储存。对蜜蜂有毒，用药时要特别注意。本药杀虫活性很高，用药时不要盲目加大用药量。</w:t>
      </w:r>
    </w:p>
    <w:p w14:paraId="7136111A">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lang w:val="en-US" w:eastAsia="zh-CN"/>
        </w:rPr>
        <w:t>九、</w:t>
      </w:r>
      <w:r>
        <w:rPr>
          <w:rFonts w:hint="default" w:ascii="方正黑体_GBK" w:hAnsi="方正黑体_GBK" w:eastAsia="方正黑体_GBK" w:cs="方正黑体_GBK"/>
          <w:sz w:val="32"/>
          <w:szCs w:val="32"/>
          <w:highlight w:val="none"/>
          <w:lang w:val="en-US" w:eastAsia="zh-CN"/>
        </w:rPr>
        <w:t>噻虫胺</w:t>
      </w:r>
    </w:p>
    <w:p w14:paraId="253EE9AC">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噻虫胺（</w:t>
      </w:r>
      <w:r>
        <w:rPr>
          <w:rFonts w:hint="default" w:ascii="方正仿宋_GBK" w:hAnsi="方正仿宋_GBK" w:eastAsia="方正仿宋_GBK" w:cs="方正仿宋_GBK"/>
          <w:sz w:val="32"/>
          <w:szCs w:val="32"/>
          <w:lang w:val="en-US" w:eastAsia="zh-CN"/>
        </w:rPr>
        <w:t>clothianidin</w:t>
      </w:r>
      <w:r>
        <w:rPr>
          <w:rFonts w:hint="eastAsia" w:ascii="方正仿宋_GBK" w:hAnsi="方正仿宋_GBK" w:eastAsia="方正仿宋_GBK" w:cs="方正仿宋_GBK"/>
          <w:sz w:val="32"/>
          <w:szCs w:val="32"/>
          <w:lang w:val="en-US" w:eastAsia="zh-CN"/>
        </w:rPr>
        <w:t xml:space="preserve">），烟碱类杀虫剂，具有触杀、胃毒作用，具有根内吸活性和层间传导性。土壤处理、叶面喷施和种子处理，防治水稻、玉米、油菜、果树和蔬菜、柑橘的刺吸式和咀嚼式害虫，如飞虱、椿象、蚜虫和烟粉虱。雌雄大鼠急性经口 </w:t>
      </w:r>
      <w:r>
        <w:rPr>
          <w:rFonts w:hint="default" w:ascii="方正仿宋_GBK" w:hAnsi="方正仿宋_GBK" w:eastAsia="方正仿宋_GBK" w:cs="方正仿宋_GBK"/>
          <w:sz w:val="32"/>
          <w:szCs w:val="32"/>
          <w:lang w:val="en-US" w:eastAsia="zh-CN"/>
        </w:rPr>
        <w:t>LD50&gt;5000mg/kg</w:t>
      </w:r>
      <w:r>
        <w:rPr>
          <w:rFonts w:hint="eastAsia" w:ascii="方正仿宋_GBK" w:hAnsi="方正仿宋_GBK" w:eastAsia="方正仿宋_GBK" w:cs="方正仿宋_GBK"/>
          <w:sz w:val="32"/>
          <w:szCs w:val="32"/>
          <w:lang w:val="en-US" w:eastAsia="zh-CN"/>
        </w:rPr>
        <w:t xml:space="preserve">，急性毒性分级为微毒。急性中毒可出现恶心、呕吐、头痛、乏力、躁动、抽搐等。食用食品一般不会导致噻虫胺的急性中毒，但长期食用噻虫胺超标的食品，对人体健康也有一定影响。 </w:t>
      </w:r>
    </w:p>
    <w:p w14:paraId="5F849ED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十、过氧化值</w:t>
      </w:r>
    </w:p>
    <w:p w14:paraId="4EF2B746">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highlight w:val="none"/>
          <w:lang w:val="en-US" w:eastAsia="zh-CN"/>
        </w:rPr>
        <w:t> </w:t>
      </w:r>
      <w:r>
        <w:rPr>
          <w:rFonts w:hint="eastAsia" w:ascii="方正仿宋_GBK" w:hAnsi="方正仿宋_GBK" w:eastAsia="方正仿宋_GBK" w:cs="方正仿宋_GBK"/>
          <w:sz w:val="32"/>
          <w:szCs w:val="32"/>
          <w:lang w:val="en-US" w:eastAsia="zh-CN"/>
        </w:rPr>
        <w:t>过氧化值是油脂酸败的早期指标，主要反映油脂被氧化的程度。食用过氧化值超标的食品一般不会对人体产生损害，但长期食用过氧化值严重超标食品可能导致肠胃不适、腹泻等。过氧化值（以脂肪计）检测值超标的原因，可能是产品用油已经变质，也可能是原料中的脂肪已经被氧化，还可能与产品在储存过程中环境条件控制不当等有关。</w:t>
      </w:r>
    </w:p>
    <w:p w14:paraId="379FFAE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十一、氟唑菌酰胺</w:t>
      </w:r>
      <w:bookmarkStart w:id="0" w:name="_GoBack"/>
      <w:bookmarkEnd w:id="0"/>
    </w:p>
    <w:p w14:paraId="3A94949A">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highlight w:val="none"/>
          <w:lang w:val="en-US" w:eastAsia="zh-CN"/>
        </w:rPr>
      </w:pPr>
      <w:r>
        <w:rPr>
          <w:rFonts w:hint="default" w:ascii="方正仿宋_GBK" w:hAnsi="方正仿宋_GBK" w:eastAsia="方正仿宋_GBK" w:cs="方正仿宋_GBK"/>
          <w:sz w:val="32"/>
          <w:szCs w:val="32"/>
          <w:lang w:val="en-US" w:eastAsia="zh-CN"/>
        </w:rPr>
        <w:t>氟唑菌酰胺，是一种联苯吡唑酰胺类杀菌剂，具有高效、广谱、持效及选择性强等优点，耐雨水冲刷。可有效防治谷物、大豆、果树和蔬菜上由壳针孢菌、灰葡萄孢菌、白粉菌等引发的病害。低毒，对眼睛和皮肤无刺激作用。中毒可表现为呕吐、恶心等。食用食品一般不会导致氟唑菌酰胺的急性中毒，但长期食用氟唑菌酰胺超标的食品，对人体健康也有一定影响。《食品安全国家标准 食品中农药最大残留限量》（GB 2763—202</w:t>
      </w:r>
      <w:r>
        <w:rPr>
          <w:rFonts w:hint="eastAsia" w:ascii="方正仿宋_GBK" w:hAnsi="方正仿宋_GBK" w:eastAsia="方正仿宋_GBK" w:cs="方正仿宋_GBK"/>
          <w:sz w:val="32"/>
          <w:szCs w:val="32"/>
          <w:lang w:val="en-US" w:eastAsia="zh-CN"/>
        </w:rPr>
        <w:t>6</w:t>
      </w:r>
      <w:r>
        <w:rPr>
          <w:rFonts w:hint="default" w:ascii="方正仿宋_GBK" w:hAnsi="方正仿宋_GBK" w:eastAsia="方正仿宋_GBK" w:cs="方正仿宋_GBK"/>
          <w:sz w:val="32"/>
          <w:szCs w:val="32"/>
          <w:lang w:val="en-US" w:eastAsia="zh-CN"/>
        </w:rPr>
        <w:t>）中规定，‌氟唑菌酰胺在香蕉中的的最大残留限量值为0.5mg/kg。香蕉中‌氟唑菌酰胺残留量超标的原因，可能是为快速控制病害，加大用药量或未遵守采摘间隔期。</w:t>
      </w:r>
    </w:p>
    <w:p w14:paraId="00578394">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default" w:ascii="方正仿宋_GBK" w:hAnsi="方正仿宋_GBK" w:eastAsia="方正仿宋_GBK" w:cs="方正仿宋_GBK"/>
          <w:sz w:val="32"/>
          <w:szCs w:val="32"/>
          <w:lang w:val="en-US" w:eastAsia="zh-CN"/>
        </w:rPr>
      </w:pPr>
    </w:p>
    <w:p w14:paraId="74A15AA1">
      <w:pPr>
        <w:keepNext w:val="0"/>
        <w:keepLines w:val="0"/>
        <w:pageBreakBefore w:val="0"/>
        <w:widowControl w:val="0"/>
        <w:kinsoku/>
        <w:wordWrap/>
        <w:overflowPunct/>
        <w:topLinePunct w:val="0"/>
        <w:autoSpaceDE/>
        <w:autoSpaceDN/>
        <w:bidi w:val="0"/>
        <w:adjustRightInd/>
        <w:snapToGrid/>
        <w:spacing w:line="570" w:lineRule="exact"/>
        <w:ind w:firstLineChars="200"/>
        <w:jc w:val="both"/>
        <w:textAlignment w:val="auto"/>
        <w:rPr>
          <w:rFonts w:hint="eastAsia" w:ascii="方正仿宋_GBK" w:hAnsi="方正仿宋_GBK" w:eastAsia="方正仿宋_GBK" w:cs="方正仿宋_GBK"/>
          <w:sz w:val="32"/>
          <w:szCs w:val="32"/>
          <w:lang w:val="en-US" w:eastAsia="zh-CN"/>
        </w:rPr>
      </w:pPr>
    </w:p>
    <w:p w14:paraId="1A18714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200"/>
        <w:textAlignment w:val="auto"/>
        <w:rPr>
          <w:rFonts w:hint="default" w:ascii="方正仿宋_GBK" w:hAnsi="方正仿宋_GBK" w:eastAsia="方正仿宋_GBK" w:cs="方正仿宋_GBK"/>
          <w:sz w:val="32"/>
          <w:szCs w:val="32"/>
          <w:lang w:val="en-US" w:eastAsia="zh-CN"/>
        </w:rPr>
      </w:pPr>
    </w:p>
    <w:p w14:paraId="3ADC6D1B"/>
    <w:sectPr>
      <w:footerReference r:id="rId3" w:type="default"/>
      <w:pgSz w:w="11906" w:h="16838"/>
      <w:pgMar w:top="1984"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102CFCE-471C-4154-9891-1409A71DD3F7}"/>
  </w:font>
  <w:font w:name="方正仿宋_GBK">
    <w:panose1 w:val="03000509000000000000"/>
    <w:charset w:val="86"/>
    <w:family w:val="auto"/>
    <w:pitch w:val="default"/>
    <w:sig w:usb0="00000001" w:usb1="080E0000" w:usb2="00000000" w:usb3="00000000" w:csb0="00040000" w:csb1="00000000"/>
    <w:embedRegular r:id="rId2" w:fontKey="{121CE34C-64E3-4266-9203-C0962C3CAD01}"/>
  </w:font>
  <w:font w:name="方正小标宋_GBK">
    <w:panose1 w:val="02000000000000000000"/>
    <w:charset w:val="86"/>
    <w:family w:val="auto"/>
    <w:pitch w:val="default"/>
    <w:sig w:usb0="A00002BF" w:usb1="38CF7CFA" w:usb2="00082016" w:usb3="00000000" w:csb0="00040001" w:csb1="00000000"/>
    <w:embedRegular r:id="rId3" w:fontKey="{1C88899F-5394-4F33-89CF-B18C615C5A5E}"/>
  </w:font>
  <w:font w:name="方正黑体_GBK">
    <w:panose1 w:val="02010600010101010101"/>
    <w:charset w:val="86"/>
    <w:family w:val="auto"/>
    <w:pitch w:val="default"/>
    <w:sig w:usb0="00000001" w:usb1="080E0000" w:usb2="00000000" w:usb3="00000000" w:csb0="00040000" w:csb1="00000000"/>
    <w:embedRegular r:id="rId4" w:fontKey="{C80A30B9-3301-4C55-B0EE-478E1DF54F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61EDD64D">
        <w:pPr>
          <w:pStyle w:val="2"/>
          <w:jc w:val="center"/>
        </w:pPr>
        <w:r>
          <w:fldChar w:fldCharType="begin"/>
        </w:r>
        <w:r>
          <w:instrText xml:space="preserve">PAGE   \* MERGEFORMAT</w:instrText>
        </w:r>
        <w:r>
          <w:fldChar w:fldCharType="separate"/>
        </w:r>
        <w:r>
          <w:rPr>
            <w:lang w:val="zh-CN"/>
          </w:rPr>
          <w:t>1</w:t>
        </w:r>
        <w:r>
          <w:fldChar w:fldCharType="end"/>
        </w:r>
      </w:p>
    </w:sdtContent>
  </w:sdt>
  <w:p w14:paraId="1FDEF6D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46303"/>
    <w:rsid w:val="20746303"/>
    <w:rsid w:val="329A1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2955</Words>
  <Characters>3070</Characters>
  <Lines>0</Lines>
  <Paragraphs>0</Paragraphs>
  <TotalTime>4</TotalTime>
  <ScaleCrop>false</ScaleCrop>
  <LinksUpToDate>false</LinksUpToDate>
  <CharactersWithSpaces>3081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2026-07-22T02:54:00Z</dcterms:created>
  <dc:creator>WPS_1593580216</dc:creator>
  <cp:lastModifiedBy>WPS_1593580216</cp:lastModifiedBy>
  <dcterms:modified xsi:type="dcterms:W3CDTF">2026-07-24T09:11:32Z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27D2943FC4DD4A37A63261D8191F4970_11</vt:lpwstr>
  </property>
  <property fmtid="{D5CDD505-2E9C-101B-9397-08002B2CF9AE}" pid="4" name="KSOTemplateDocerSaveRecord">
    <vt:lpwstr>eyJoZGlkIjoiYjBlNDBlN2E2NGQyNzBmNTZlNjhmMWQ0MTQ1MDg0NjQiLCJ1c2VySWQiOiIxMDI2NDg4NTkxIn0=</vt:lpwstr>
  </property>
</Properties>
</file>