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3BF69">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default" w:ascii="方正仿宋_GBK" w:hAnsi="方正仿宋_GBK" w:eastAsia="方正仿宋_GBK" w:cs="方正仿宋_GBK"/>
          <w:sz w:val="32"/>
          <w:szCs w:val="32"/>
          <w:highlight w:val="none"/>
          <w:lang w:val="en-US" w:eastAsia="zh-CN"/>
        </w:rPr>
      </w:pPr>
      <w:r>
        <w:rPr>
          <w:rFonts w:hint="default" w:ascii="方正仿宋_GBK" w:hAnsi="方正仿宋_GBK" w:eastAsia="方正仿宋_GBK" w:cs="方正仿宋_GBK"/>
          <w:sz w:val="32"/>
          <w:szCs w:val="32"/>
          <w:highlight w:val="none"/>
          <w:lang w:val="en-US" w:eastAsia="zh-Hans"/>
        </w:rPr>
        <w:t>附件</w:t>
      </w:r>
      <w:r>
        <w:rPr>
          <w:rFonts w:hint="default" w:ascii="方正仿宋_GBK" w:hAnsi="方正仿宋_GBK" w:eastAsia="方正仿宋_GBK" w:cs="方正仿宋_GBK"/>
          <w:sz w:val="32"/>
          <w:szCs w:val="32"/>
          <w:highlight w:val="none"/>
          <w:lang w:val="en-US" w:eastAsia="zh-CN"/>
        </w:rPr>
        <w:t>3</w:t>
      </w:r>
    </w:p>
    <w:p w14:paraId="447524E3">
      <w:pPr>
        <w:keepNext w:val="0"/>
        <w:keepLines w:val="0"/>
        <w:pageBreakBefore w:val="0"/>
        <w:widowControl w:val="0"/>
        <w:kinsoku/>
        <w:wordWrap/>
        <w:overflowPunct/>
        <w:topLinePunct w:val="0"/>
        <w:autoSpaceDE/>
        <w:autoSpaceDN/>
        <w:bidi w:val="0"/>
        <w:adjustRightInd/>
        <w:snapToGrid/>
        <w:spacing w:line="570" w:lineRule="exact"/>
        <w:ind w:firstLineChars="200"/>
        <w:jc w:val="center"/>
        <w:textAlignment w:val="auto"/>
        <w:rPr>
          <w:rFonts w:hint="eastAsia" w:ascii="方正小标宋_GBK" w:hAnsi="方正小标宋_GBK" w:eastAsia="方正小标宋_GBK" w:cs="方正小标宋_GBK"/>
          <w:sz w:val="40"/>
          <w:szCs w:val="40"/>
          <w:highlight w:val="none"/>
          <w:lang w:val="en-US" w:eastAsia="zh-CN"/>
        </w:rPr>
      </w:pPr>
      <w:r>
        <w:rPr>
          <w:rFonts w:hint="eastAsia" w:ascii="方正小标宋_GBK" w:hAnsi="方正小标宋_GBK" w:eastAsia="方正小标宋_GBK" w:cs="方正小标宋_GBK"/>
          <w:sz w:val="40"/>
          <w:szCs w:val="40"/>
          <w:highlight w:val="none"/>
          <w:lang w:val="en-US" w:eastAsia="zh-CN"/>
        </w:rPr>
        <w:t>部分不合格项目小知识</w:t>
      </w:r>
    </w:p>
    <w:p w14:paraId="5CC4C6C3">
      <w:pPr>
        <w:keepNext w:val="0"/>
        <w:keepLines w:val="0"/>
        <w:pageBreakBefore w:val="0"/>
        <w:widowControl w:val="0"/>
        <w:kinsoku/>
        <w:wordWrap/>
        <w:overflowPunct/>
        <w:topLinePunct w:val="0"/>
        <w:autoSpaceDE/>
        <w:autoSpaceDN/>
        <w:bidi w:val="0"/>
        <w:adjustRightInd/>
        <w:snapToGrid/>
        <w:spacing w:line="570" w:lineRule="exact"/>
        <w:ind w:firstLineChars="200"/>
        <w:jc w:val="center"/>
        <w:textAlignment w:val="auto"/>
        <w:rPr>
          <w:rFonts w:hint="eastAsia" w:ascii="方正小标宋_GBK" w:hAnsi="方正小标宋_GBK" w:eastAsia="方正小标宋_GBK" w:cs="方正小标宋_GBK"/>
          <w:sz w:val="40"/>
          <w:szCs w:val="40"/>
          <w:highlight w:val="none"/>
          <w:lang w:val="en-US" w:eastAsia="zh-CN"/>
        </w:rPr>
      </w:pPr>
    </w:p>
    <w:p w14:paraId="6744383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一、</w:t>
      </w:r>
      <w:r>
        <w:rPr>
          <w:rFonts w:hint="default" w:ascii="方正黑体_GBK" w:hAnsi="方正黑体_GBK" w:eastAsia="方正黑体_GBK" w:cs="方正黑体_GBK"/>
          <w:sz w:val="32"/>
          <w:szCs w:val="32"/>
          <w:highlight w:val="none"/>
          <w:lang w:val="en-US" w:eastAsia="zh-CN"/>
        </w:rPr>
        <w:t>噻虫嗪</w:t>
      </w:r>
    </w:p>
    <w:p w14:paraId="45B75335">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highlight w:val="none"/>
          <w:lang w:val="en-US" w:eastAsia="zh-CN"/>
        </w:rPr>
      </w:pPr>
      <w:r>
        <w:rPr>
          <w:rFonts w:hint="default" w:ascii="方正仿宋_GBK" w:hAnsi="方正仿宋_GBK" w:eastAsia="方正仿宋_GBK" w:cs="方正仿宋_GBK"/>
          <w:sz w:val="32"/>
          <w:szCs w:val="32"/>
          <w:highlight w:val="none"/>
          <w:lang w:val="en-US" w:eastAsia="zh-CN"/>
        </w:rPr>
        <w:t>噻虫嗪是一种全新结构的第二代烟碱类高效低毒杀虫剂，对害虫具有胃毒、触杀及内吸活性，用于叶面喷雾及土壤灌根处理。其施药后迅速被内吸，并传导到植株各部位，对刺吸式害虫如蚜虫、飞虱、叶蝉、粉虱等有良好的防效。注意不能与碱性药剂混用。不要在低于零下10℃和高于35℃的环境储存。对蜜蜂有毒，用药时要特别注意。本药杀虫活性很高，用药时不要盲目加大用药量。</w:t>
      </w:r>
    </w:p>
    <w:p w14:paraId="539A918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二、二氧化硫残留量</w:t>
      </w:r>
    </w:p>
    <w:p w14:paraId="1A187149">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氧化硫是食品加工中常用的漂白剂和防腐剂，具有漂白、防腐和抗氧化作用。少量二氧化硫进入人体不会对身体健康造成危害，但过量食用会引起如恶心、呕吐等胃肠道反应。二氧化硫（以及焦亚硫酸钾、亚硫酸钠等添加剂）对食品有漂白、防腐和抗氧化作用，是食品加工中常用的漂白剂和防腐剂。《食品安全国家标准 食品添加剂使用标准》（GB 2760-2024）中规定，姜中不得使用二氧化硫；其他香辛料调味品中不得使用二氧化硫；二氧化硫不符合标准的原因可能是个别生产者使用劣质原料以降低成本，其后为了提高产品色泽而超量使用二氧化硫；也有可能是使用时不计量或计量不准确；还有可能是为增加保质期，防止霉变生虫，违规对其进行二氧化硫熏蒸或添加。</w:t>
      </w:r>
    </w:p>
    <w:p w14:paraId="2639BDD4">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Chars="200"/>
        <w:jc w:val="both"/>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苯甲酸及其钠盐(以苯甲酸计)</w:t>
      </w:r>
    </w:p>
    <w:p w14:paraId="62B5593B">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苯甲酸（</w:t>
      </w:r>
      <w:r>
        <w:rPr>
          <w:rFonts w:hint="default" w:ascii="方正仿宋_GBK" w:hAnsi="方正仿宋_GBK" w:eastAsia="方正仿宋_GBK" w:cs="方正仿宋_GBK"/>
          <w:sz w:val="32"/>
          <w:szCs w:val="32"/>
          <w:highlight w:val="none"/>
          <w:lang w:val="en-US" w:eastAsia="zh-CN"/>
        </w:rPr>
        <w:t>benzoic acid</w:t>
      </w:r>
      <w:r>
        <w:rPr>
          <w:rFonts w:hint="eastAsia" w:ascii="方正仿宋_GBK" w:hAnsi="方正仿宋_GBK" w:eastAsia="方正仿宋_GBK" w:cs="方正仿宋_GBK"/>
          <w:sz w:val="32"/>
          <w:szCs w:val="32"/>
          <w:highlight w:val="none"/>
          <w:lang w:val="en-US" w:eastAsia="zh-CN"/>
        </w:rPr>
        <w:t xml:space="preserve">）又称安息香酸，在酸性条件下对多种微生物有明显的杀菌、抑菌作用，是很常用的食品防腐剂。它是常见植物代谢产物，在食品中存在少量本底，如红枣、蓝莓、奶粉（来自饲料）等。 </w:t>
      </w:r>
    </w:p>
    <w:p w14:paraId="440211B1">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般情况下，苯甲酸被认为是安全的，在食品中添加少量苯甲酸时，对人体并无毒害。人体摄入少量的苯甲酸后，苯甲酸与体内的一种氨基酸生成一种无害的新物质，随尿液排出，但如果人体长期大量摄入苯甲酸或苯甲酸钠残留超标的食品，可能会造成肝脏积累性中毒，危害肝脏健康。联合国粮农组织（</w:t>
      </w:r>
      <w:r>
        <w:rPr>
          <w:rFonts w:hint="default" w:ascii="方正仿宋_GBK" w:hAnsi="方正仿宋_GBK" w:eastAsia="方正仿宋_GBK" w:cs="方正仿宋_GBK"/>
          <w:sz w:val="32"/>
          <w:szCs w:val="32"/>
          <w:highlight w:val="none"/>
          <w:lang w:val="en-US" w:eastAsia="zh-CN"/>
        </w:rPr>
        <w:t>FAO</w:t>
      </w:r>
      <w:r>
        <w:rPr>
          <w:rFonts w:hint="eastAsia" w:ascii="方正仿宋_GBK" w:hAnsi="方正仿宋_GBK" w:eastAsia="方正仿宋_GBK" w:cs="方正仿宋_GBK"/>
          <w:sz w:val="32"/>
          <w:szCs w:val="32"/>
          <w:highlight w:val="none"/>
          <w:lang w:val="en-US" w:eastAsia="zh-CN"/>
        </w:rPr>
        <w:t>）和世界卫生组织食品添加剂联合专家委员会（</w:t>
      </w:r>
      <w:r>
        <w:rPr>
          <w:rFonts w:hint="default" w:ascii="方正仿宋_GBK" w:hAnsi="方正仿宋_GBK" w:eastAsia="方正仿宋_GBK" w:cs="方正仿宋_GBK"/>
          <w:sz w:val="32"/>
          <w:szCs w:val="32"/>
          <w:highlight w:val="none"/>
          <w:lang w:val="en-US" w:eastAsia="zh-CN"/>
        </w:rPr>
        <w:t>JECFA</w:t>
      </w:r>
      <w:r>
        <w:rPr>
          <w:rFonts w:hint="eastAsia" w:ascii="方正仿宋_GBK" w:hAnsi="方正仿宋_GBK" w:eastAsia="方正仿宋_GBK" w:cs="方正仿宋_GBK"/>
          <w:sz w:val="32"/>
          <w:szCs w:val="32"/>
          <w:highlight w:val="none"/>
          <w:lang w:val="en-US" w:eastAsia="zh-CN"/>
        </w:rPr>
        <w:t>）建议其日容许摄入量（</w:t>
      </w:r>
      <w:r>
        <w:rPr>
          <w:rFonts w:hint="default" w:ascii="方正仿宋_GBK" w:hAnsi="方正仿宋_GBK" w:eastAsia="方正仿宋_GBK" w:cs="方正仿宋_GBK"/>
          <w:sz w:val="32"/>
          <w:szCs w:val="32"/>
          <w:highlight w:val="none"/>
          <w:lang w:val="en-US" w:eastAsia="zh-CN"/>
        </w:rPr>
        <w:t>ADI</w:t>
      </w:r>
      <w:r>
        <w:rPr>
          <w:rFonts w:hint="eastAsia" w:ascii="方正仿宋_GBK" w:hAnsi="方正仿宋_GBK" w:eastAsia="方正仿宋_GBK" w:cs="方正仿宋_GBK"/>
          <w:sz w:val="32"/>
          <w:szCs w:val="32"/>
          <w:highlight w:val="none"/>
          <w:lang w:val="en-US" w:eastAsia="zh-CN"/>
        </w:rPr>
        <w:t xml:space="preserve">）为 </w:t>
      </w:r>
      <w:r>
        <w:rPr>
          <w:rFonts w:hint="default" w:ascii="方正仿宋_GBK" w:hAnsi="方正仿宋_GBK" w:eastAsia="方正仿宋_GBK" w:cs="方正仿宋_GBK"/>
          <w:sz w:val="32"/>
          <w:szCs w:val="32"/>
          <w:highlight w:val="none"/>
          <w:lang w:val="en-US" w:eastAsia="zh-CN"/>
        </w:rPr>
        <w:t>0~5mg/kg bw</w:t>
      </w:r>
      <w:r>
        <w:rPr>
          <w:rFonts w:hint="eastAsia" w:ascii="方正仿宋_GBK" w:hAnsi="方正仿宋_GBK" w:eastAsia="方正仿宋_GBK" w:cs="方正仿宋_GBK"/>
          <w:sz w:val="32"/>
          <w:szCs w:val="32"/>
          <w:highlight w:val="none"/>
          <w:lang w:val="en-US" w:eastAsia="zh-CN"/>
        </w:rPr>
        <w:t xml:space="preserve">（以苯甲酸计）。 </w:t>
      </w:r>
    </w:p>
    <w:p w14:paraId="4430BD93">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造成食品中苯甲酸不合格的主要原因有：生产经营企业为延长产品保质期，或者弥补产品生产过程卫生条件不佳而超限量、超范围使用，或者使用时未准确计量。</w:t>
      </w:r>
    </w:p>
    <w:p w14:paraId="0E1E948B">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四、大肠菌群</w:t>
      </w:r>
    </w:p>
    <w:p w14:paraId="7919FD98">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大肠菌群（</w:t>
      </w:r>
      <w:r>
        <w:rPr>
          <w:rFonts w:hint="default" w:ascii="方正仿宋_GBK" w:hAnsi="方正仿宋_GBK" w:eastAsia="方正仿宋_GBK" w:cs="方正仿宋_GBK"/>
          <w:sz w:val="32"/>
          <w:szCs w:val="32"/>
          <w:highlight w:val="none"/>
          <w:lang w:val="en-US" w:eastAsia="zh-CN"/>
        </w:rPr>
        <w:t>coliforms</w:t>
      </w:r>
      <w:r>
        <w:rPr>
          <w:rFonts w:hint="eastAsia" w:ascii="方正仿宋_GBK" w:hAnsi="方正仿宋_GBK" w:eastAsia="方正仿宋_GBK" w:cs="方正仿宋_GBK"/>
          <w:sz w:val="32"/>
          <w:szCs w:val="32"/>
          <w:highlight w:val="none"/>
          <w:lang w:val="en-US" w:eastAsia="zh-CN"/>
        </w:rPr>
        <w:t xml:space="preserve">）包括肠杆菌科的埃希氏菌属、柠檬酸杆菌属、肠杆菌属和克雷伯菌属。这些菌属中的细菌，主要来自人和温血动物的肠道，需氧与兼性厌氧，不形成芽孢，在 </w:t>
      </w:r>
      <w:r>
        <w:rPr>
          <w:rFonts w:hint="default" w:ascii="方正仿宋_GBK" w:hAnsi="方正仿宋_GBK" w:eastAsia="方正仿宋_GBK" w:cs="方正仿宋_GBK"/>
          <w:sz w:val="32"/>
          <w:szCs w:val="32"/>
          <w:highlight w:val="none"/>
          <w:lang w:val="en-US" w:eastAsia="zh-CN"/>
        </w:rPr>
        <w:t>35</w:t>
      </w:r>
      <w:r>
        <w:rPr>
          <w:rFonts w:hint="eastAsia" w:ascii="方正仿宋_GBK" w:hAnsi="方正仿宋_GBK" w:eastAsia="方正仿宋_GBK" w:cs="方正仿宋_GBK"/>
          <w:sz w:val="32"/>
          <w:szCs w:val="32"/>
          <w:highlight w:val="none"/>
          <w:lang w:val="en-US" w:eastAsia="zh-CN"/>
        </w:rPr>
        <w:t>℃</w:t>
      </w:r>
      <w:r>
        <w:rPr>
          <w:rFonts w:hint="default" w:ascii="方正仿宋_GBK" w:hAnsi="方正仿宋_GBK" w:eastAsia="方正仿宋_GBK" w:cs="方正仿宋_GBK"/>
          <w:sz w:val="32"/>
          <w:szCs w:val="32"/>
          <w:highlight w:val="none"/>
          <w:lang w:val="en-US" w:eastAsia="zh-CN"/>
        </w:rPr>
        <w:t>~37</w:t>
      </w:r>
      <w:r>
        <w:rPr>
          <w:rFonts w:hint="eastAsia" w:ascii="方正仿宋_GBK" w:hAnsi="方正仿宋_GBK" w:eastAsia="方正仿宋_GBK" w:cs="方正仿宋_GBK"/>
          <w:sz w:val="32"/>
          <w:szCs w:val="32"/>
          <w:highlight w:val="none"/>
          <w:lang w:val="en-US" w:eastAsia="zh-CN"/>
        </w:rPr>
        <w:t>℃下能发酵乳糖产酸产气的革兰氏阴性杆菌。食品中大肠菌群的数量可以采用相当于每克或每毫升食品的最近似数来表示，简称大肠菌群最近似数（</w:t>
      </w:r>
      <w:r>
        <w:rPr>
          <w:rFonts w:hint="default" w:ascii="方正仿宋_GBK" w:hAnsi="方正仿宋_GBK" w:eastAsia="方正仿宋_GBK" w:cs="方正仿宋_GBK"/>
          <w:sz w:val="32"/>
          <w:szCs w:val="32"/>
          <w:highlight w:val="none"/>
          <w:lang w:val="en-US" w:eastAsia="zh-CN"/>
        </w:rPr>
        <w:t>MPN</w:t>
      </w:r>
      <w:r>
        <w:rPr>
          <w:rFonts w:hint="eastAsia" w:ascii="方正仿宋_GBK" w:hAnsi="方正仿宋_GBK" w:eastAsia="方正仿宋_GBK" w:cs="方正仿宋_GBK"/>
          <w:sz w:val="32"/>
          <w:szCs w:val="32"/>
          <w:highlight w:val="none"/>
          <w:lang w:val="en-US" w:eastAsia="zh-CN"/>
        </w:rPr>
        <w:t>）；也可以采用菌落形成单位（</w:t>
      </w:r>
      <w:r>
        <w:rPr>
          <w:rFonts w:hint="default" w:ascii="方正仿宋_GBK" w:hAnsi="方正仿宋_GBK" w:eastAsia="方正仿宋_GBK" w:cs="方正仿宋_GBK"/>
          <w:sz w:val="32"/>
          <w:szCs w:val="32"/>
          <w:highlight w:val="none"/>
          <w:lang w:val="en-US" w:eastAsia="zh-CN"/>
        </w:rPr>
        <w:t>CFU</w:t>
      </w:r>
      <w:r>
        <w:rPr>
          <w:rFonts w:hint="eastAsia" w:ascii="方正仿宋_GBK" w:hAnsi="方正仿宋_GBK" w:eastAsia="方正仿宋_GBK" w:cs="方正仿宋_GBK"/>
          <w:sz w:val="32"/>
          <w:szCs w:val="32"/>
          <w:highlight w:val="none"/>
          <w:lang w:val="en-US" w:eastAsia="zh-CN"/>
        </w:rPr>
        <w:t xml:space="preserve">）表示。 </w:t>
      </w:r>
    </w:p>
    <w:p w14:paraId="3EEAE7CC">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 xml:space="preserve">大肠菌群是国内外常用的指示性指标之一。其卫生学意义：一是作为食品受到人与温血动物粪便污染的指示菌；二是作为肠道致病菌污染食品的指示菌，提示食品被致病菌（如沙门氏菌、志贺氏菌、致泻大肠埃希氏菌等）污染的可能性较大。食品中大肠菌群不合格，说明食品存在卫生质量缺陷，对人体健康具有潜在危害。 </w:t>
      </w:r>
    </w:p>
    <w:p w14:paraId="501A0C74">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大肠菌群超标可能由于产品的加工原料、包装材料受污染，或在生产过程中产品受人员、工器具等生产设备、环境的污染，有加热处理工艺的产品加热不彻底而导致。</w:t>
      </w:r>
    </w:p>
    <w:p w14:paraId="6E263B01">
      <w:pPr>
        <w:keepNext w:val="0"/>
        <w:keepLines w:val="0"/>
        <w:pageBreakBefore w:val="0"/>
        <w:widowControl w:val="0"/>
        <w:numPr>
          <w:numId w:val="0"/>
        </w:numPr>
        <w:kinsoku/>
        <w:wordWrap/>
        <w:overflowPunct/>
        <w:topLinePunct w:val="0"/>
        <w:autoSpaceDE/>
        <w:autoSpaceDN/>
        <w:bidi w:val="0"/>
        <w:adjustRightInd/>
        <w:snapToGrid/>
        <w:spacing w:line="570" w:lineRule="exact"/>
        <w:ind w:leftChars="200"/>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highlight w:val="none"/>
          <w:lang w:val="en-US" w:eastAsia="zh-CN"/>
        </w:rPr>
        <w:t>、</w:t>
      </w:r>
      <w:r>
        <w:rPr>
          <w:rFonts w:hint="default" w:ascii="方正黑体_GBK" w:hAnsi="方正黑体_GBK" w:eastAsia="方正黑体_GBK" w:cs="方正黑体_GBK"/>
          <w:sz w:val="32"/>
          <w:szCs w:val="32"/>
          <w:lang w:val="en-US" w:eastAsia="zh-CN"/>
        </w:rPr>
        <w:t>防腐剂混合使用时各自用量占其最大使用量的比例之和</w:t>
      </w:r>
    </w:p>
    <w:p w14:paraId="1447EECE">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防腐剂是能抑制微生物活动，防止食品腐败变质的一类</w:t>
      </w:r>
      <w:r>
        <w:rPr>
          <w:rFonts w:hint="default" w:ascii="方正仿宋_GBK" w:hAnsi="方正仿宋_GBK" w:eastAsia="方正仿宋_GBK" w:cs="方正仿宋_GBK"/>
          <w:sz w:val="32"/>
          <w:szCs w:val="32"/>
          <w:lang w:val="en-US" w:eastAsia="zh-CN"/>
        </w:rPr>
        <w:fldChar w:fldCharType="begin"/>
      </w:r>
      <w:r>
        <w:rPr>
          <w:rFonts w:hint="default" w:ascii="方正仿宋_GBK" w:hAnsi="方正仿宋_GBK" w:eastAsia="方正仿宋_GBK" w:cs="方正仿宋_GBK"/>
          <w:sz w:val="32"/>
          <w:szCs w:val="32"/>
          <w:lang w:val="en-US" w:eastAsia="zh-CN"/>
        </w:rPr>
        <w:instrText xml:space="preserve"> HYPERLINK "https://baike.baidu.com/item/%E9%A3%9F%E5%93%81%E6%B7%BB%E5%8A%A0%E5%89%82/1680288" \t "_blank" </w:instrText>
      </w:r>
      <w:r>
        <w:rPr>
          <w:rFonts w:hint="default" w:ascii="方正仿宋_GBK" w:hAnsi="方正仿宋_GBK" w:eastAsia="方正仿宋_GBK" w:cs="方正仿宋_GBK"/>
          <w:sz w:val="32"/>
          <w:szCs w:val="32"/>
          <w:lang w:val="en-US" w:eastAsia="zh-CN"/>
        </w:rPr>
        <w:fldChar w:fldCharType="separate"/>
      </w:r>
      <w:r>
        <w:rPr>
          <w:rFonts w:hint="default" w:ascii="方正仿宋_GBK" w:hAnsi="方正仿宋_GBK" w:eastAsia="方正仿宋_GBK" w:cs="方正仿宋_GBK"/>
          <w:sz w:val="32"/>
          <w:szCs w:val="32"/>
          <w:lang w:val="en-US" w:eastAsia="zh-CN"/>
        </w:rPr>
        <w:t>食品添加剂</w:t>
      </w:r>
      <w:r>
        <w:rPr>
          <w:rFonts w:hint="default" w:ascii="方正仿宋_GBK" w:hAnsi="方正仿宋_GBK" w:eastAsia="方正仿宋_GBK" w:cs="方正仿宋_GBK"/>
          <w:sz w:val="32"/>
          <w:szCs w:val="32"/>
          <w:lang w:val="en-US" w:eastAsia="zh-CN"/>
        </w:rPr>
        <w:fldChar w:fldCharType="end"/>
      </w:r>
      <w:r>
        <w:rPr>
          <w:rFonts w:hint="default" w:ascii="方正仿宋_GBK" w:hAnsi="方正仿宋_GBK" w:eastAsia="方正仿宋_GBK" w:cs="方正仿宋_GBK"/>
          <w:sz w:val="32"/>
          <w:szCs w:val="32"/>
          <w:lang w:val="en-US" w:eastAsia="zh-CN"/>
        </w:rPr>
        <w:t>。长期食用防腐剂超标的产品，可能会引发肠胃炎等疾病，可能对肝、肾等人体重要器官带来危害，还可能诱发过敏等症状，长期过量食用食品防腐剂超标的食物可能对人体健康产生一定影响。《食品安全国家标准 食品添加剂使用标准》（GB 2760-2014）中规定，防腐剂混合使用时各自用量占其最大使用量的比例之和不应超过1。防腐剂混合使用时各自用量占其最大使用量的比例之和不合格的原因，可能是生</w:t>
      </w:r>
      <w:bookmarkStart w:id="0" w:name="_GoBack"/>
      <w:bookmarkEnd w:id="0"/>
      <w:r>
        <w:rPr>
          <w:rFonts w:hint="default" w:ascii="方正仿宋_GBK" w:hAnsi="方正仿宋_GBK" w:eastAsia="方正仿宋_GBK" w:cs="方正仿宋_GBK"/>
          <w:sz w:val="32"/>
          <w:szCs w:val="32"/>
          <w:lang w:val="en-US" w:eastAsia="zh-CN"/>
        </w:rPr>
        <w:t>产厂商对国家标准不了解或了解得不够透彻，未按标准要求添加多种防腐剂所致。</w:t>
      </w:r>
    </w:p>
    <w:p w14:paraId="510881E5">
      <w:pPr>
        <w:keepNext w:val="0"/>
        <w:keepLines w:val="0"/>
        <w:pageBreakBefore w:val="0"/>
        <w:widowControl w:val="0"/>
        <w:numPr>
          <w:numId w:val="0"/>
        </w:numPr>
        <w:kinsoku/>
        <w:wordWrap/>
        <w:overflowPunct/>
        <w:topLinePunct w:val="0"/>
        <w:autoSpaceDE/>
        <w:autoSpaceDN/>
        <w:bidi w:val="0"/>
        <w:adjustRightInd/>
        <w:snapToGrid/>
        <w:spacing w:line="570" w:lineRule="exact"/>
        <w:jc w:val="both"/>
        <w:textAlignment w:val="auto"/>
        <w:rPr>
          <w:rFonts w:hint="default" w:ascii="方正黑体_GBK" w:hAnsi="方正黑体_GBK" w:eastAsia="方正黑体_GBK" w:cs="方正黑体_GBK"/>
          <w:sz w:val="32"/>
          <w:szCs w:val="32"/>
          <w:lang w:val="en-US" w:eastAsia="zh-CN"/>
        </w:rPr>
      </w:pPr>
    </w:p>
    <w:sectPr>
      <w:footerReference r:id="rId3" w:type="default"/>
      <w:pgSz w:w="11906" w:h="16838"/>
      <w:pgMar w:top="1984"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embedRegular r:id="rId1" w:fontKey="{F868E1AF-DEAF-4603-B086-D424A3F91DA3}"/>
  </w:font>
  <w:font w:name="方正小标宋_GBK">
    <w:panose1 w:val="02000000000000000000"/>
    <w:charset w:val="86"/>
    <w:family w:val="auto"/>
    <w:pitch w:val="default"/>
    <w:sig w:usb0="A00002BF" w:usb1="38CF7CFA" w:usb2="00082016" w:usb3="00000000" w:csb0="00040001" w:csb1="00000000"/>
    <w:embedRegular r:id="rId2" w:fontKey="{BE8281BC-8E5C-4EBB-892B-FB60EA3C41B7}"/>
  </w:font>
  <w:font w:name="方正黑体_GBK">
    <w:panose1 w:val="02010600010101010101"/>
    <w:charset w:val="86"/>
    <w:family w:val="auto"/>
    <w:pitch w:val="default"/>
    <w:sig w:usb0="00000001" w:usb1="080E0000" w:usb2="00000000" w:usb3="00000000" w:csb0="00040000" w:csb1="00000000"/>
    <w:embedRegular r:id="rId3" w:fontKey="{63B23446-CEE2-413E-89CD-57E5B70499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61EDD64D">
        <w:pPr>
          <w:pStyle w:val="3"/>
          <w:jc w:val="center"/>
        </w:pPr>
        <w:r>
          <w:fldChar w:fldCharType="begin"/>
        </w:r>
        <w:r>
          <w:instrText xml:space="preserve">PAGE   \* MERGEFORMAT</w:instrText>
        </w:r>
        <w:r>
          <w:fldChar w:fldCharType="separate"/>
        </w:r>
        <w:r>
          <w:rPr>
            <w:lang w:val="zh-CN"/>
          </w:rPr>
          <w:t>1</w:t>
        </w:r>
        <w:r>
          <w:fldChar w:fldCharType="end"/>
        </w:r>
      </w:p>
    </w:sdtContent>
  </w:sdt>
  <w:p w14:paraId="1FDEF6D4">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D761F7"/>
    <w:multiLevelType w:val="singleLevel"/>
    <w:tmpl w:val="3AD761F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45415"/>
    <w:rsid w:val="24FF3122"/>
    <w:rsid w:val="36EF51F9"/>
    <w:rsid w:val="3A000713"/>
    <w:rsid w:val="41233170"/>
    <w:rsid w:val="425414F0"/>
    <w:rsid w:val="45BA14FB"/>
    <w:rsid w:val="4FE45415"/>
    <w:rsid w:val="5CCC6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Body Text First Indent 2"/>
    <w:basedOn w:val="2"/>
    <w:next w:val="1"/>
    <w:qFormat/>
    <w:uiPriority w:val="0"/>
    <w:pPr>
      <w:adjustRightInd w:val="0"/>
      <w:ind w:left="0" w:leftChars="0" w:firstLine="880" w:firstLineChars="200"/>
    </w:pPr>
    <w:rPr>
      <w:rFonts w:ascii="Calibri" w:hAnsi="Calibri" w:eastAsia="仿宋" w:cs="Times New Roman"/>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1230</Words>
  <Characters>1281</Characters>
  <Lines>0</Lines>
  <Paragraphs>0</Paragraphs>
  <TotalTime>0</TotalTime>
  <ScaleCrop>false</ScaleCrop>
  <LinksUpToDate>false</LinksUpToDate>
  <CharactersWithSpaces>1291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2026-06-24T08:38:00Z</dcterms:created>
  <dc:creator>WPS_1593580216</dc:creator>
  <cp:lastModifiedBy>WPS_1593580216</cp:lastModifiedBy>
  <dcterms:modified xsi:type="dcterms:W3CDTF">2026-08-20T09:57:53Z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114732A4590249DCAF49A9B2F19CA822_13</vt:lpwstr>
  </property>
  <property fmtid="{D5CDD505-2E9C-101B-9397-08002B2CF9AE}" pid="4" name="KSOTemplateDocerSaveRecord">
    <vt:lpwstr>eyJoZGlkIjoiYjBlNDBlN2E2NGQyNzBmNTZlNjhmMWQ0MTQ1MDg0NjQiLCJ1c2VySWQiOiIxMDI2NDg4NTkxIn0=</vt:lpwstr>
  </property>
</Properties>
</file>