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3BF69">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方正仿宋_GBK" w:hAnsi="方正仿宋_GBK" w:eastAsia="方正仿宋_GBK" w:cs="方正仿宋_GBK"/>
          <w:sz w:val="32"/>
          <w:szCs w:val="32"/>
          <w:highlight w:val="none"/>
          <w:lang w:val="en-US" w:eastAsia="zh-CN"/>
        </w:rPr>
      </w:pPr>
      <w:r>
        <w:rPr>
          <w:rFonts w:hint="default" w:ascii="方正仿宋_GBK" w:hAnsi="方正仿宋_GBK" w:eastAsia="方正仿宋_GBK" w:cs="方正仿宋_GBK"/>
          <w:sz w:val="32"/>
          <w:szCs w:val="32"/>
          <w:highlight w:val="none"/>
          <w:lang w:val="en-US" w:eastAsia="zh-Hans"/>
        </w:rPr>
        <w:t>附件</w:t>
      </w:r>
      <w:r>
        <w:rPr>
          <w:rFonts w:hint="default" w:ascii="方正仿宋_GBK" w:hAnsi="方正仿宋_GBK" w:eastAsia="方正仿宋_GBK" w:cs="方正仿宋_GBK"/>
          <w:sz w:val="32"/>
          <w:szCs w:val="32"/>
          <w:highlight w:val="none"/>
          <w:lang w:val="en-US" w:eastAsia="zh-CN"/>
        </w:rPr>
        <w:t>3</w:t>
      </w:r>
    </w:p>
    <w:p w14:paraId="447524E3">
      <w:pPr>
        <w:keepNext w:val="0"/>
        <w:keepLines w:val="0"/>
        <w:pageBreakBefore w:val="0"/>
        <w:widowControl w:val="0"/>
        <w:kinsoku/>
        <w:wordWrap/>
        <w:overflowPunct/>
        <w:topLinePunct w:val="0"/>
        <w:autoSpaceDE/>
        <w:autoSpaceDN/>
        <w:bidi w:val="0"/>
        <w:adjustRightInd/>
        <w:snapToGrid/>
        <w:spacing w:line="570" w:lineRule="exact"/>
        <w:ind w:firstLineChars="200"/>
        <w:jc w:val="center"/>
        <w:textAlignment w:val="auto"/>
        <w:rPr>
          <w:rFonts w:hint="eastAsia" w:ascii="方正小标宋_GBK" w:hAnsi="方正小标宋_GBK" w:eastAsia="方正小标宋_GBK" w:cs="方正小标宋_GBK"/>
          <w:sz w:val="40"/>
          <w:szCs w:val="40"/>
          <w:highlight w:val="none"/>
          <w:lang w:val="en-US" w:eastAsia="zh-CN"/>
        </w:rPr>
      </w:pPr>
      <w:r>
        <w:rPr>
          <w:rFonts w:hint="eastAsia" w:ascii="方正小标宋_GBK" w:hAnsi="方正小标宋_GBK" w:eastAsia="方正小标宋_GBK" w:cs="方正小标宋_GBK"/>
          <w:sz w:val="40"/>
          <w:szCs w:val="40"/>
          <w:highlight w:val="none"/>
          <w:lang w:val="en-US" w:eastAsia="zh-CN"/>
        </w:rPr>
        <w:t>部分不合格项目小知识</w:t>
      </w:r>
    </w:p>
    <w:p w14:paraId="5CC4C6C3">
      <w:pPr>
        <w:keepNext w:val="0"/>
        <w:keepLines w:val="0"/>
        <w:pageBreakBefore w:val="0"/>
        <w:widowControl w:val="0"/>
        <w:kinsoku/>
        <w:wordWrap/>
        <w:overflowPunct/>
        <w:topLinePunct w:val="0"/>
        <w:autoSpaceDE/>
        <w:autoSpaceDN/>
        <w:bidi w:val="0"/>
        <w:adjustRightInd/>
        <w:snapToGrid/>
        <w:spacing w:line="570" w:lineRule="exact"/>
        <w:ind w:firstLineChars="200"/>
        <w:jc w:val="center"/>
        <w:textAlignment w:val="auto"/>
        <w:rPr>
          <w:rFonts w:hint="eastAsia" w:ascii="方正小标宋_GBK" w:hAnsi="方正小标宋_GBK" w:eastAsia="方正小标宋_GBK" w:cs="方正小标宋_GBK"/>
          <w:sz w:val="40"/>
          <w:szCs w:val="40"/>
          <w:highlight w:val="none"/>
          <w:lang w:val="en-US" w:eastAsia="zh-CN"/>
        </w:rPr>
      </w:pPr>
    </w:p>
    <w:p w14:paraId="00817D93">
      <w:pPr>
        <w:keepNext w:val="0"/>
        <w:keepLines w:val="0"/>
        <w:pageBreakBefore w:val="0"/>
        <w:widowControl/>
        <w:suppressLineNumbers w:val="0"/>
        <w:kinsoku/>
        <w:wordWrap/>
        <w:overflowPunct/>
        <w:topLinePunct w:val="0"/>
        <w:autoSpaceDE/>
        <w:autoSpaceDN/>
        <w:bidi w:val="0"/>
        <w:adjustRightInd/>
        <w:snapToGrid/>
        <w:spacing w:line="570" w:lineRule="exact"/>
        <w:ind w:firstLine="640" w:firstLineChars="200"/>
        <w:jc w:val="left"/>
        <w:textAlignment w:val="auto"/>
      </w:pPr>
      <w:r>
        <w:rPr>
          <w:rFonts w:hint="eastAsia" w:ascii="方正黑体_GBK" w:hAnsi="方正黑体_GBK" w:eastAsia="方正黑体_GBK" w:cs="方正黑体_GBK"/>
          <w:sz w:val="32"/>
          <w:szCs w:val="32"/>
          <w:highlight w:val="none"/>
          <w:lang w:val="en-US" w:eastAsia="zh-CN"/>
        </w:rPr>
        <w:t>一、</w:t>
      </w:r>
      <w:r>
        <w:rPr>
          <w:rFonts w:ascii="方正黑体简体" w:hAnsi="方正黑体简体" w:eastAsia="方正黑体简体" w:cs="方正黑体简体"/>
          <w:color w:val="000000"/>
          <w:kern w:val="0"/>
          <w:sz w:val="31"/>
          <w:szCs w:val="31"/>
          <w:lang w:val="en-US" w:eastAsia="zh-CN" w:bidi="ar"/>
        </w:rPr>
        <w:t xml:space="preserve">山梨酸 </w:t>
      </w:r>
    </w:p>
    <w:p w14:paraId="66DB0F1A">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山梨酸（</w:t>
      </w:r>
      <w:r>
        <w:rPr>
          <w:rFonts w:hint="default" w:ascii="方正仿宋_GBK" w:hAnsi="方正仿宋_GBK" w:eastAsia="方正仿宋_GBK" w:cs="方正仿宋_GBK"/>
          <w:sz w:val="32"/>
          <w:szCs w:val="32"/>
          <w:highlight w:val="none"/>
          <w:lang w:val="en-US" w:eastAsia="zh-CN"/>
        </w:rPr>
        <w:t>sorbic acid</w:t>
      </w:r>
      <w:r>
        <w:rPr>
          <w:rFonts w:hint="eastAsia" w:ascii="方正仿宋_GBK" w:hAnsi="方正仿宋_GBK" w:eastAsia="方正仿宋_GBK" w:cs="方正仿宋_GBK"/>
          <w:sz w:val="32"/>
          <w:szCs w:val="32"/>
          <w:highlight w:val="none"/>
          <w:lang w:val="en-US" w:eastAsia="zh-CN"/>
        </w:rPr>
        <w:t>）又名花秋酸，多用其钾盐。其抗菌性强，能抑制细菌、真菌和酵母的生长，防腐效果好，是目前应用非常广泛的食品防腐剂。个别食物中可能含有少量本底，例如枸杞。山梨酸可参与体内正常代谢，几乎对人体无害。只要摄入量在食品安全限量范围内并不影响人体健康，如果长期大量服用，会对肝脏、肾脏、骨骼造成危害。联合国粮农组织（</w:t>
      </w:r>
      <w:r>
        <w:rPr>
          <w:rFonts w:hint="default" w:ascii="方正仿宋_GBK" w:hAnsi="方正仿宋_GBK" w:eastAsia="方正仿宋_GBK" w:cs="方正仿宋_GBK"/>
          <w:sz w:val="32"/>
          <w:szCs w:val="32"/>
          <w:highlight w:val="none"/>
          <w:lang w:val="en-US" w:eastAsia="zh-CN"/>
        </w:rPr>
        <w:t>FAO</w:t>
      </w:r>
      <w:r>
        <w:rPr>
          <w:rFonts w:hint="eastAsia" w:ascii="方正仿宋_GBK" w:hAnsi="方正仿宋_GBK" w:eastAsia="方正仿宋_GBK" w:cs="方正仿宋_GBK"/>
          <w:sz w:val="32"/>
          <w:szCs w:val="32"/>
          <w:highlight w:val="none"/>
          <w:lang w:val="en-US" w:eastAsia="zh-CN"/>
        </w:rPr>
        <w:t>）和世界卫生组织食品添加剂联合专家委员会（</w:t>
      </w:r>
      <w:r>
        <w:rPr>
          <w:rFonts w:hint="default" w:ascii="方正仿宋_GBK" w:hAnsi="方正仿宋_GBK" w:eastAsia="方正仿宋_GBK" w:cs="方正仿宋_GBK"/>
          <w:sz w:val="32"/>
          <w:szCs w:val="32"/>
          <w:highlight w:val="none"/>
          <w:lang w:val="en-US" w:eastAsia="zh-CN"/>
        </w:rPr>
        <w:t>JECFA</w:t>
      </w:r>
      <w:r>
        <w:rPr>
          <w:rFonts w:hint="eastAsia" w:ascii="方正仿宋_GBK" w:hAnsi="方正仿宋_GBK" w:eastAsia="方正仿宋_GBK" w:cs="方正仿宋_GBK"/>
          <w:sz w:val="32"/>
          <w:szCs w:val="32"/>
          <w:highlight w:val="none"/>
          <w:lang w:val="en-US" w:eastAsia="zh-CN"/>
        </w:rPr>
        <w:t>）建议其日容许摄入量（</w:t>
      </w:r>
      <w:r>
        <w:rPr>
          <w:rFonts w:hint="default" w:ascii="方正仿宋_GBK" w:hAnsi="方正仿宋_GBK" w:eastAsia="方正仿宋_GBK" w:cs="方正仿宋_GBK"/>
          <w:sz w:val="32"/>
          <w:szCs w:val="32"/>
          <w:highlight w:val="none"/>
          <w:lang w:val="en-US" w:eastAsia="zh-CN"/>
        </w:rPr>
        <w:t>ADI</w:t>
      </w:r>
      <w:r>
        <w:rPr>
          <w:rFonts w:hint="eastAsia" w:ascii="方正仿宋_GBK" w:hAnsi="方正仿宋_GBK" w:eastAsia="方正仿宋_GBK" w:cs="方正仿宋_GBK"/>
          <w:sz w:val="32"/>
          <w:szCs w:val="32"/>
          <w:highlight w:val="none"/>
          <w:lang w:val="en-US" w:eastAsia="zh-CN"/>
        </w:rPr>
        <w:t>）为</w:t>
      </w:r>
      <w:r>
        <w:rPr>
          <w:rFonts w:hint="default" w:ascii="方正仿宋_GBK" w:hAnsi="方正仿宋_GBK" w:eastAsia="方正仿宋_GBK" w:cs="方正仿宋_GBK"/>
          <w:sz w:val="32"/>
          <w:szCs w:val="32"/>
          <w:highlight w:val="none"/>
          <w:lang w:val="en-US" w:eastAsia="zh-CN"/>
        </w:rPr>
        <w:t>0~25mg/kg bw</w:t>
      </w:r>
      <w:r>
        <w:rPr>
          <w:rFonts w:hint="eastAsia" w:ascii="方正仿宋_GBK" w:hAnsi="方正仿宋_GBK" w:eastAsia="方正仿宋_GBK" w:cs="方正仿宋_GBK"/>
          <w:sz w:val="32"/>
          <w:szCs w:val="32"/>
          <w:highlight w:val="none"/>
          <w:lang w:val="en-US" w:eastAsia="zh-CN"/>
        </w:rPr>
        <w:t xml:space="preserve">（以山梨酸计）。 </w:t>
      </w:r>
    </w:p>
    <w:p w14:paraId="1DEA8586">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造成食品中山梨酸不合格的主要原因有：生产经营企业为延长产品保质期，或者弥补产品生产过程卫生条件不佳而超限量、超范围使用，或者未准确计量。</w:t>
      </w:r>
    </w:p>
    <w:p w14:paraId="2639BDD4">
      <w:pPr>
        <w:keepNext w:val="0"/>
        <w:keepLines w:val="0"/>
        <w:pageBreakBefore w:val="0"/>
        <w:widowControl w:val="0"/>
        <w:numPr>
          <w:numId w:val="0"/>
        </w:numPr>
        <w:kinsoku/>
        <w:wordWrap/>
        <w:overflowPunct/>
        <w:topLinePunct w:val="0"/>
        <w:autoSpaceDE/>
        <w:autoSpaceDN/>
        <w:bidi w:val="0"/>
        <w:adjustRightInd/>
        <w:snapToGrid/>
        <w:spacing w:line="570" w:lineRule="exact"/>
        <w:ind w:firstLine="640" w:firstLineChars="200"/>
        <w:jc w:val="both"/>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二、苯甲酸及其钠盐(以苯甲酸计)</w:t>
      </w:r>
    </w:p>
    <w:p w14:paraId="62B5593B">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苯甲酸（</w:t>
      </w:r>
      <w:r>
        <w:rPr>
          <w:rFonts w:hint="default" w:ascii="方正仿宋_GBK" w:hAnsi="方正仿宋_GBK" w:eastAsia="方正仿宋_GBK" w:cs="方正仿宋_GBK"/>
          <w:sz w:val="32"/>
          <w:szCs w:val="32"/>
          <w:highlight w:val="none"/>
          <w:lang w:val="en-US" w:eastAsia="zh-CN"/>
        </w:rPr>
        <w:t>benzoic acid</w:t>
      </w:r>
      <w:r>
        <w:rPr>
          <w:rFonts w:hint="eastAsia" w:ascii="方正仿宋_GBK" w:hAnsi="方正仿宋_GBK" w:eastAsia="方正仿宋_GBK" w:cs="方正仿宋_GBK"/>
          <w:sz w:val="32"/>
          <w:szCs w:val="32"/>
          <w:highlight w:val="none"/>
          <w:lang w:val="en-US" w:eastAsia="zh-CN"/>
        </w:rPr>
        <w:t xml:space="preserve">）又称安息香酸，在酸性条件下对多种微生物有明显的杀菌、抑菌作用，是很常用的食品防腐剂。它是常见植物代谢产物，在食品中存在少量本底，如红枣、蓝莓、奶粉（来自饲料）等。 </w:t>
      </w:r>
    </w:p>
    <w:p w14:paraId="440211B1">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一般情况下，苯甲酸被认为是安全的，在食品中添加少量苯甲酸时，对人体并无毒害。人体摄入少量的苯甲酸后，苯甲酸与体内的一种氨基酸生成一种无害的新物质，随尿液排出，但如果人体长期大量摄入苯甲酸或苯甲酸钠残留超标的食品，可能会造成肝脏积累性中毒，危害肝脏健康。联合国粮农组织（</w:t>
      </w:r>
      <w:r>
        <w:rPr>
          <w:rFonts w:hint="default" w:ascii="方正仿宋_GBK" w:hAnsi="方正仿宋_GBK" w:eastAsia="方正仿宋_GBK" w:cs="方正仿宋_GBK"/>
          <w:sz w:val="32"/>
          <w:szCs w:val="32"/>
          <w:highlight w:val="none"/>
          <w:lang w:val="en-US" w:eastAsia="zh-CN"/>
        </w:rPr>
        <w:t>FAO</w:t>
      </w:r>
      <w:r>
        <w:rPr>
          <w:rFonts w:hint="eastAsia" w:ascii="方正仿宋_GBK" w:hAnsi="方正仿宋_GBK" w:eastAsia="方正仿宋_GBK" w:cs="方正仿宋_GBK"/>
          <w:sz w:val="32"/>
          <w:szCs w:val="32"/>
          <w:highlight w:val="none"/>
          <w:lang w:val="en-US" w:eastAsia="zh-CN"/>
        </w:rPr>
        <w:t>）和世界卫生组织食品添加剂联合专家委员会（</w:t>
      </w:r>
      <w:r>
        <w:rPr>
          <w:rFonts w:hint="default" w:ascii="方正仿宋_GBK" w:hAnsi="方正仿宋_GBK" w:eastAsia="方正仿宋_GBK" w:cs="方正仿宋_GBK"/>
          <w:sz w:val="32"/>
          <w:szCs w:val="32"/>
          <w:highlight w:val="none"/>
          <w:lang w:val="en-US" w:eastAsia="zh-CN"/>
        </w:rPr>
        <w:t>JECFA</w:t>
      </w:r>
      <w:r>
        <w:rPr>
          <w:rFonts w:hint="eastAsia" w:ascii="方正仿宋_GBK" w:hAnsi="方正仿宋_GBK" w:eastAsia="方正仿宋_GBK" w:cs="方正仿宋_GBK"/>
          <w:sz w:val="32"/>
          <w:szCs w:val="32"/>
          <w:highlight w:val="none"/>
          <w:lang w:val="en-US" w:eastAsia="zh-CN"/>
        </w:rPr>
        <w:t>）建议其日容许摄入量（</w:t>
      </w:r>
      <w:r>
        <w:rPr>
          <w:rFonts w:hint="default" w:ascii="方正仿宋_GBK" w:hAnsi="方正仿宋_GBK" w:eastAsia="方正仿宋_GBK" w:cs="方正仿宋_GBK"/>
          <w:sz w:val="32"/>
          <w:szCs w:val="32"/>
          <w:highlight w:val="none"/>
          <w:lang w:val="en-US" w:eastAsia="zh-CN"/>
        </w:rPr>
        <w:t>ADI</w:t>
      </w:r>
      <w:r>
        <w:rPr>
          <w:rFonts w:hint="eastAsia" w:ascii="方正仿宋_GBK" w:hAnsi="方正仿宋_GBK" w:eastAsia="方正仿宋_GBK" w:cs="方正仿宋_GBK"/>
          <w:sz w:val="32"/>
          <w:szCs w:val="32"/>
          <w:highlight w:val="none"/>
          <w:lang w:val="en-US" w:eastAsia="zh-CN"/>
        </w:rPr>
        <w:t xml:space="preserve">）为 </w:t>
      </w:r>
      <w:r>
        <w:rPr>
          <w:rFonts w:hint="default" w:ascii="方正仿宋_GBK" w:hAnsi="方正仿宋_GBK" w:eastAsia="方正仿宋_GBK" w:cs="方正仿宋_GBK"/>
          <w:sz w:val="32"/>
          <w:szCs w:val="32"/>
          <w:highlight w:val="none"/>
          <w:lang w:val="en-US" w:eastAsia="zh-CN"/>
        </w:rPr>
        <w:t>0~5mg/kg bw</w:t>
      </w:r>
      <w:r>
        <w:rPr>
          <w:rFonts w:hint="eastAsia" w:ascii="方正仿宋_GBK" w:hAnsi="方正仿宋_GBK" w:eastAsia="方正仿宋_GBK" w:cs="方正仿宋_GBK"/>
          <w:sz w:val="32"/>
          <w:szCs w:val="32"/>
          <w:highlight w:val="none"/>
          <w:lang w:val="en-US" w:eastAsia="zh-CN"/>
        </w:rPr>
        <w:t xml:space="preserve">（以苯甲酸计）。 </w:t>
      </w:r>
    </w:p>
    <w:p w14:paraId="4430BD93">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造成食品中苯甲酸不合格的主要原因有：生产经营企业为延长产品保质期，或者弥补产品生产过程卫生条件不佳而超限量、超范围使用，或者使用时未准确计量。</w:t>
      </w:r>
    </w:p>
    <w:p w14:paraId="0E1E948B">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三、大肠菌群</w:t>
      </w:r>
    </w:p>
    <w:p w14:paraId="7919FD98">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大肠菌群（</w:t>
      </w:r>
      <w:r>
        <w:rPr>
          <w:rFonts w:hint="default" w:ascii="方正仿宋_GBK" w:hAnsi="方正仿宋_GBK" w:eastAsia="方正仿宋_GBK" w:cs="方正仿宋_GBK"/>
          <w:sz w:val="32"/>
          <w:szCs w:val="32"/>
          <w:highlight w:val="none"/>
          <w:lang w:val="en-US" w:eastAsia="zh-CN"/>
        </w:rPr>
        <w:t>coliforms</w:t>
      </w:r>
      <w:r>
        <w:rPr>
          <w:rFonts w:hint="eastAsia" w:ascii="方正仿宋_GBK" w:hAnsi="方正仿宋_GBK" w:eastAsia="方正仿宋_GBK" w:cs="方正仿宋_GBK"/>
          <w:sz w:val="32"/>
          <w:szCs w:val="32"/>
          <w:highlight w:val="none"/>
          <w:lang w:val="en-US" w:eastAsia="zh-CN"/>
        </w:rPr>
        <w:t xml:space="preserve">）包括肠杆菌科的埃希氏菌属、柠檬酸杆菌属、肠杆菌属和克雷伯菌属。这些菌属中的细菌，主要来自人和温血动物的肠道，需氧与兼性厌氧，不形成芽孢，在 </w:t>
      </w:r>
      <w:r>
        <w:rPr>
          <w:rFonts w:hint="default" w:ascii="方正仿宋_GBK" w:hAnsi="方正仿宋_GBK" w:eastAsia="方正仿宋_GBK" w:cs="方正仿宋_GBK"/>
          <w:sz w:val="32"/>
          <w:szCs w:val="32"/>
          <w:highlight w:val="none"/>
          <w:lang w:val="en-US" w:eastAsia="zh-CN"/>
        </w:rPr>
        <w:t>35</w:t>
      </w:r>
      <w:r>
        <w:rPr>
          <w:rFonts w:hint="eastAsia" w:ascii="方正仿宋_GBK" w:hAnsi="方正仿宋_GBK" w:eastAsia="方正仿宋_GBK" w:cs="方正仿宋_GBK"/>
          <w:sz w:val="32"/>
          <w:szCs w:val="32"/>
          <w:highlight w:val="none"/>
          <w:lang w:val="en-US" w:eastAsia="zh-CN"/>
        </w:rPr>
        <w:t>℃</w:t>
      </w:r>
      <w:r>
        <w:rPr>
          <w:rFonts w:hint="default" w:ascii="方正仿宋_GBK" w:hAnsi="方正仿宋_GBK" w:eastAsia="方正仿宋_GBK" w:cs="方正仿宋_GBK"/>
          <w:sz w:val="32"/>
          <w:szCs w:val="32"/>
          <w:highlight w:val="none"/>
          <w:lang w:val="en-US" w:eastAsia="zh-CN"/>
        </w:rPr>
        <w:t>~37</w:t>
      </w:r>
      <w:r>
        <w:rPr>
          <w:rFonts w:hint="eastAsia" w:ascii="方正仿宋_GBK" w:hAnsi="方正仿宋_GBK" w:eastAsia="方正仿宋_GBK" w:cs="方正仿宋_GBK"/>
          <w:sz w:val="32"/>
          <w:szCs w:val="32"/>
          <w:highlight w:val="none"/>
          <w:lang w:val="en-US" w:eastAsia="zh-CN"/>
        </w:rPr>
        <w:t>℃下能发酵乳糖产酸产气的革兰氏阴性杆菌。食品中大肠菌群的数量可以采用相当于每克或每毫升食品的最近似数来表示，简称大肠菌群最近似数（</w:t>
      </w:r>
      <w:r>
        <w:rPr>
          <w:rFonts w:hint="default" w:ascii="方正仿宋_GBK" w:hAnsi="方正仿宋_GBK" w:eastAsia="方正仿宋_GBK" w:cs="方正仿宋_GBK"/>
          <w:sz w:val="32"/>
          <w:szCs w:val="32"/>
          <w:highlight w:val="none"/>
          <w:lang w:val="en-US" w:eastAsia="zh-CN"/>
        </w:rPr>
        <w:t>MPN</w:t>
      </w:r>
      <w:r>
        <w:rPr>
          <w:rFonts w:hint="eastAsia" w:ascii="方正仿宋_GBK" w:hAnsi="方正仿宋_GBK" w:eastAsia="方正仿宋_GBK" w:cs="方正仿宋_GBK"/>
          <w:sz w:val="32"/>
          <w:szCs w:val="32"/>
          <w:highlight w:val="none"/>
          <w:lang w:val="en-US" w:eastAsia="zh-CN"/>
        </w:rPr>
        <w:t>）；也可以采用菌落形成单位（</w:t>
      </w:r>
      <w:r>
        <w:rPr>
          <w:rFonts w:hint="default" w:ascii="方正仿宋_GBK" w:hAnsi="方正仿宋_GBK" w:eastAsia="方正仿宋_GBK" w:cs="方正仿宋_GBK"/>
          <w:sz w:val="32"/>
          <w:szCs w:val="32"/>
          <w:highlight w:val="none"/>
          <w:lang w:val="en-US" w:eastAsia="zh-CN"/>
        </w:rPr>
        <w:t>CFU</w:t>
      </w:r>
      <w:r>
        <w:rPr>
          <w:rFonts w:hint="eastAsia" w:ascii="方正仿宋_GBK" w:hAnsi="方正仿宋_GBK" w:eastAsia="方正仿宋_GBK" w:cs="方正仿宋_GBK"/>
          <w:sz w:val="32"/>
          <w:szCs w:val="32"/>
          <w:highlight w:val="none"/>
          <w:lang w:val="en-US" w:eastAsia="zh-CN"/>
        </w:rPr>
        <w:t xml:space="preserve">）表示。 </w:t>
      </w:r>
    </w:p>
    <w:p w14:paraId="3EEAE7CC">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 xml:space="preserve">大肠菌群是国内外常用的指示性指标之一。其卫生学意义：一是作为食品受到人与温血动物粪便污染的指示菌；二是作为肠道致病菌污染食品的指示菌，提示食品被致病菌（如沙门氏菌、志贺氏菌、致泻大肠埃希氏菌等）污染的可能性较大。食品中大肠菌群不合格，说明食品存在卫生质量缺陷，对人体健康具有潜在危害。 </w:t>
      </w:r>
    </w:p>
    <w:p w14:paraId="501A0C74">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大肠菌群超标可能由于产品的加工原料、包装材料受污染，或在生产过程中产品受人员、工器具等生产设备、环境的污染，有加热处理工艺的产品加热不彻底而导致。</w:t>
      </w:r>
    </w:p>
    <w:p w14:paraId="6E263B01">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leftChars="200"/>
        <w:jc w:val="both"/>
        <w:textAlignment w:val="auto"/>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highlight w:val="none"/>
          <w:lang w:val="en-US" w:eastAsia="zh-CN"/>
        </w:rPr>
        <w:t>、</w:t>
      </w:r>
      <w:r>
        <w:rPr>
          <w:rFonts w:hint="default" w:ascii="方正黑体_GBK" w:hAnsi="方正黑体_GBK" w:eastAsia="方正黑体_GBK" w:cs="方正黑体_GBK"/>
          <w:sz w:val="32"/>
          <w:szCs w:val="32"/>
          <w:lang w:val="en-US" w:eastAsia="zh-CN"/>
        </w:rPr>
        <w:t>防腐剂混合使用时各自用量占其最大使用量的比例之和</w:t>
      </w:r>
    </w:p>
    <w:p w14:paraId="1447EECE">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防腐剂是能抑制微生物活动，防止食品腐败变质的一类</w:t>
      </w:r>
      <w:r>
        <w:rPr>
          <w:rFonts w:hint="default" w:ascii="方正仿宋_GBK" w:hAnsi="方正仿宋_GBK" w:eastAsia="方正仿宋_GBK" w:cs="方正仿宋_GBK"/>
          <w:sz w:val="32"/>
          <w:szCs w:val="32"/>
          <w:lang w:val="en-US" w:eastAsia="zh-CN"/>
        </w:rPr>
        <w:fldChar w:fldCharType="begin"/>
      </w:r>
      <w:r>
        <w:rPr>
          <w:rFonts w:hint="default" w:ascii="方正仿宋_GBK" w:hAnsi="方正仿宋_GBK" w:eastAsia="方正仿宋_GBK" w:cs="方正仿宋_GBK"/>
          <w:sz w:val="32"/>
          <w:szCs w:val="32"/>
          <w:lang w:val="en-US" w:eastAsia="zh-CN"/>
        </w:rPr>
        <w:instrText xml:space="preserve"> HYPERLINK "https://baike.baidu.com/item/%E9%A3%9F%E5%93%81%E6%B7%BB%E5%8A%A0%E5%89%82/1680288" \t "_blank" </w:instrText>
      </w:r>
      <w:r>
        <w:rPr>
          <w:rFonts w:hint="default" w:ascii="方正仿宋_GBK" w:hAnsi="方正仿宋_GBK" w:eastAsia="方正仿宋_GBK" w:cs="方正仿宋_GBK"/>
          <w:sz w:val="32"/>
          <w:szCs w:val="32"/>
          <w:lang w:val="en-US" w:eastAsia="zh-CN"/>
        </w:rPr>
        <w:fldChar w:fldCharType="separate"/>
      </w:r>
      <w:r>
        <w:rPr>
          <w:rFonts w:hint="default" w:ascii="方正仿宋_GBK" w:hAnsi="方正仿宋_GBK" w:eastAsia="方正仿宋_GBK" w:cs="方正仿宋_GBK"/>
          <w:sz w:val="32"/>
          <w:szCs w:val="32"/>
          <w:lang w:val="en-US" w:eastAsia="zh-CN"/>
        </w:rPr>
        <w:t>食品添加剂</w:t>
      </w:r>
      <w:r>
        <w:rPr>
          <w:rFonts w:hint="default" w:ascii="方正仿宋_GBK" w:hAnsi="方正仿宋_GBK" w:eastAsia="方正仿宋_GBK" w:cs="方正仿宋_GBK"/>
          <w:sz w:val="32"/>
          <w:szCs w:val="32"/>
          <w:lang w:val="en-US" w:eastAsia="zh-CN"/>
        </w:rPr>
        <w:fldChar w:fldCharType="end"/>
      </w:r>
      <w:r>
        <w:rPr>
          <w:rFonts w:hint="default" w:ascii="方正仿宋_GBK" w:hAnsi="方正仿宋_GBK" w:eastAsia="方正仿宋_GBK" w:cs="方正仿宋_GBK"/>
          <w:sz w:val="32"/>
          <w:szCs w:val="32"/>
          <w:lang w:val="en-US" w:eastAsia="zh-CN"/>
        </w:rPr>
        <w:t>。长期食用防腐剂超标的产品，可能会引发肠胃炎等疾病，可能对肝、肾等人体重要器官带来危害，还可能诱发过敏等症状，长期过量食用食品防腐剂超标的食物可能对人体健康产生一定影响。《食品安全国家标准 食品添加剂使用标准》（GB 2760-2014）中规定，防腐剂混合使用时各自用量占其最大使用量的比例之和不应超过1。防腐剂混合使用时各自用量占其最大使用量的比例之和不合格的原因，可能是生产厂商对国家标准不了解或了解得不够透彻，未按标准要求添加多种防腐剂所致。</w:t>
      </w:r>
    </w:p>
    <w:p w14:paraId="15B4586F">
      <w:pPr>
        <w:keepNext w:val="0"/>
        <w:keepLines w:val="0"/>
        <w:pageBreakBefore w:val="0"/>
        <w:widowControl/>
        <w:suppressLineNumbers w:val="0"/>
        <w:kinsoku/>
        <w:wordWrap/>
        <w:overflowPunct/>
        <w:topLinePunct w:val="0"/>
        <w:autoSpaceDE/>
        <w:autoSpaceDN/>
        <w:bidi w:val="0"/>
        <w:adjustRightInd/>
        <w:snapToGrid/>
        <w:spacing w:line="570" w:lineRule="exact"/>
        <w:ind w:firstLine="638" w:firstLineChars="200"/>
        <w:jc w:val="left"/>
        <w:textAlignment w:val="auto"/>
      </w:pPr>
      <w:r>
        <w:rPr>
          <w:rFonts w:hint="eastAsia" w:ascii="方正黑体简体" w:hAnsi="方正黑体简体" w:eastAsia="方正黑体简体" w:cs="方正黑体简体"/>
          <w:color w:val="000000"/>
          <w:kern w:val="0"/>
          <w:sz w:val="31"/>
          <w:szCs w:val="31"/>
          <w:lang w:val="en-US" w:eastAsia="zh-CN" w:bidi="ar"/>
        </w:rPr>
        <w:t>五</w:t>
      </w:r>
      <w:r>
        <w:rPr>
          <w:rFonts w:hint="eastAsia" w:ascii="方正黑体_GBK" w:hAnsi="方正黑体_GBK" w:eastAsia="方正黑体_GBK" w:cs="方正黑体_GBK"/>
          <w:sz w:val="32"/>
          <w:szCs w:val="32"/>
          <w:highlight w:val="none"/>
          <w:lang w:val="en-US" w:eastAsia="zh-CN"/>
        </w:rPr>
        <w:t>、</w:t>
      </w:r>
      <w:r>
        <w:rPr>
          <w:rFonts w:ascii="方正黑体简体" w:hAnsi="方正黑体简体" w:eastAsia="方正黑体简体" w:cs="方正黑体简体"/>
          <w:color w:val="000000"/>
          <w:kern w:val="0"/>
          <w:sz w:val="31"/>
          <w:szCs w:val="31"/>
          <w:lang w:val="en-US" w:eastAsia="zh-CN" w:bidi="ar"/>
        </w:rPr>
        <w:t xml:space="preserve">胭脂红 </w:t>
      </w:r>
    </w:p>
    <w:p w14:paraId="55BD4772">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胭脂红（</w:t>
      </w:r>
      <w:r>
        <w:rPr>
          <w:rFonts w:hint="default" w:ascii="方正仿宋_GBK" w:hAnsi="方正仿宋_GBK" w:eastAsia="方正仿宋_GBK" w:cs="方正仿宋_GBK"/>
          <w:sz w:val="32"/>
          <w:szCs w:val="32"/>
          <w:lang w:val="en-US" w:eastAsia="zh-CN"/>
        </w:rPr>
        <w:t>carmine</w:t>
      </w:r>
      <w:r>
        <w:rPr>
          <w:rFonts w:hint="eastAsia" w:ascii="方正仿宋_GBK" w:hAnsi="方正仿宋_GBK" w:eastAsia="方正仿宋_GBK" w:cs="方正仿宋_GBK"/>
          <w:sz w:val="32"/>
          <w:szCs w:val="32"/>
          <w:lang w:val="en-US" w:eastAsia="zh-CN"/>
        </w:rPr>
        <w:t xml:space="preserve">），又名大红、亮猩红，为偶氮类合成着色剂，广泛应用于食品工业中。 </w:t>
      </w:r>
    </w:p>
    <w:p w14:paraId="0F7BFE75">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胭脂红在动物试验无中毒现象，但是如果长期摄入，也存在健康风险。联合国粮农组织（</w:t>
      </w:r>
      <w:r>
        <w:rPr>
          <w:rFonts w:hint="default" w:ascii="方正仿宋_GBK" w:hAnsi="方正仿宋_GBK" w:eastAsia="方正仿宋_GBK" w:cs="方正仿宋_GBK"/>
          <w:sz w:val="32"/>
          <w:szCs w:val="32"/>
          <w:lang w:val="en-US" w:eastAsia="zh-CN"/>
        </w:rPr>
        <w:t>FAO</w:t>
      </w:r>
      <w:r>
        <w:rPr>
          <w:rFonts w:hint="eastAsia" w:ascii="方正仿宋_GBK" w:hAnsi="方正仿宋_GBK" w:eastAsia="方正仿宋_GBK" w:cs="方正仿宋_GBK"/>
          <w:sz w:val="32"/>
          <w:szCs w:val="32"/>
          <w:lang w:val="en-US" w:eastAsia="zh-CN"/>
        </w:rPr>
        <w:t>）和世界卫生组织食品添加剂联合专家委员会（</w:t>
      </w:r>
      <w:r>
        <w:rPr>
          <w:rFonts w:hint="default" w:ascii="方正仿宋_GBK" w:hAnsi="方正仿宋_GBK" w:eastAsia="方正仿宋_GBK" w:cs="方正仿宋_GBK"/>
          <w:sz w:val="32"/>
          <w:szCs w:val="32"/>
          <w:lang w:val="en-US" w:eastAsia="zh-CN"/>
        </w:rPr>
        <w:t>JECFA</w:t>
      </w:r>
      <w:r>
        <w:rPr>
          <w:rFonts w:hint="eastAsia" w:ascii="方正仿宋_GBK" w:hAnsi="方正仿宋_GBK" w:eastAsia="方正仿宋_GBK" w:cs="方正仿宋_GBK"/>
          <w:sz w:val="32"/>
          <w:szCs w:val="32"/>
          <w:lang w:val="en-US" w:eastAsia="zh-CN"/>
        </w:rPr>
        <w:t>）建议其日容许摄入量（</w:t>
      </w:r>
      <w:r>
        <w:rPr>
          <w:rFonts w:hint="default" w:ascii="方正仿宋_GBK" w:hAnsi="方正仿宋_GBK" w:eastAsia="方正仿宋_GBK" w:cs="方正仿宋_GBK"/>
          <w:sz w:val="32"/>
          <w:szCs w:val="32"/>
          <w:lang w:val="en-US" w:eastAsia="zh-CN"/>
        </w:rPr>
        <w:t>ADI</w:t>
      </w:r>
      <w:r>
        <w:rPr>
          <w:rFonts w:hint="eastAsia" w:ascii="方正仿宋_GBK" w:hAnsi="方正仿宋_GBK" w:eastAsia="方正仿宋_GBK" w:cs="方正仿宋_GBK"/>
          <w:sz w:val="32"/>
          <w:szCs w:val="32"/>
          <w:lang w:val="en-US" w:eastAsia="zh-CN"/>
        </w:rPr>
        <w:t xml:space="preserve">）为 </w:t>
      </w:r>
      <w:r>
        <w:rPr>
          <w:rFonts w:hint="default" w:ascii="方正仿宋_GBK" w:hAnsi="方正仿宋_GBK" w:eastAsia="方正仿宋_GBK" w:cs="方正仿宋_GBK"/>
          <w:sz w:val="32"/>
          <w:szCs w:val="32"/>
          <w:lang w:val="en-US" w:eastAsia="zh-CN"/>
        </w:rPr>
        <w:t>0~5mg/kg bw</w:t>
      </w:r>
      <w:r>
        <w:rPr>
          <w:rFonts w:hint="eastAsia" w:ascii="方正仿宋_GBK" w:hAnsi="方正仿宋_GBK" w:eastAsia="方正仿宋_GBK" w:cs="方正仿宋_GBK"/>
          <w:sz w:val="32"/>
          <w:szCs w:val="32"/>
          <w:lang w:val="en-US" w:eastAsia="zh-CN"/>
        </w:rPr>
        <w:t>。不合格可能的原因主要是生产经营企业为增加产品品相或弥补原料品质较低而超范围、超量添加，也不排除个别产品掺假的可能。</w:t>
      </w:r>
    </w:p>
    <w:p w14:paraId="458B77BA">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方正黑体_GBK" w:hAnsi="方正黑体_GBK" w:eastAsia="方正黑体_GBK" w:cs="方正黑体_GBK"/>
          <w:color w:val="000000"/>
          <w:kern w:val="0"/>
          <w:sz w:val="31"/>
          <w:szCs w:val="31"/>
          <w:lang w:val="en-US" w:eastAsia="zh-CN" w:bidi="ar"/>
        </w:rPr>
      </w:pPr>
      <w:r>
        <w:rPr>
          <w:rFonts w:hint="eastAsia" w:ascii="方正黑体_GBK" w:hAnsi="方正黑体_GBK" w:eastAsia="方正黑体_GBK" w:cs="方正黑体_GBK"/>
          <w:color w:val="000000"/>
          <w:kern w:val="0"/>
          <w:sz w:val="31"/>
          <w:szCs w:val="31"/>
          <w:lang w:val="en-US" w:eastAsia="zh-CN" w:bidi="ar"/>
        </w:rPr>
        <w:t xml:space="preserve">六、柠檬黄 </w:t>
      </w:r>
    </w:p>
    <w:p w14:paraId="0CF7DA9B">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柠檬黄（</w:t>
      </w:r>
      <w:r>
        <w:rPr>
          <w:rFonts w:hint="default" w:ascii="方正仿宋_GBK" w:hAnsi="方正仿宋_GBK" w:eastAsia="方正仿宋_GBK" w:cs="方正仿宋_GBK"/>
          <w:sz w:val="32"/>
          <w:szCs w:val="32"/>
          <w:lang w:val="en-US" w:eastAsia="zh-CN"/>
        </w:rPr>
        <w:t>tartrazine</w:t>
      </w:r>
      <w:r>
        <w:rPr>
          <w:rFonts w:hint="eastAsia" w:ascii="方正仿宋_GBK" w:hAnsi="方正仿宋_GBK" w:eastAsia="方正仿宋_GBK" w:cs="方正仿宋_GBK"/>
          <w:sz w:val="32"/>
          <w:szCs w:val="32"/>
          <w:lang w:val="en-US" w:eastAsia="zh-CN"/>
        </w:rPr>
        <w:t xml:space="preserve">），橙黄或亮橙色的粉末或颗粒，是一种合成着色剂，常用于饮料类配制酒、糖果、风味发酵乳、腌渍蔬菜、果冻、膨化食品等制品。 </w:t>
      </w:r>
    </w:p>
    <w:p w14:paraId="6C765553">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柠檬黄基本无毒，不在体内贮积，绝大部分以原形排出体外；但是如果，也存在健康风险。联合国粮农组织（</w:t>
      </w:r>
      <w:r>
        <w:rPr>
          <w:rFonts w:hint="default" w:ascii="方正仿宋_GBK" w:hAnsi="方正仿宋_GBK" w:eastAsia="方正仿宋_GBK" w:cs="方正仿宋_GBK"/>
          <w:sz w:val="32"/>
          <w:szCs w:val="32"/>
          <w:lang w:val="en-US" w:eastAsia="zh-CN"/>
        </w:rPr>
        <w:t>FAO</w:t>
      </w:r>
      <w:r>
        <w:rPr>
          <w:rFonts w:hint="eastAsia" w:ascii="方正仿宋_GBK" w:hAnsi="方正仿宋_GBK" w:eastAsia="方正仿宋_GBK" w:cs="方正仿宋_GBK"/>
          <w:sz w:val="32"/>
          <w:szCs w:val="32"/>
          <w:lang w:val="en-US" w:eastAsia="zh-CN"/>
        </w:rPr>
        <w:t>）和世界卫生组织食品添加剂联合专家委员会（</w:t>
      </w:r>
      <w:r>
        <w:rPr>
          <w:rFonts w:hint="default" w:ascii="方正仿宋_GBK" w:hAnsi="方正仿宋_GBK" w:eastAsia="方正仿宋_GBK" w:cs="方正仿宋_GBK"/>
          <w:sz w:val="32"/>
          <w:szCs w:val="32"/>
          <w:lang w:val="en-US" w:eastAsia="zh-CN"/>
        </w:rPr>
        <w:t>JECFA</w:t>
      </w:r>
      <w:r>
        <w:rPr>
          <w:rFonts w:hint="eastAsia" w:ascii="方正仿宋_GBK" w:hAnsi="方正仿宋_GBK" w:eastAsia="方正仿宋_GBK" w:cs="方正仿宋_GBK"/>
          <w:sz w:val="32"/>
          <w:szCs w:val="32"/>
          <w:lang w:val="en-US" w:eastAsia="zh-CN"/>
        </w:rPr>
        <w:t>）建议其日容许摄入量（</w:t>
      </w:r>
      <w:r>
        <w:rPr>
          <w:rFonts w:hint="default" w:ascii="方正仿宋_GBK" w:hAnsi="方正仿宋_GBK" w:eastAsia="方正仿宋_GBK" w:cs="方正仿宋_GBK"/>
          <w:sz w:val="32"/>
          <w:szCs w:val="32"/>
          <w:lang w:val="en-US" w:eastAsia="zh-CN"/>
        </w:rPr>
        <w:t>ADI</w:t>
      </w:r>
      <w:r>
        <w:rPr>
          <w:rFonts w:hint="eastAsia" w:ascii="方正仿宋_GBK" w:hAnsi="方正仿宋_GBK" w:eastAsia="方正仿宋_GBK" w:cs="方正仿宋_GBK"/>
          <w:sz w:val="32"/>
          <w:szCs w:val="32"/>
          <w:lang w:val="en-US" w:eastAsia="zh-CN"/>
        </w:rPr>
        <w:t xml:space="preserve">）为 </w:t>
      </w:r>
      <w:r>
        <w:rPr>
          <w:rFonts w:hint="default" w:ascii="方正仿宋_GBK" w:hAnsi="方正仿宋_GBK" w:eastAsia="方正仿宋_GBK" w:cs="方正仿宋_GBK"/>
          <w:sz w:val="32"/>
          <w:szCs w:val="32"/>
          <w:lang w:val="en-US" w:eastAsia="zh-CN"/>
        </w:rPr>
        <w:t>0~10mg/kg bw</w:t>
      </w:r>
      <w:r>
        <w:rPr>
          <w:rFonts w:hint="eastAsia" w:ascii="方正仿宋_GBK" w:hAnsi="方正仿宋_GBK" w:eastAsia="方正仿宋_GBK" w:cs="方正仿宋_GBK"/>
          <w:sz w:val="32"/>
          <w:szCs w:val="32"/>
          <w:lang w:val="en-US" w:eastAsia="zh-CN"/>
        </w:rPr>
        <w:t xml:space="preserve">。 </w:t>
      </w:r>
    </w:p>
    <w:p w14:paraId="0C51C9C7">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造成食品中柠檬黄不合格的主要原因有：生产经营企业超限量、超范围使用，或者未准确计量。</w:t>
      </w:r>
    </w:p>
    <w:p w14:paraId="43910596">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方正黑体_GBK" w:hAnsi="方正黑体_GBK" w:eastAsia="方正黑体_GBK" w:cs="方正黑体_GBK"/>
          <w:color w:val="000000"/>
          <w:kern w:val="0"/>
          <w:sz w:val="31"/>
          <w:szCs w:val="31"/>
          <w:lang w:val="en-US" w:eastAsia="zh-CN" w:bidi="ar"/>
        </w:rPr>
      </w:pPr>
      <w:r>
        <w:rPr>
          <w:rFonts w:hint="eastAsia" w:ascii="方正黑体_GBK" w:hAnsi="方正黑体_GBK" w:eastAsia="方正黑体_GBK" w:cs="方正黑体_GBK"/>
          <w:color w:val="000000"/>
          <w:kern w:val="0"/>
          <w:sz w:val="31"/>
          <w:szCs w:val="31"/>
          <w:lang w:val="en-US" w:eastAsia="zh-CN" w:bidi="ar"/>
        </w:rPr>
        <w:t xml:space="preserve">七、铝的残留量 </w:t>
      </w:r>
    </w:p>
    <w:p w14:paraId="00C625C7">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含铝（</w:t>
      </w:r>
      <w:r>
        <w:rPr>
          <w:rFonts w:hint="default" w:ascii="方正仿宋_GBK" w:hAnsi="方正仿宋_GBK" w:eastAsia="方正仿宋_GBK" w:cs="方正仿宋_GBK"/>
          <w:sz w:val="32"/>
          <w:szCs w:val="32"/>
          <w:lang w:val="en-US" w:eastAsia="zh-CN"/>
        </w:rPr>
        <w:t>aluminium</w:t>
      </w:r>
      <w:r>
        <w:rPr>
          <w:rFonts w:hint="eastAsia" w:ascii="方正仿宋_GBK" w:hAnsi="方正仿宋_GBK" w:eastAsia="方正仿宋_GBK" w:cs="方正仿宋_GBK"/>
          <w:sz w:val="32"/>
          <w:szCs w:val="32"/>
          <w:lang w:val="en-US" w:eastAsia="zh-CN"/>
        </w:rPr>
        <w:t>）食品添加剂（比如钾明矾、铵明矾）可用作膨松剂、稳定剂。按标准使用含铝食品添加剂不会对健康造成危害，但长期过量摄入铝可能与儿童智力发育障碍、软骨病、骨质疏松等疾病有关。目前联合国粮农组织（</w:t>
      </w:r>
      <w:r>
        <w:rPr>
          <w:rFonts w:hint="default" w:ascii="方正仿宋_GBK" w:hAnsi="方正仿宋_GBK" w:eastAsia="方正仿宋_GBK" w:cs="方正仿宋_GBK"/>
          <w:sz w:val="32"/>
          <w:szCs w:val="32"/>
          <w:lang w:val="en-US" w:eastAsia="zh-CN"/>
        </w:rPr>
        <w:t>FAO</w:t>
      </w:r>
      <w:r>
        <w:rPr>
          <w:rFonts w:hint="eastAsia" w:ascii="方正仿宋_GBK" w:hAnsi="方正仿宋_GBK" w:eastAsia="方正仿宋_GBK" w:cs="方正仿宋_GBK"/>
          <w:sz w:val="32"/>
          <w:szCs w:val="32"/>
          <w:lang w:val="en-US" w:eastAsia="zh-CN"/>
        </w:rPr>
        <w:t>）和世界卫生组织食品添加剂联合专家委员会（</w:t>
      </w:r>
      <w:r>
        <w:rPr>
          <w:rFonts w:hint="default" w:ascii="方正仿宋_GBK" w:hAnsi="方正仿宋_GBK" w:eastAsia="方正仿宋_GBK" w:cs="方正仿宋_GBK"/>
          <w:sz w:val="32"/>
          <w:szCs w:val="32"/>
          <w:lang w:val="en-US" w:eastAsia="zh-CN"/>
        </w:rPr>
        <w:t>JECFA</w:t>
      </w:r>
      <w:r>
        <w:rPr>
          <w:rFonts w:hint="eastAsia" w:ascii="方正仿宋_GBK" w:hAnsi="方正仿宋_GBK" w:eastAsia="方正仿宋_GBK" w:cs="方正仿宋_GBK"/>
          <w:sz w:val="32"/>
          <w:szCs w:val="32"/>
          <w:lang w:val="en-US" w:eastAsia="zh-CN"/>
        </w:rPr>
        <w:t>）尚未给出其日容许摄入量（</w:t>
      </w:r>
      <w:r>
        <w:rPr>
          <w:rFonts w:hint="default" w:ascii="方正仿宋_GBK" w:hAnsi="方正仿宋_GBK" w:eastAsia="方正仿宋_GBK" w:cs="方正仿宋_GBK"/>
          <w:sz w:val="32"/>
          <w:szCs w:val="32"/>
          <w:lang w:val="en-US" w:eastAsia="zh-CN"/>
        </w:rPr>
        <w:t>ADI</w:t>
      </w:r>
      <w:r>
        <w:rPr>
          <w:rFonts w:hint="eastAsia" w:ascii="方正仿宋_GBK" w:hAnsi="方正仿宋_GBK" w:eastAsia="方正仿宋_GBK" w:cs="方正仿宋_GBK"/>
          <w:sz w:val="32"/>
          <w:szCs w:val="32"/>
          <w:lang w:val="en-US" w:eastAsia="zh-CN"/>
        </w:rPr>
        <w:t>）的建议值，但是给出了暂定每周耐受摄入量（</w:t>
      </w:r>
      <w:r>
        <w:rPr>
          <w:rFonts w:hint="default" w:ascii="方正仿宋_GBK" w:hAnsi="方正仿宋_GBK" w:eastAsia="方正仿宋_GBK" w:cs="方正仿宋_GBK"/>
          <w:sz w:val="32"/>
          <w:szCs w:val="32"/>
          <w:lang w:val="en-US" w:eastAsia="zh-CN"/>
        </w:rPr>
        <w:t>PTWI</w:t>
      </w:r>
      <w:r>
        <w:rPr>
          <w:rFonts w:hint="eastAsia" w:ascii="方正仿宋_GBK" w:hAnsi="方正仿宋_GBK" w:eastAsia="方正仿宋_GBK" w:cs="方正仿宋_GBK"/>
          <w:sz w:val="32"/>
          <w:szCs w:val="32"/>
          <w:lang w:val="en-US" w:eastAsia="zh-CN"/>
        </w:rPr>
        <w:t>）为</w:t>
      </w:r>
      <w:r>
        <w:rPr>
          <w:rFonts w:hint="default" w:ascii="方正仿宋_GBK" w:hAnsi="方正仿宋_GBK" w:eastAsia="方正仿宋_GBK" w:cs="方正仿宋_GBK"/>
          <w:sz w:val="32"/>
          <w:szCs w:val="32"/>
          <w:lang w:val="en-US" w:eastAsia="zh-CN"/>
        </w:rPr>
        <w:t>2mg/kg bw</w:t>
      </w:r>
      <w:r>
        <w:rPr>
          <w:rFonts w:hint="eastAsia" w:ascii="方正仿宋_GBK" w:hAnsi="方正仿宋_GBK" w:eastAsia="方正仿宋_GBK" w:cs="方正仿宋_GBK"/>
          <w:sz w:val="32"/>
          <w:szCs w:val="32"/>
          <w:lang w:val="en-US" w:eastAsia="zh-CN"/>
        </w:rPr>
        <w:t xml:space="preserve">。 </w:t>
      </w:r>
    </w:p>
    <w:p w14:paraId="6B3FC397">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铝残留量超标的原因可能是个别生产经营企业为增加产品口感，在生产加工过程中超限量、超范围使用含铝添加剂，或者其使用的复配添加剂中铝含量过高，而在粉丝、粉条产品中，还可能是生产经营企业使用的原料受环境原因，天然含有较高含量的铝本底所致。</w:t>
      </w:r>
    </w:p>
    <w:p w14:paraId="2D8B6A59">
      <w:pPr>
        <w:keepNext w:val="0"/>
        <w:keepLines w:val="0"/>
        <w:pageBreakBefore w:val="0"/>
        <w:widowControl/>
        <w:suppressLineNumbers w:val="0"/>
        <w:kinsoku/>
        <w:wordWrap/>
        <w:overflowPunct/>
        <w:topLinePunct w:val="0"/>
        <w:autoSpaceDE/>
        <w:autoSpaceDN/>
        <w:bidi w:val="0"/>
        <w:adjustRightInd/>
        <w:snapToGrid/>
        <w:spacing w:line="570" w:lineRule="exact"/>
        <w:ind w:firstLine="638" w:firstLineChars="200"/>
        <w:jc w:val="left"/>
        <w:textAlignment w:val="auto"/>
      </w:pPr>
      <w:r>
        <w:rPr>
          <w:rFonts w:hint="eastAsia" w:ascii="方正黑体_GBK" w:hAnsi="方正黑体_GBK" w:eastAsia="方正黑体_GBK" w:cs="方正黑体_GBK"/>
          <w:color w:val="000000"/>
          <w:kern w:val="0"/>
          <w:sz w:val="31"/>
          <w:szCs w:val="31"/>
          <w:lang w:val="en-US" w:eastAsia="zh-CN" w:bidi="ar"/>
        </w:rPr>
        <w:t>八</w:t>
      </w:r>
      <w:r>
        <w:rPr>
          <w:rFonts w:hint="eastAsia" w:ascii="方正黑体_GBK" w:hAnsi="方正黑体_GBK" w:eastAsia="方正黑体_GBK" w:cs="方正黑体_GBK"/>
          <w:color w:val="000000"/>
          <w:kern w:val="0"/>
          <w:sz w:val="31"/>
          <w:szCs w:val="31"/>
          <w:lang w:val="en-US" w:eastAsia="zh-CN" w:bidi="ar"/>
        </w:rPr>
        <w:t>、</w:t>
      </w:r>
      <w:r>
        <w:rPr>
          <w:rFonts w:hint="eastAsia" w:ascii="方正黑体_GBK" w:hAnsi="方正黑体_GBK" w:eastAsia="方正黑体_GBK" w:cs="方正黑体_GBK"/>
          <w:color w:val="000000"/>
          <w:kern w:val="0"/>
          <w:sz w:val="31"/>
          <w:szCs w:val="31"/>
          <w:lang w:val="en-US" w:eastAsia="zh-CN" w:bidi="ar"/>
        </w:rPr>
        <w:t>过氧化值</w:t>
      </w:r>
      <w:r>
        <w:rPr>
          <w:rFonts w:ascii="方正黑体简体" w:hAnsi="方正黑体简体" w:eastAsia="方正黑体简体" w:cs="方正黑体简体"/>
          <w:color w:val="000000"/>
          <w:kern w:val="0"/>
          <w:sz w:val="31"/>
          <w:szCs w:val="31"/>
          <w:lang w:val="en-US" w:eastAsia="zh-CN" w:bidi="ar"/>
        </w:rPr>
        <w:t xml:space="preserve"> </w:t>
      </w:r>
    </w:p>
    <w:p w14:paraId="6B5E7503">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过氧化值是指油脂中不饱和脂肪酸被氧化形成过氧化物，一般以</w:t>
      </w:r>
      <w:r>
        <w:rPr>
          <w:rFonts w:hint="default" w:ascii="方正仿宋_GBK" w:hAnsi="方正仿宋_GBK" w:eastAsia="方正仿宋_GBK" w:cs="方正仿宋_GBK"/>
          <w:sz w:val="32"/>
          <w:szCs w:val="32"/>
          <w:lang w:val="en-US" w:eastAsia="zh-CN"/>
        </w:rPr>
        <w:t>100g</w:t>
      </w:r>
      <w:r>
        <w:rPr>
          <w:rFonts w:hint="eastAsia" w:ascii="方正仿宋_GBK" w:hAnsi="方正仿宋_GBK" w:eastAsia="方正仿宋_GBK" w:cs="方正仿宋_GBK"/>
          <w:sz w:val="32"/>
          <w:szCs w:val="32"/>
          <w:lang w:val="en-US" w:eastAsia="zh-CN"/>
        </w:rPr>
        <w:t>（或</w:t>
      </w:r>
      <w:r>
        <w:rPr>
          <w:rFonts w:hint="default" w:ascii="方正仿宋_GBK" w:hAnsi="方正仿宋_GBK" w:eastAsia="方正仿宋_GBK" w:cs="方正仿宋_GBK"/>
          <w:sz w:val="32"/>
          <w:szCs w:val="32"/>
          <w:lang w:val="en-US" w:eastAsia="zh-CN"/>
        </w:rPr>
        <w:t>1kg</w:t>
      </w:r>
      <w:r>
        <w:rPr>
          <w:rFonts w:hint="eastAsia" w:ascii="方正仿宋_GBK" w:hAnsi="方正仿宋_GBK" w:eastAsia="方正仿宋_GBK" w:cs="方正仿宋_GBK"/>
          <w:sz w:val="32"/>
          <w:szCs w:val="32"/>
          <w:lang w:val="en-US" w:eastAsia="zh-CN"/>
        </w:rPr>
        <w:t>）被测油脂使碘化钾析出碘的克数表示。</w:t>
      </w:r>
      <w:r>
        <w:rPr>
          <w:rFonts w:hint="default" w:ascii="方正仿宋_GBK" w:hAnsi="方正仿宋_GBK" w:eastAsia="方正仿宋_GBK" w:cs="方正仿宋_GBK"/>
          <w:sz w:val="32"/>
          <w:szCs w:val="32"/>
          <w:lang w:val="en-US" w:eastAsia="zh-CN"/>
        </w:rPr>
        <w:t>POV</w:t>
      </w:r>
      <w:r>
        <w:rPr>
          <w:rFonts w:hint="eastAsia" w:ascii="方正仿宋_GBK" w:hAnsi="方正仿宋_GBK" w:eastAsia="方正仿宋_GBK" w:cs="方正仿宋_GBK"/>
          <w:sz w:val="32"/>
          <w:szCs w:val="32"/>
          <w:lang w:val="en-US" w:eastAsia="zh-CN"/>
        </w:rPr>
        <w:t>是油脂酸败的早期指标，主要反映油脂被氧化的程度。当</w:t>
      </w:r>
      <w:r>
        <w:rPr>
          <w:rFonts w:hint="default" w:ascii="方正仿宋_GBK" w:hAnsi="方正仿宋_GBK" w:eastAsia="方正仿宋_GBK" w:cs="方正仿宋_GBK"/>
          <w:sz w:val="32"/>
          <w:szCs w:val="32"/>
          <w:lang w:val="en-US" w:eastAsia="zh-CN"/>
        </w:rPr>
        <w:t>POV</w:t>
      </w:r>
      <w:r>
        <w:rPr>
          <w:rFonts w:hint="eastAsia" w:ascii="方正仿宋_GBK" w:hAnsi="方正仿宋_GBK" w:eastAsia="方正仿宋_GBK" w:cs="方正仿宋_GBK"/>
          <w:sz w:val="32"/>
          <w:szCs w:val="32"/>
          <w:lang w:val="en-US" w:eastAsia="zh-CN"/>
        </w:rPr>
        <w:t>上升到一定程度后，油脂开始出现感官形状上的改变。</w:t>
      </w:r>
      <w:r>
        <w:rPr>
          <w:rFonts w:hint="default" w:ascii="方正仿宋_GBK" w:hAnsi="方正仿宋_GBK" w:eastAsia="方正仿宋_GBK" w:cs="方正仿宋_GBK"/>
          <w:sz w:val="32"/>
          <w:szCs w:val="32"/>
          <w:lang w:val="en-US" w:eastAsia="zh-CN"/>
        </w:rPr>
        <w:t>POV</w:t>
      </w:r>
      <w:r>
        <w:rPr>
          <w:rFonts w:hint="eastAsia" w:ascii="方正仿宋_GBK" w:hAnsi="方正仿宋_GBK" w:eastAsia="方正仿宋_GBK" w:cs="方正仿宋_GBK"/>
          <w:sz w:val="32"/>
          <w:szCs w:val="32"/>
          <w:lang w:val="en-US" w:eastAsia="zh-CN"/>
        </w:rPr>
        <w:t>并非随着酸败程度的加剧而持续升高，当油脂由哈喇味变辛辣味、色泽变深、粘度增大时，</w:t>
      </w:r>
      <w:r>
        <w:rPr>
          <w:rFonts w:hint="default" w:ascii="方正仿宋_GBK" w:hAnsi="方正仿宋_GBK" w:eastAsia="方正仿宋_GBK" w:cs="方正仿宋_GBK"/>
          <w:sz w:val="32"/>
          <w:szCs w:val="32"/>
          <w:lang w:val="en-US" w:eastAsia="zh-CN"/>
        </w:rPr>
        <w:t>POV</w:t>
      </w:r>
      <w:r>
        <w:rPr>
          <w:rFonts w:hint="eastAsia" w:ascii="方正仿宋_GBK" w:hAnsi="方正仿宋_GBK" w:eastAsia="方正仿宋_GBK" w:cs="方正仿宋_GBK"/>
          <w:sz w:val="32"/>
          <w:szCs w:val="32"/>
          <w:lang w:val="en-US" w:eastAsia="zh-CN"/>
        </w:rPr>
        <w:t>反而会降至较低水平。随着油脂氧化，过氧化值会逐步升高，一般情况下，当</w:t>
      </w:r>
      <w:r>
        <w:rPr>
          <w:rFonts w:hint="default" w:ascii="方正仿宋_GBK" w:hAnsi="方正仿宋_GBK" w:eastAsia="方正仿宋_GBK" w:cs="方正仿宋_GBK"/>
          <w:sz w:val="32"/>
          <w:szCs w:val="32"/>
          <w:lang w:val="en-US" w:eastAsia="zh-CN"/>
        </w:rPr>
        <w:t>POV</w:t>
      </w:r>
      <w:r>
        <w:rPr>
          <w:rFonts w:hint="eastAsia" w:ascii="方正仿宋_GBK" w:hAnsi="方正仿宋_GBK" w:eastAsia="方正仿宋_GBK" w:cs="方正仿宋_GBK"/>
          <w:sz w:val="32"/>
          <w:szCs w:val="32"/>
          <w:lang w:val="en-US" w:eastAsia="zh-CN"/>
        </w:rPr>
        <w:t>超过</w:t>
      </w:r>
      <w:r>
        <w:rPr>
          <w:rFonts w:hint="default" w:ascii="方正仿宋_GBK" w:hAnsi="方正仿宋_GBK" w:eastAsia="方正仿宋_GBK" w:cs="方正仿宋_GBK"/>
          <w:sz w:val="32"/>
          <w:szCs w:val="32"/>
          <w:lang w:val="en-US" w:eastAsia="zh-CN"/>
        </w:rPr>
        <w:t>0.25g/100g</w:t>
      </w:r>
      <w:r>
        <w:rPr>
          <w:rFonts w:hint="eastAsia" w:ascii="方正仿宋_GBK" w:hAnsi="方正仿宋_GBK" w:eastAsia="方正仿宋_GBK" w:cs="方正仿宋_GBK"/>
          <w:sz w:val="32"/>
          <w:szCs w:val="32"/>
          <w:lang w:val="en-US" w:eastAsia="zh-CN"/>
        </w:rPr>
        <w:t xml:space="preserve">，即表示酸败。 </w:t>
      </w:r>
    </w:p>
    <w:p w14:paraId="050F1B26">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该指标不合格一般不会对人体的健康产生损害，但过多食用，严重时会导致肠胃不适、腹泻等症状。一般情况下，如果食品氧化变质，消费者在食用过程中能辨别出哈喇等异味，需避免食用。 </w:t>
      </w:r>
    </w:p>
    <w:p w14:paraId="79405248">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过氧化值超标的原因可能是产品用油已经变质，或者产品在储存过程中环境条件控制不当，导致产品酸败；也可能是原料中的脂肪已经氧化，储存不当，或未采取有效的抗氧化措施，使得终产品油脂氧化。此外，植物油精炼不到位也可能造成食用油、油脂及其制品的过氧化值不合格。</w:t>
      </w:r>
    </w:p>
    <w:p w14:paraId="5F15E145">
      <w:pPr>
        <w:keepNext w:val="0"/>
        <w:keepLines w:val="0"/>
        <w:pageBreakBefore w:val="0"/>
        <w:widowControl/>
        <w:suppressLineNumbers w:val="0"/>
        <w:kinsoku/>
        <w:wordWrap/>
        <w:overflowPunct/>
        <w:topLinePunct w:val="0"/>
        <w:autoSpaceDE/>
        <w:autoSpaceDN/>
        <w:bidi w:val="0"/>
        <w:adjustRightInd/>
        <w:snapToGrid/>
        <w:spacing w:line="570" w:lineRule="exact"/>
        <w:ind w:firstLine="638" w:firstLineChars="200"/>
        <w:jc w:val="left"/>
        <w:textAlignment w:val="auto"/>
        <w:rPr>
          <w:rFonts w:hint="eastAsia" w:ascii="方正黑体_GBK" w:hAnsi="方正黑体_GBK" w:eastAsia="方正黑体_GBK" w:cs="方正黑体_GBK"/>
        </w:rPr>
      </w:pPr>
      <w:r>
        <w:rPr>
          <w:rFonts w:hint="eastAsia" w:ascii="方正黑体_GBK" w:hAnsi="方正黑体_GBK" w:eastAsia="方正黑体_GBK" w:cs="方正黑体_GBK"/>
          <w:color w:val="000000"/>
          <w:kern w:val="0"/>
          <w:sz w:val="31"/>
          <w:szCs w:val="31"/>
          <w:lang w:val="en-US" w:eastAsia="zh-CN" w:bidi="ar"/>
        </w:rPr>
        <w:t>九</w:t>
      </w:r>
      <w:r>
        <w:rPr>
          <w:rFonts w:hint="eastAsia" w:ascii="方正黑体_GBK" w:hAnsi="方正黑体_GBK" w:eastAsia="方正黑体_GBK" w:cs="方正黑体_GBK"/>
          <w:color w:val="000000"/>
          <w:kern w:val="0"/>
          <w:sz w:val="31"/>
          <w:szCs w:val="31"/>
          <w:lang w:val="en-US" w:eastAsia="zh-CN" w:bidi="ar"/>
        </w:rPr>
        <w:t>、</w:t>
      </w:r>
      <w:r>
        <w:rPr>
          <w:rFonts w:hint="eastAsia" w:ascii="方正黑体_GBK" w:hAnsi="方正黑体_GBK" w:eastAsia="方正黑体_GBK" w:cs="方正黑体_GBK"/>
          <w:color w:val="000000"/>
          <w:kern w:val="0"/>
          <w:sz w:val="31"/>
          <w:szCs w:val="31"/>
          <w:lang w:val="en-US" w:eastAsia="zh-CN" w:bidi="ar"/>
        </w:rPr>
        <w:t xml:space="preserve">阴离子合成洗涤剂 </w:t>
      </w:r>
    </w:p>
    <w:p w14:paraId="5BE997B9">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阴离子合成洗涤剂（</w:t>
      </w:r>
      <w:r>
        <w:rPr>
          <w:rFonts w:hint="default" w:ascii="方正仿宋_GBK" w:hAnsi="方正仿宋_GBK" w:eastAsia="方正仿宋_GBK" w:cs="方正仿宋_GBK"/>
          <w:sz w:val="32"/>
          <w:szCs w:val="32"/>
          <w:lang w:val="en-US" w:eastAsia="zh-CN"/>
        </w:rPr>
        <w:t>Anionic synthetic detergent</w:t>
      </w:r>
      <w:r>
        <w:rPr>
          <w:rFonts w:hint="eastAsia" w:ascii="方正仿宋_GBK" w:hAnsi="方正仿宋_GBK" w:eastAsia="方正仿宋_GBK" w:cs="方正仿宋_GBK"/>
          <w:sz w:val="32"/>
          <w:szCs w:val="32"/>
          <w:lang w:val="en-US" w:eastAsia="zh-CN"/>
        </w:rPr>
        <w:t xml:space="preserve">）主要成分是十二烷基苯磺酸钠，是我们日常生活中经常用到的洗衣粉、洗洁精、洗衣液、肥皂等洗涤剂的主要成分，是一种低毒物质，因其使用方便、易溶解、稳定性好、成本低等优点被广泛使用。阴离子合成洗涤剂可影响生活饮用水的质量，是饮用水质量检测的重要指标之一，也是消毒餐（饮）具质量评价的重要指标之一。如果饮用水生产过程或餐具清洗消毒过程中控制不当，会造成洗 </w:t>
      </w:r>
    </w:p>
    <w:p w14:paraId="34796BC6">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 xml:space="preserve">涤剂在水体或餐具上的残留过量，对人体健康产生不良影响。 </w:t>
      </w:r>
    </w:p>
    <w:p w14:paraId="1AEBCCD5">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饮水中含量不合格可能是阴离子合成洗涤剂成为环境中的有机污染物，造成饮用水中阴离子合成洗涤剂含量超标。餐（饮）具中检出阴离子合成洗涤剂的原因可能是由于餐（饮）具消毒单位使用的洗涤剂不合格或使用量过大，或未经足够量清水冲洗，最终残留在餐（饮）具中。</w:t>
      </w:r>
    </w:p>
    <w:p w14:paraId="4438E5FB">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eastAsia" w:ascii="方正黑体_GBK" w:hAnsi="方正黑体_GBK" w:eastAsia="方正黑体_GBK" w:cs="方正黑体_GBK"/>
          <w:color w:val="000000"/>
          <w:kern w:val="0"/>
          <w:sz w:val="31"/>
          <w:szCs w:val="31"/>
          <w:lang w:val="en-US" w:eastAsia="zh-CN" w:bidi="ar"/>
        </w:rPr>
      </w:pPr>
      <w:r>
        <w:rPr>
          <w:rFonts w:hint="eastAsia" w:ascii="方正黑体_GBK" w:hAnsi="方正黑体_GBK" w:eastAsia="方正黑体_GBK" w:cs="方正黑体_GBK"/>
          <w:color w:val="000000"/>
          <w:kern w:val="0"/>
          <w:sz w:val="31"/>
          <w:szCs w:val="31"/>
          <w:lang w:val="en-US" w:eastAsia="zh-CN" w:bidi="ar"/>
        </w:rPr>
        <w:t>十、苯并</w:t>
      </w:r>
      <w:r>
        <w:rPr>
          <w:rFonts w:hint="default" w:ascii="方正黑体_GBK" w:hAnsi="方正黑体_GBK" w:eastAsia="方正黑体_GBK" w:cs="方正黑体_GBK"/>
          <w:color w:val="000000"/>
          <w:kern w:val="0"/>
          <w:sz w:val="31"/>
          <w:szCs w:val="31"/>
          <w:lang w:val="en-US" w:eastAsia="zh-CN" w:bidi="ar"/>
        </w:rPr>
        <w:t xml:space="preserve">[ a ]芘 </w:t>
      </w:r>
      <w:bookmarkStart w:id="0" w:name="_GoBack"/>
      <w:bookmarkEnd w:id="0"/>
    </w:p>
    <w:p w14:paraId="474ED62A">
      <w:pPr>
        <w:keepNext w:val="0"/>
        <w:keepLines w:val="0"/>
        <w:pageBreakBefore w:val="0"/>
        <w:widowControl w:val="0"/>
        <w:kinsoku/>
        <w:wordWrap/>
        <w:overflowPunct/>
        <w:topLinePunct w:val="0"/>
        <w:autoSpaceDE/>
        <w:autoSpaceDN/>
        <w:bidi w:val="0"/>
        <w:adjustRightInd/>
        <w:snapToGrid/>
        <w:spacing w:line="570" w:lineRule="exact"/>
        <w:ind w:firstLineChars="20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苯并</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 xml:space="preserve">芘 </w:t>
      </w:r>
      <w:r>
        <w:rPr>
          <w:rFonts w:hint="default" w:ascii="方正仿宋_GBK" w:hAnsi="方正仿宋_GBK" w:eastAsia="方正仿宋_GBK" w:cs="方正仿宋_GBK"/>
          <w:sz w:val="32"/>
          <w:szCs w:val="32"/>
          <w:lang w:val="en-US" w:eastAsia="zh-CN"/>
        </w:rPr>
        <w:t>[benzoapyrene, B</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w:t>
      </w:r>
      <w:r>
        <w:rPr>
          <w:rFonts w:hint="default" w:ascii="方正仿宋_GBK" w:hAnsi="方正仿宋_GBK" w:eastAsia="方正仿宋_GBK" w:cs="方正仿宋_GBK"/>
          <w:sz w:val="32"/>
          <w:szCs w:val="32"/>
          <w:lang w:val="en-US" w:eastAsia="zh-CN"/>
        </w:rPr>
        <w:t>P]</w:t>
      </w:r>
      <w:r>
        <w:rPr>
          <w:rFonts w:hint="eastAsia" w:ascii="方正仿宋_GBK" w:hAnsi="方正仿宋_GBK" w:eastAsia="方正仿宋_GBK" w:cs="方正仿宋_GBK"/>
          <w:sz w:val="32"/>
          <w:szCs w:val="32"/>
          <w:lang w:val="en-US" w:eastAsia="zh-CN"/>
        </w:rPr>
        <w:t>是持久性有机污染物多环芳烃化合物的一种，化学性质较稳定。多环芳烃化合物最关键的毒性是致癌性，目前已发现</w:t>
      </w:r>
      <w:r>
        <w:rPr>
          <w:rFonts w:hint="default" w:ascii="方正仿宋_GBK" w:hAnsi="方正仿宋_GBK" w:eastAsia="方正仿宋_GBK" w:cs="方正仿宋_GBK"/>
          <w:sz w:val="32"/>
          <w:szCs w:val="32"/>
          <w:lang w:val="en-US" w:eastAsia="zh-CN"/>
        </w:rPr>
        <w:t>20</w:t>
      </w:r>
      <w:r>
        <w:rPr>
          <w:rFonts w:hint="eastAsia" w:ascii="方正仿宋_GBK" w:hAnsi="方正仿宋_GBK" w:eastAsia="方正仿宋_GBK" w:cs="方正仿宋_GBK"/>
          <w:sz w:val="32"/>
          <w:szCs w:val="32"/>
          <w:lang w:val="en-US" w:eastAsia="zh-CN"/>
        </w:rPr>
        <w:t>多种多环芳烃化合物具有致癌性，其中苯并</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芘致癌性最强也最为明确。苯并</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芘具有致畸、致癌和生殖毒性，可引起皮肤、肺、胃、乳腺、血液淋巴变化和肿瘤，可通过血</w:t>
      </w:r>
      <w:r>
        <w:rPr>
          <w:rFonts w:hint="default"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lang w:val="en-US" w:eastAsia="zh-CN"/>
        </w:rPr>
        <w:t>胎盘屏障。造成食品中苯并</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芘不合格的主要原因有：食品在烘烤或熏制时直接受到污染；食品成分高温烹调加工时发生热解或热聚反应所形成；食品加工时受机油和食品包装材料等污染；植物性食品吸收土壤、水和大气中的苯并</w:t>
      </w:r>
      <w:r>
        <w:rPr>
          <w:rFonts w:hint="default" w:ascii="方正仿宋_GBK" w:hAnsi="方正仿宋_GBK" w:eastAsia="方正仿宋_GBK" w:cs="方正仿宋_GBK"/>
          <w:sz w:val="32"/>
          <w:szCs w:val="32"/>
          <w:lang w:val="en-US" w:eastAsia="zh-CN"/>
        </w:rPr>
        <w:t>[a]</w:t>
      </w:r>
      <w:r>
        <w:rPr>
          <w:rFonts w:hint="eastAsia" w:ascii="方正仿宋_GBK" w:hAnsi="方正仿宋_GBK" w:eastAsia="方正仿宋_GBK" w:cs="方正仿宋_GBK"/>
          <w:sz w:val="32"/>
          <w:szCs w:val="32"/>
          <w:lang w:val="en-US" w:eastAsia="zh-CN"/>
        </w:rPr>
        <w:t>芘而被污染；在柏油路上晒粮食受到污染；企业在生产时没有严格挑拣原料和进行相关检测；生产经营企业采用的工艺控制不当。</w:t>
      </w:r>
    </w:p>
    <w:p w14:paraId="45858A97">
      <w:pPr>
        <w:keepNext w:val="0"/>
        <w:keepLines w:val="0"/>
        <w:pageBreakBefore w:val="0"/>
        <w:widowControl/>
        <w:suppressLineNumbers w:val="0"/>
        <w:kinsoku/>
        <w:wordWrap/>
        <w:overflowPunct/>
        <w:topLinePunct w:val="0"/>
        <w:autoSpaceDE/>
        <w:autoSpaceDN/>
        <w:bidi w:val="0"/>
        <w:adjustRightInd/>
        <w:snapToGrid/>
        <w:spacing w:line="570" w:lineRule="exact"/>
        <w:ind w:firstLine="620" w:firstLineChars="200"/>
        <w:jc w:val="left"/>
        <w:textAlignment w:val="auto"/>
        <w:rPr>
          <w:rFonts w:hint="default" w:ascii="方正黑体_GBK" w:hAnsi="方正黑体_GBK" w:eastAsia="方正黑体_GBK" w:cs="方正黑体_GBK"/>
          <w:color w:val="000000"/>
          <w:kern w:val="0"/>
          <w:sz w:val="31"/>
          <w:szCs w:val="31"/>
          <w:lang w:val="en-US" w:eastAsia="zh-CN" w:bidi="ar"/>
        </w:rPr>
      </w:pPr>
    </w:p>
    <w:sectPr>
      <w:footerReference r:id="rId3" w:type="default"/>
      <w:pgSz w:w="11906" w:h="16838"/>
      <w:pgMar w:top="1984"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embedRegular r:id="rId1" w:fontKey="{5B1D1EAD-998A-4527-A191-D2E585B04854}"/>
  </w:font>
  <w:font w:name="方正小标宋_GBK">
    <w:panose1 w:val="02000000000000000000"/>
    <w:charset w:val="86"/>
    <w:family w:val="auto"/>
    <w:pitch w:val="default"/>
    <w:sig w:usb0="A00002BF" w:usb1="38CF7CFA" w:usb2="00082016" w:usb3="00000000" w:csb0="00040001" w:csb1="00000000"/>
    <w:embedRegular r:id="rId2" w:fontKey="{DB524134-CA3A-40D7-AF45-C61AB7A809BE}"/>
  </w:font>
  <w:font w:name="方正黑体_GBK">
    <w:panose1 w:val="02010600010101010101"/>
    <w:charset w:val="86"/>
    <w:family w:val="auto"/>
    <w:pitch w:val="default"/>
    <w:sig w:usb0="00000001" w:usb1="080E0000" w:usb2="00000000" w:usb3="00000000" w:csb0="00040000" w:csb1="00000000"/>
    <w:embedRegular r:id="rId3" w:fontKey="{8B6F8994-0A89-4E14-8A04-451D093F6AB3}"/>
  </w:font>
  <w:font w:name="方正黑体简体">
    <w:altName w:val="微软雅黑"/>
    <w:panose1 w:val="00000000000000000000"/>
    <w:charset w:val="00"/>
    <w:family w:val="auto"/>
    <w:pitch w:val="default"/>
    <w:sig w:usb0="00000000" w:usb1="00000000" w:usb2="00000000" w:usb3="00000000" w:csb0="00000000" w:csb1="00000000"/>
    <w:embedRegular r:id="rId4" w:fontKey="{BAFA0789-229C-4358-8F6E-F6E836C3336E}"/>
  </w:font>
  <w:font w:name="微软雅黑">
    <w:panose1 w:val="020B0503020204020204"/>
    <w:charset w:val="86"/>
    <w:family w:val="auto"/>
    <w:pitch w:val="default"/>
    <w:sig w:usb0="80000287" w:usb1="2ACF3C50" w:usb2="00000016" w:usb3="00000000" w:csb0="0004001F" w:csb1="00000000"/>
  </w:font>
  <w:font w:name="KSOFD7C1B938">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1087551"/>
    </w:sdtPr>
    <w:sdtContent>
      <w:p w14:paraId="61EDD64D">
        <w:pPr>
          <w:pStyle w:val="2"/>
          <w:jc w:val="center"/>
        </w:pPr>
        <w:r>
          <w:fldChar w:fldCharType="begin"/>
        </w:r>
        <w:r>
          <w:instrText xml:space="preserve">PAGE   \* MERGEFORMAT</w:instrText>
        </w:r>
        <w:r>
          <w:fldChar w:fldCharType="separate"/>
        </w:r>
        <w:r>
          <w:rPr>
            <w:lang w:val="zh-CN"/>
          </w:rPr>
          <w:t>1</w:t>
        </w:r>
        <w:r>
          <w:fldChar w:fldCharType="end"/>
        </w:r>
      </w:p>
    </w:sdtContent>
  </w:sdt>
  <w:p w14:paraId="1FDEF6D4">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0256C"/>
    <w:rsid w:val="5CD96260"/>
    <w:rsid w:val="5FE0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2026-09-30T08:54:00Z</dcterms:created>
  <dc:creator>WPS_1593580216</dc:creator>
  <cp:lastModifiedBy>WPS_1593580216</cp:lastModifiedBy>
  <dcterms:modified xsi:type="dcterms:W3CDTF">2026-09-30T09:27:26Z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60DFC97C48994819803D79BDAAFB243B_11</vt:lpwstr>
  </property>
  <property fmtid="{D5CDD505-2E9C-101B-9397-08002B2CF9AE}" pid="4" name="KSOTemplateDocerSaveRecord">
    <vt:lpwstr>eyJoZGlkIjoiYjBlNDBlN2E2NGQyNzBmNTZlNjhmMWQ0MTQ1MDg0NjQiLCJ1c2VySWQiOiIxMDI2NDg4NTkxIn0=</vt:lpwstr>
  </property>
</Properties>
</file>