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600A5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241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关于《新疆昌烨木业有限公司年产200万张建筑模板项目环境影响报告表》的批复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新疆昌烨木业有限公司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新疆昌烨木业有限公司年产200万张建筑模板项目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0F717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14" w:firstLine="48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建，位于莎车县火车西站工业园区友谊路6号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心地理坐标：东经77°02'54.258"，北纬38°22'54.677"。项目区东侧为园区道路、西侧为波斯坦路、南侧为西拉力家具厂、北侧为塑料制品厂。项目租赁莎车县火车西站工业园区现有厂房，占地面积80773.73平方米，总建筑面积约8443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排板车间（设置排板生产线22条），热压车间（设置热压生产线16条），旋切车间（设置旋切生产线8条），锯边车间（设置锯边生产线2条），原料库房（172.89平方米），原木堆场（1000平方米），成品堆场（1000平方米），办公楼，锅炉房（设置2台生物质锅炉（1台4吨/小时，1台8吨/小时），危险废物暂存间（10平方米）等其他附属设施配套。项目建成后年产200万张建筑模板。主要原辅材料：原木（杨木）、脲醛树脂胶、面粉、生物质颗粒等。生产工艺流程：原木旋切—晾晒—涂胶—排板冷压—热压—锯边—入库。项目不涉及自然保护区、饮用水水源保护区等敏感区域。项目总投资500万元，环保投资43万元，占总投资的8.6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荣祥环保科技咨询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新疆昌烨木业有限公司年产200万张建筑模板项目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52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本项目为利用已建成厂房进行建设，施工期污染主要为基础设备安装。生活垃圾集中收集后由环卫部门统一清运，合理安排施工时间，禁止夜间施工，执行《《建筑施工噪声排放标准》（GB12523—2025）表1排放限值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6AF4BCB0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原木旋切、锯边工序产生的粉尘经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集气罩收集+布袋除尘器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处理后，通过15米高排气筒排放。颗粒物排放执行《大气污染物综合排放标准》（GB16297—1996）表2新污染源大气污染物排放限值要求；生物质锅炉燃烧废气经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集气罩+低氮燃烧+袋式除尘+双碱法脱硫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处理后，通过15米高排气筒排放。废气排放浓度满足《锅炉大气污染物排放标准》（GB13271—2014）表2新建锅炉大气污染物排放浓度限值（燃气锅炉）；热压车间采取密闭，涂胶、冷压、热压工序产生的有机废气经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集气罩收集+三级活性炭吸附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处理后，通过15米高排气筒排放，活性炭定期更换，保证吸附效率并建立台账。非甲烷总烃排放执行《大气污染物综合排放标准》（GB16297—1996）表2新污染源大气污染物排放限值。厂区内非甲烷总烃无组织排放浓度执行《挥发性有机物无组织排放控制标准》（GB37822—2019）无组织排放限值标准。厂界颗粒物、非甲烷总烃浓度符合《大气污染物综合排放标准》（GB16297－1996）表2无组织排放限值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787E0BF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14" w:firstLine="480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宋体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锅炉废水和软水制备废水排入园区污水管网；生活污水经园区化粪池预处理后排入排水管网，最终进入莎车县火车西站污水处理厂处理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选用低噪声设备、减震垫、距离衰减、隔声等处理措施，厂界噪声满足《工业企业厂界环境噪声排放标准》（GB12348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2008）表1中2类标准要求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70BC43FE">
      <w:pPr>
        <w:keepNext w:val="0"/>
        <w:keepLines w:val="0"/>
        <w:pageBreakBefore w:val="0"/>
        <w:widowControl w:val="0"/>
        <w:tabs>
          <w:tab w:val="left" w:pos="226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生活垃圾集中收集后由环卫部门定期清运处置；废包装袋、边角料、收集粉尘、锅炉灰渣、脱硫石膏及废弃除尘布袋集中收集暂存在一般工业固废暂存点，定期外售；废胶桶集中收集，厂家回收；废润滑油、废活性炭集中收集后暂存于危废暂存间，定期交由有资质的单位进行处置。危险废物的收集、贮存、运输须符合《危险废物贮存污染控制标准》（GB18597—2023）、《危险废物收集贮存运输技术规范》（HJ2025—2012）和《危险废物转移管理办法》等要求。一般固废按照《一般工业固体废物贮存和填埋污染控制标准》（GB18599—2020）要求处置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zh-CN" w:eastAsia="zh-CN"/>
        </w:rPr>
        <w:t>。</w:t>
      </w:r>
    </w:p>
    <w:p w14:paraId="0E4E8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="0" w:line="520" w:lineRule="exact"/>
        <w:ind w:left="0"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楷体_GBK" w:cs="Times New Roman"/>
          <w:color w:val="auto"/>
          <w:spacing w:val="0"/>
          <w:sz w:val="32"/>
          <w:szCs w:val="32"/>
          <w:lang w:val="en-US" w:eastAsia="zh-CN" w:bidi="ar-SA"/>
        </w:rPr>
        <w:t>6.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zh-TW" w:eastAsia="zh-CN"/>
        </w:rPr>
        <w:t>尽快申报办理相关排污许可证手续</w:t>
      </w:r>
      <w:r>
        <w:rPr>
          <w:rFonts w:hint="default" w:ascii="Times New Roman" w:hAnsi="Times New Roman" w:eastAsia="方正楷体_GBK" w:cs="Times New Roman"/>
          <w:color w:val="auto"/>
          <w:spacing w:val="0"/>
          <w:sz w:val="32"/>
          <w:szCs w:val="32"/>
          <w:lang w:val="zh-TW" w:eastAsia="zh-CN" w:bidi="ar-SA"/>
        </w:rPr>
        <w:t>。</w:t>
      </w:r>
      <w:r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  <w:lang w:val="zh-TW" w:eastAsia="zh-CN" w:bidi="ar-SA"/>
        </w:rPr>
        <w:t>排污许可证申请及核发严格按照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按《排污许可管理条例》《排污许可管理办法》执行</w:t>
      </w:r>
      <w:r>
        <w:rPr>
          <w:rFonts w:hint="default" w:ascii="Times New Roman" w:hAnsi="Times New Roman" w:eastAsia="方正仿宋_GBK" w:cs="Times New Roman"/>
          <w:color w:val="auto"/>
          <w:spacing w:val="0"/>
          <w:sz w:val="32"/>
          <w:szCs w:val="32"/>
          <w:lang w:val="zh-TW" w:eastAsia="zh-CN" w:bidi="ar-SA"/>
        </w:rPr>
        <w:t>。</w:t>
      </w:r>
    </w:p>
    <w:p w14:paraId="74A9D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本项目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污染物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总量控制指标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挥发性有机物1.468吨/年，氮氧化物1.428吨/年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该项目实施过程中要认真落实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三同时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制度和《报告表》中提出的各项环保措施，严格落实生态环境保护主体责任，建立内部生态环境管理体系，明确机构、人员职责和制度，加强生态环境管理，推动各项生态环境保护措施落实。本项目施工期和运营期的环境监管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莎车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抽查。项目建成后，须按规定开展竣工环境保护验收，验收合格后，方可正式投入运行。如项目的性质、规模、地点、工艺、防治污染、防止生态破坏的措施发生重大变动，须重新向我局报批环评文件。</w:t>
      </w:r>
    </w:p>
    <w:p w14:paraId="70C1F893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7E38904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6EFE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30B6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55A9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3299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D312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8797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3C3F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7FC8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莎车县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  <w:t>新疆荣祥环保科技咨询有限公司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10"/>
      <w:rPr>
        <w:rStyle w:val="14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10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10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10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B993A3F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6D1D16"/>
    <w:multiLevelType w:val="singleLevel"/>
    <w:tmpl w:val="CD6D1D16"/>
    <w:lvl w:ilvl="0" w:tentative="0">
      <w:start w:val="1"/>
      <w:numFmt w:val="decimal"/>
      <w:pStyle w:val="9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289048A"/>
    <w:rsid w:val="04042E5A"/>
    <w:rsid w:val="05B747B5"/>
    <w:rsid w:val="05E93370"/>
    <w:rsid w:val="0838515E"/>
    <w:rsid w:val="0ACC52C6"/>
    <w:rsid w:val="12516553"/>
    <w:rsid w:val="13581E70"/>
    <w:rsid w:val="152D6842"/>
    <w:rsid w:val="188E3A9B"/>
    <w:rsid w:val="1E9735E9"/>
    <w:rsid w:val="21486EDD"/>
    <w:rsid w:val="215D4FFD"/>
    <w:rsid w:val="23F06DCA"/>
    <w:rsid w:val="259B2C8F"/>
    <w:rsid w:val="29DA6AE4"/>
    <w:rsid w:val="2D123224"/>
    <w:rsid w:val="328778D5"/>
    <w:rsid w:val="33E30286"/>
    <w:rsid w:val="372863DD"/>
    <w:rsid w:val="3A7E5FB7"/>
    <w:rsid w:val="3FA6665D"/>
    <w:rsid w:val="4B442C6D"/>
    <w:rsid w:val="4E7A4F8A"/>
    <w:rsid w:val="4F165675"/>
    <w:rsid w:val="50775BB9"/>
    <w:rsid w:val="54CB0CB0"/>
    <w:rsid w:val="54DF64FB"/>
    <w:rsid w:val="576F1DC6"/>
    <w:rsid w:val="5D944393"/>
    <w:rsid w:val="60456DB3"/>
    <w:rsid w:val="674D2915"/>
    <w:rsid w:val="6C2A3421"/>
    <w:rsid w:val="6E78348E"/>
    <w:rsid w:val="7F8A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Plain Text"/>
    <w:basedOn w:val="1"/>
    <w:next w:val="9"/>
    <w:qFormat/>
    <w:uiPriority w:val="99"/>
    <w:rPr>
      <w:rFonts w:ascii="宋体" w:hAnsi="Courier New" w:eastAsia="仿宋_GB2312"/>
      <w:sz w:val="28"/>
    </w:rPr>
  </w:style>
  <w:style w:type="paragraph" w:styleId="9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6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2026</Words>
  <Characters>2219</Characters>
  <Lines>0</Lines>
  <Paragraphs>0</Paragraphs>
  <TotalTime>206</TotalTime>
  <ScaleCrop>false</ScaleCrop>
  <LinksUpToDate>false</LinksUpToDate>
  <CharactersWithSpaces>2277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2026-07-13T09:43:00Z</cp:lastPrinted>
  <dcterms:modified xsi:type="dcterms:W3CDTF">2026-07-29T03:40:50Z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