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ED1E4B">
      <w:pPr>
        <w:pStyle w:val="29"/>
        <w:ind w:firstLine="3313" w:firstLineChars="1100"/>
        <w:jc w:val="both"/>
        <w:outlineLvl w:val="0"/>
        <w:rPr>
          <w:rFonts w:hint="default" w:ascii="Times New Roman" w:hAnsi="Times New Roman" w:eastAsia="宋体" w:cs="Times New Roman"/>
          <w:b/>
          <w:bCs/>
          <w:snapToGrid w:val="0"/>
          <w:color w:val="auto"/>
          <w:sz w:val="30"/>
          <w:szCs w:val="30"/>
        </w:rPr>
      </w:pPr>
      <w:r>
        <w:rPr>
          <w:rFonts w:hint="default" w:ascii="Times New Roman" w:hAnsi="Times New Roman" w:eastAsia="宋体" w:cs="Times New Roman"/>
          <w:b/>
          <w:bCs/>
          <w:snapToGrid w:val="0"/>
          <w:color w:val="auto"/>
          <w:sz w:val="30"/>
          <w:szCs w:val="30"/>
        </w:rPr>
        <w:t>一、建设项目基本情况</w:t>
      </w:r>
    </w:p>
    <w:tbl>
      <w:tblPr>
        <w:tblStyle w:val="34"/>
        <w:tblW w:w="903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462"/>
        <w:gridCol w:w="2807"/>
        <w:gridCol w:w="1927"/>
        <w:gridCol w:w="2843"/>
      </w:tblGrid>
      <w:tr w14:paraId="755A10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2AB1EC71">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建设项目名称</w:t>
            </w:r>
          </w:p>
        </w:tc>
        <w:tc>
          <w:tcPr>
            <w:tcW w:w="7577" w:type="dxa"/>
            <w:gridSpan w:val="3"/>
            <w:vAlign w:val="center"/>
          </w:tcPr>
          <w:p w14:paraId="6D04CFE6">
            <w:pPr>
              <w:adjustRightInd w:val="0"/>
              <w:snapToGrid w:val="0"/>
              <w:jc w:val="cente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叶尔羌河莎车县阿扎特巴格镇防洪工程（二期）</w:t>
            </w:r>
          </w:p>
        </w:tc>
      </w:tr>
      <w:tr w14:paraId="44789E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183D7473">
            <w:pPr>
              <w:adjustRightInd w:val="0"/>
              <w:snapToGrid w:val="0"/>
              <w:jc w:val="cente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项目代码</w:t>
            </w:r>
          </w:p>
        </w:tc>
        <w:tc>
          <w:tcPr>
            <w:tcW w:w="7577" w:type="dxa"/>
            <w:gridSpan w:val="3"/>
            <w:vAlign w:val="center"/>
          </w:tcPr>
          <w:p w14:paraId="6FB6C82C">
            <w:pPr>
              <w:adjustRightInd w:val="0"/>
              <w:snapToGrid w:val="0"/>
              <w:jc w:val="cente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2506-653125-04-01-298266</w:t>
            </w:r>
          </w:p>
        </w:tc>
      </w:tr>
      <w:tr w14:paraId="5B2ED5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56E82138">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建设单位联系人</w:t>
            </w:r>
          </w:p>
        </w:tc>
        <w:tc>
          <w:tcPr>
            <w:tcW w:w="2807" w:type="dxa"/>
            <w:vAlign w:val="center"/>
          </w:tcPr>
          <w:p w14:paraId="0891154B">
            <w:pPr>
              <w:adjustRightInd w:val="0"/>
              <w:snapToGrid w:val="0"/>
              <w:jc w:val="center"/>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bCs/>
                <w:color w:val="000000" w:themeColor="text1"/>
                <w:sz w:val="24"/>
                <w:lang w:val="en-US" w:eastAsia="zh-CN"/>
                <w14:textFill>
                  <w14:solidFill>
                    <w14:schemeClr w14:val="tx1"/>
                  </w14:solidFill>
                </w14:textFill>
              </w:rPr>
              <w:t>阿米尔</w:t>
            </w:r>
          </w:p>
        </w:tc>
        <w:tc>
          <w:tcPr>
            <w:tcW w:w="1927" w:type="dxa"/>
            <w:vAlign w:val="center"/>
          </w:tcPr>
          <w:p w14:paraId="65579D3E">
            <w:pPr>
              <w:adjustRightInd w:val="0"/>
              <w:snapToGrid w:val="0"/>
              <w:jc w:val="center"/>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联系方式</w:t>
            </w:r>
          </w:p>
        </w:tc>
        <w:tc>
          <w:tcPr>
            <w:tcW w:w="2843" w:type="dxa"/>
            <w:vAlign w:val="center"/>
          </w:tcPr>
          <w:p w14:paraId="04DEC4FF">
            <w:pPr>
              <w:adjustRightInd w:val="0"/>
              <w:snapToGrid w:val="0"/>
              <w:jc w:val="center"/>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bCs/>
                <w:color w:val="000000" w:themeColor="text1"/>
                <w:sz w:val="24"/>
                <w:lang w:val="en-US" w:eastAsia="zh-CN"/>
                <w14:textFill>
                  <w14:solidFill>
                    <w14:schemeClr w14:val="tx1"/>
                  </w14:solidFill>
                </w14:textFill>
              </w:rPr>
              <w:t>18094970616</w:t>
            </w:r>
          </w:p>
        </w:tc>
      </w:tr>
      <w:tr w14:paraId="5817B5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78E00C2C">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建设地点</w:t>
            </w:r>
          </w:p>
        </w:tc>
        <w:tc>
          <w:tcPr>
            <w:tcW w:w="7577" w:type="dxa"/>
            <w:gridSpan w:val="3"/>
            <w:vAlign w:val="center"/>
          </w:tcPr>
          <w:p w14:paraId="24346ABF">
            <w:pPr>
              <w:adjustRightInd w:val="0"/>
              <w:snapToGrid w:val="0"/>
              <w:jc w:val="center"/>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新疆维吾尔自治区喀什地区</w:t>
            </w:r>
            <w:r>
              <w:rPr>
                <w:rFonts w:hint="default" w:ascii="Times New Roman" w:hAnsi="Times New Roman" w:eastAsia="宋体" w:cs="Times New Roman"/>
                <w:color w:val="000000" w:themeColor="text1"/>
                <w:sz w:val="24"/>
                <w:lang w:val="en-US" w:eastAsia="zh-CN"/>
                <w14:textFill>
                  <w14:solidFill>
                    <w14:schemeClr w14:val="tx1"/>
                  </w14:solidFill>
                </w14:textFill>
              </w:rPr>
              <w:t>莎车县阿扎特巴格镇/麦盖提县尕孜库勒乡（叶尔羌河右岸）</w:t>
            </w:r>
          </w:p>
        </w:tc>
      </w:tr>
      <w:tr w14:paraId="1F7C10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20F6BF4E">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地理坐标</w:t>
            </w:r>
          </w:p>
        </w:tc>
        <w:tc>
          <w:tcPr>
            <w:tcW w:w="7577" w:type="dxa"/>
            <w:gridSpan w:val="3"/>
            <w:vAlign w:val="center"/>
          </w:tcPr>
          <w:p w14:paraId="78B7FC4D">
            <w:pPr>
              <w:adjustRightInd w:val="0"/>
              <w:snapToGrid w:val="0"/>
              <w:jc w:val="center"/>
              <w:rPr>
                <w:rFonts w:hint="default" w:ascii="Times New Roman" w:hAnsi="Times New Roman" w:eastAsia="宋体" w:cs="Times New Roman"/>
                <w:color w:val="000000" w:themeColor="text1"/>
                <w:lang w:val="en-US" w:eastAsia="zh-CN"/>
                <w14:textFill>
                  <w14:solidFill>
                    <w14:schemeClr w14:val="tx1"/>
                  </w14:solidFill>
                </w14:textFill>
              </w:rPr>
            </w:pPr>
          </w:p>
          <w:p w14:paraId="6F87EC17">
            <w:pPr>
              <w:adjustRightInd w:val="0"/>
              <w:snapToGrid w:val="0"/>
              <w:jc w:val="center"/>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上段起点（K131+231）：东经77°26′45.12</w:t>
            </w:r>
            <w:r>
              <w:rPr>
                <w:rFonts w:hint="default" w:ascii="Times New Roman" w:hAnsi="Times New Roman" w:eastAsia="宋体" w:cs="Times New Roman"/>
                <w:color w:val="000000" w:themeColor="text1"/>
                <w:sz w:val="24"/>
                <w:lang w:val="en-US" w:eastAsia="zh-CN"/>
                <w14:textFill>
                  <w14:solidFill>
                    <w14:schemeClr w14:val="tx1"/>
                  </w14:solidFill>
                </w14:textFill>
              </w:rPr>
              <w:t>1</w:t>
            </w:r>
            <w:r>
              <w:rPr>
                <w:rFonts w:hint="default" w:ascii="Times New Roman" w:hAnsi="Times New Roman" w:eastAsia="宋体" w:cs="Times New Roman"/>
                <w:color w:val="000000" w:themeColor="text1"/>
                <w:sz w:val="24"/>
                <w:lang w:eastAsia="zh-CN"/>
                <w14:textFill>
                  <w14:solidFill>
                    <w14:schemeClr w14:val="tx1"/>
                  </w14:solidFill>
                </w14:textFill>
              </w:rPr>
              <w:t>″，北纬38°41′55.30</w:t>
            </w:r>
            <w:r>
              <w:rPr>
                <w:rFonts w:hint="default" w:ascii="Times New Roman" w:hAnsi="Times New Roman" w:eastAsia="宋体" w:cs="Times New Roman"/>
                <w:color w:val="000000" w:themeColor="text1"/>
                <w:sz w:val="24"/>
                <w:lang w:val="en-US" w:eastAsia="zh-CN"/>
                <w14:textFill>
                  <w14:solidFill>
                    <w14:schemeClr w14:val="tx1"/>
                  </w14:solidFill>
                </w14:textFill>
              </w:rPr>
              <w:t>3</w:t>
            </w: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lang w:eastAsia="zh-CN"/>
                <w14:textFill>
                  <w14:solidFill>
                    <w14:schemeClr w14:val="tx1"/>
                  </w14:solidFill>
                </w14:textFill>
              </w:rPr>
              <w:br w:type="textWrapping"/>
            </w:r>
            <w:r>
              <w:rPr>
                <w:rFonts w:hint="default" w:ascii="Times New Roman" w:hAnsi="Times New Roman" w:eastAsia="宋体" w:cs="Times New Roman"/>
                <w:color w:val="000000" w:themeColor="text1"/>
                <w:sz w:val="24"/>
                <w:lang w:eastAsia="zh-CN"/>
                <w14:textFill>
                  <w14:solidFill>
                    <w14:schemeClr w14:val="tx1"/>
                  </w14:solidFill>
                </w14:textFill>
              </w:rPr>
              <w:t>上段终点（K131+771）：东经77°27′4.54</w:t>
            </w:r>
            <w:r>
              <w:rPr>
                <w:rFonts w:hint="default" w:ascii="Times New Roman" w:hAnsi="Times New Roman" w:eastAsia="宋体" w:cs="Times New Roman"/>
                <w:color w:val="000000" w:themeColor="text1"/>
                <w:sz w:val="24"/>
                <w:lang w:val="en-US" w:eastAsia="zh-CN"/>
                <w14:textFill>
                  <w14:solidFill>
                    <w14:schemeClr w14:val="tx1"/>
                  </w14:solidFill>
                </w14:textFill>
              </w:rPr>
              <w:t>2</w:t>
            </w:r>
            <w:r>
              <w:rPr>
                <w:rFonts w:hint="default" w:ascii="Times New Roman" w:hAnsi="Times New Roman" w:eastAsia="宋体" w:cs="Times New Roman"/>
                <w:color w:val="000000" w:themeColor="text1"/>
                <w:sz w:val="24"/>
                <w:lang w:eastAsia="zh-CN"/>
                <w14:textFill>
                  <w14:solidFill>
                    <w14:schemeClr w14:val="tx1"/>
                  </w14:solidFill>
                </w14:textFill>
              </w:rPr>
              <w:t>″，北纬38°42′3.78</w:t>
            </w:r>
            <w:r>
              <w:rPr>
                <w:rFonts w:hint="default" w:ascii="Times New Roman" w:hAnsi="Times New Roman" w:eastAsia="宋体" w:cs="Times New Roman"/>
                <w:color w:val="000000" w:themeColor="text1"/>
                <w:sz w:val="24"/>
                <w:lang w:val="en-US" w:eastAsia="zh-CN"/>
                <w14:textFill>
                  <w14:solidFill>
                    <w14:schemeClr w14:val="tx1"/>
                  </w14:solidFill>
                </w14:textFill>
              </w:rPr>
              <w:t>2</w:t>
            </w: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lang w:eastAsia="zh-CN"/>
                <w14:textFill>
                  <w14:solidFill>
                    <w14:schemeClr w14:val="tx1"/>
                  </w14:solidFill>
                </w14:textFill>
              </w:rPr>
              <w:br w:type="textWrapping"/>
            </w:r>
            <w:r>
              <w:rPr>
                <w:rFonts w:hint="default" w:ascii="Times New Roman" w:hAnsi="Times New Roman" w:eastAsia="宋体" w:cs="Times New Roman"/>
                <w:color w:val="000000" w:themeColor="text1"/>
                <w:sz w:val="24"/>
                <w:lang w:eastAsia="zh-CN"/>
                <w14:textFill>
                  <w14:solidFill>
                    <w14:schemeClr w14:val="tx1"/>
                  </w14:solidFill>
                </w14:textFill>
              </w:rPr>
              <w:t>下段起点（K137+680）：东经77°28′44.46</w:t>
            </w:r>
            <w:r>
              <w:rPr>
                <w:rFonts w:hint="default" w:ascii="Times New Roman" w:hAnsi="Times New Roman" w:eastAsia="宋体" w:cs="Times New Roman"/>
                <w:color w:val="000000" w:themeColor="text1"/>
                <w:sz w:val="24"/>
                <w:lang w:val="en-US" w:eastAsia="zh-CN"/>
                <w14:textFill>
                  <w14:solidFill>
                    <w14:schemeClr w14:val="tx1"/>
                  </w14:solidFill>
                </w14:textFill>
              </w:rPr>
              <w:t>4</w:t>
            </w:r>
            <w:r>
              <w:rPr>
                <w:rFonts w:hint="default" w:ascii="Times New Roman" w:hAnsi="Times New Roman" w:eastAsia="宋体" w:cs="Times New Roman"/>
                <w:color w:val="000000" w:themeColor="text1"/>
                <w:sz w:val="24"/>
                <w:lang w:eastAsia="zh-CN"/>
                <w14:textFill>
                  <w14:solidFill>
                    <w14:schemeClr w14:val="tx1"/>
                  </w14:solidFill>
                </w14:textFill>
              </w:rPr>
              <w:t>″，北纬38°44′27.10</w:t>
            </w:r>
            <w:r>
              <w:rPr>
                <w:rFonts w:hint="default" w:ascii="Times New Roman" w:hAnsi="Times New Roman" w:eastAsia="宋体" w:cs="Times New Roman"/>
                <w:color w:val="000000" w:themeColor="text1"/>
                <w:sz w:val="24"/>
                <w:lang w:val="en-US" w:eastAsia="zh-CN"/>
                <w14:textFill>
                  <w14:solidFill>
                    <w14:schemeClr w14:val="tx1"/>
                  </w14:solidFill>
                </w14:textFill>
              </w:rPr>
              <w:t>1</w:t>
            </w: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lang w:eastAsia="zh-CN"/>
                <w14:textFill>
                  <w14:solidFill>
                    <w14:schemeClr w14:val="tx1"/>
                  </w14:solidFill>
                </w14:textFill>
              </w:rPr>
              <w:br w:type="textWrapping"/>
            </w:r>
            <w:r>
              <w:rPr>
                <w:rFonts w:hint="default" w:ascii="Times New Roman" w:hAnsi="Times New Roman" w:eastAsia="宋体" w:cs="Times New Roman"/>
                <w:color w:val="000000" w:themeColor="text1"/>
                <w:sz w:val="24"/>
                <w:lang w:eastAsia="zh-CN"/>
                <w14:textFill>
                  <w14:solidFill>
                    <w14:schemeClr w14:val="tx1"/>
                  </w14:solidFill>
                </w14:textFill>
              </w:rPr>
              <w:t>下段终点（K143+360）：东经77°30′42.33</w:t>
            </w:r>
            <w:r>
              <w:rPr>
                <w:rFonts w:hint="default" w:ascii="Times New Roman" w:hAnsi="Times New Roman" w:eastAsia="宋体" w:cs="Times New Roman"/>
                <w:color w:val="000000" w:themeColor="text1"/>
                <w:sz w:val="24"/>
                <w:lang w:val="en-US" w:eastAsia="zh-CN"/>
                <w14:textFill>
                  <w14:solidFill>
                    <w14:schemeClr w14:val="tx1"/>
                  </w14:solidFill>
                </w14:textFill>
              </w:rPr>
              <w:t>2</w:t>
            </w:r>
            <w:r>
              <w:rPr>
                <w:rFonts w:hint="default" w:ascii="Times New Roman" w:hAnsi="Times New Roman" w:eastAsia="宋体" w:cs="Times New Roman"/>
                <w:color w:val="000000" w:themeColor="text1"/>
                <w:sz w:val="24"/>
                <w:lang w:eastAsia="zh-CN"/>
                <w14:textFill>
                  <w14:solidFill>
                    <w14:schemeClr w14:val="tx1"/>
                  </w14:solidFill>
                </w14:textFill>
              </w:rPr>
              <w:t>″，北纬38°42′39.18</w:t>
            </w:r>
            <w:r>
              <w:rPr>
                <w:rFonts w:hint="default" w:ascii="Times New Roman" w:hAnsi="Times New Roman" w:eastAsia="宋体" w:cs="Times New Roman"/>
                <w:color w:val="000000" w:themeColor="text1"/>
                <w:sz w:val="24"/>
                <w:lang w:val="en-US" w:eastAsia="zh-CN"/>
                <w14:textFill>
                  <w14:solidFill>
                    <w14:schemeClr w14:val="tx1"/>
                  </w14:solidFill>
                </w14:textFill>
              </w:rPr>
              <w:t>2</w:t>
            </w:r>
            <w:r>
              <w:rPr>
                <w:rFonts w:hint="default" w:ascii="Times New Roman" w:hAnsi="Times New Roman" w:eastAsia="宋体" w:cs="Times New Roman"/>
                <w:color w:val="000000" w:themeColor="text1"/>
                <w:sz w:val="24"/>
                <w:lang w:eastAsia="zh-CN"/>
                <w14:textFill>
                  <w14:solidFill>
                    <w14:schemeClr w14:val="tx1"/>
                  </w14:solidFill>
                </w14:textFill>
              </w:rPr>
              <w:t>″</w:t>
            </w:r>
          </w:p>
          <w:p w14:paraId="32AC4AA6">
            <w:pPr>
              <w:pStyle w:val="33"/>
              <w:ind w:left="0" w:leftChars="0" w:firstLine="0" w:firstLineChars="0"/>
              <w:rPr>
                <w:rFonts w:hint="default" w:ascii="Times New Roman" w:hAnsi="Times New Roman" w:eastAsia="宋体" w:cs="Times New Roman"/>
                <w:color w:val="000000" w:themeColor="text1"/>
                <w:lang w:val="en-US" w:eastAsia="zh-CN"/>
                <w14:textFill>
                  <w14:solidFill>
                    <w14:schemeClr w14:val="tx1"/>
                  </w14:solidFill>
                </w14:textFill>
              </w:rPr>
            </w:pPr>
          </w:p>
        </w:tc>
      </w:tr>
      <w:tr w14:paraId="675201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2ACDB758">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建设项目</w:t>
            </w:r>
          </w:p>
          <w:p w14:paraId="486D6F51">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行业类别</w:t>
            </w:r>
          </w:p>
        </w:tc>
        <w:tc>
          <w:tcPr>
            <w:tcW w:w="2807" w:type="dxa"/>
            <w:vAlign w:val="center"/>
          </w:tcPr>
          <w:p w14:paraId="08AAC63A">
            <w:pPr>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五十一、水利—127防洪除涝工程</w:t>
            </w:r>
          </w:p>
        </w:tc>
        <w:tc>
          <w:tcPr>
            <w:tcW w:w="1927" w:type="dxa"/>
            <w:vAlign w:val="center"/>
          </w:tcPr>
          <w:p w14:paraId="2EA0D858">
            <w:pPr>
              <w:adjustRightInd w:val="0"/>
              <w:snapToGrid w:val="0"/>
              <w:jc w:val="center"/>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用地（用海）面积（m</w:t>
            </w:r>
            <w:r>
              <w:rPr>
                <w:rFonts w:hint="default" w:ascii="Times New Roman" w:hAnsi="Times New Roman" w:eastAsia="宋体" w:cs="Times New Roman"/>
                <w:color w:val="000000" w:themeColor="text1"/>
                <w:sz w:val="24"/>
                <w:vertAlign w:val="superscript"/>
                <w:lang w:eastAsia="zh-CN"/>
                <w14:textFill>
                  <w14:solidFill>
                    <w14:schemeClr w14:val="tx1"/>
                  </w14:solidFill>
                </w14:textFill>
              </w:rPr>
              <w:t>2</w:t>
            </w:r>
            <w:r>
              <w:rPr>
                <w:rFonts w:hint="default" w:ascii="Times New Roman" w:hAnsi="Times New Roman" w:eastAsia="宋体" w:cs="Times New Roman"/>
                <w:color w:val="000000" w:themeColor="text1"/>
                <w:sz w:val="24"/>
                <w:lang w:eastAsia="zh-CN"/>
                <w14:textFill>
                  <w14:solidFill>
                    <w14:schemeClr w14:val="tx1"/>
                  </w14:solidFill>
                </w14:textFill>
              </w:rPr>
              <w:t>）/长度（km）</w:t>
            </w:r>
          </w:p>
        </w:tc>
        <w:tc>
          <w:tcPr>
            <w:tcW w:w="2843" w:type="dxa"/>
            <w:vAlign w:val="center"/>
          </w:tcPr>
          <w:p w14:paraId="02E25FD4">
            <w:pPr>
              <w:adjustRightInd w:val="0"/>
              <w:snapToGrid w:val="0"/>
              <w:jc w:val="center"/>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总占地面积41.481hm²，</w:t>
            </w:r>
            <w:r>
              <w:rPr>
                <w:rFonts w:hint="default" w:ascii="Times New Roman" w:hAnsi="Times New Roman" w:eastAsia="宋体" w:cs="Times New Roman"/>
                <w:color w:val="000000" w:themeColor="text1"/>
                <w:sz w:val="24"/>
                <w:lang w:val="en-US" w:eastAsia="zh-CN"/>
                <w14:textFill>
                  <w14:solidFill>
                    <w14:schemeClr w14:val="tx1"/>
                  </w14:solidFill>
                </w14:textFill>
              </w:rPr>
              <w:t>其中</w:t>
            </w:r>
            <w:r>
              <w:rPr>
                <w:rFonts w:hint="default" w:ascii="Times New Roman" w:hAnsi="Times New Roman" w:eastAsia="宋体" w:cs="Times New Roman"/>
                <w:color w:val="000000" w:themeColor="text1"/>
                <w:sz w:val="24"/>
                <w:lang w:eastAsia="zh-CN"/>
                <w14:textFill>
                  <w14:solidFill>
                    <w14:schemeClr w14:val="tx1"/>
                  </w14:solidFill>
                </w14:textFill>
              </w:rPr>
              <w:t>永久占地：19.02hm²，临时占地：22.461hm²</w:t>
            </w:r>
            <w:r>
              <w:rPr>
                <w:rFonts w:hint="default" w:ascii="Times New Roman" w:hAnsi="Times New Roman" w:eastAsia="宋体" w:cs="Times New Roman"/>
                <w:color w:val="000000" w:themeColor="text1"/>
                <w:sz w:val="24"/>
                <w:lang w:val="en-US" w:eastAsia="zh-CN"/>
                <w14:textFill>
                  <w14:solidFill>
                    <w14:schemeClr w14:val="tx1"/>
                  </w14:solidFill>
                </w14:textFill>
              </w:rPr>
              <w:t>/</w:t>
            </w:r>
            <w:r>
              <w:rPr>
                <w:rFonts w:hint="default" w:ascii="Times New Roman" w:hAnsi="Times New Roman" w:eastAsia="宋体" w:cs="Times New Roman"/>
                <w:color w:val="000000" w:themeColor="text1"/>
                <w:sz w:val="24"/>
                <w:lang w:eastAsia="zh-CN"/>
                <w14:textFill>
                  <w14:solidFill>
                    <w14:schemeClr w14:val="tx1"/>
                  </w14:solidFill>
                </w14:textFill>
              </w:rPr>
              <w:br w:type="textWrapping"/>
            </w:r>
            <w:r>
              <w:rPr>
                <w:rFonts w:hint="default" w:ascii="Times New Roman" w:hAnsi="Times New Roman" w:eastAsia="宋体" w:cs="Times New Roman"/>
                <w:color w:val="000000" w:themeColor="text1"/>
                <w:sz w:val="24"/>
                <w:lang w:eastAsia="zh-CN"/>
                <w14:textFill>
                  <w14:solidFill>
                    <w14:schemeClr w14:val="tx1"/>
                  </w14:solidFill>
                </w14:textFill>
              </w:rPr>
              <w:t>工程长度：6.22km</w:t>
            </w:r>
          </w:p>
        </w:tc>
      </w:tr>
      <w:tr w14:paraId="196CDB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4E0CD489">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建设性质</w:t>
            </w:r>
          </w:p>
        </w:tc>
        <w:tc>
          <w:tcPr>
            <w:tcW w:w="2807" w:type="dxa"/>
            <w:vAlign w:val="center"/>
          </w:tcPr>
          <w:p w14:paraId="63165A4B">
            <w:pPr>
              <w:adjustRightInd w:val="0"/>
              <w:snapToGrid w:val="0"/>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14:textFill>
                  <w14:solidFill>
                    <w14:schemeClr w14:val="tx1"/>
                  </w14:solidFill>
                </w14:textFill>
              </w:rPr>
              <w:t>新建（迁建）</w:t>
            </w:r>
          </w:p>
          <w:p w14:paraId="51044479">
            <w:pPr>
              <w:adjustRightInd w:val="0"/>
              <w:snapToGrid w:val="0"/>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14:textFill>
                  <w14:solidFill>
                    <w14:schemeClr w14:val="tx1"/>
                  </w14:solidFill>
                </w14:textFill>
              </w:rPr>
              <w:t>改建</w:t>
            </w:r>
          </w:p>
          <w:p w14:paraId="290BD0F8">
            <w:pPr>
              <w:adjustRightInd w:val="0"/>
              <w:snapToGrid w:val="0"/>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14:textFill>
                  <w14:solidFill>
                    <w14:schemeClr w14:val="tx1"/>
                  </w14:solidFill>
                </w14:textFill>
              </w:rPr>
              <w:t>扩建</w:t>
            </w:r>
          </w:p>
          <w:p w14:paraId="6264A1C0">
            <w:pPr>
              <w:adjustRightInd w:val="0"/>
              <w:snapToGrid w:val="0"/>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□技术改造</w:t>
            </w:r>
          </w:p>
        </w:tc>
        <w:tc>
          <w:tcPr>
            <w:tcW w:w="1927" w:type="dxa"/>
            <w:vAlign w:val="center"/>
          </w:tcPr>
          <w:p w14:paraId="3E86FF83">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bidi="ar"/>
                <w14:textFill>
                  <w14:solidFill>
                    <w14:schemeClr w14:val="tx1"/>
                  </w14:solidFill>
                </w14:textFill>
              </w:rPr>
              <w:t>建设项目</w:t>
            </w:r>
          </w:p>
          <w:p w14:paraId="0D6283B1">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bidi="ar"/>
                <w14:textFill>
                  <w14:solidFill>
                    <w14:schemeClr w14:val="tx1"/>
                  </w14:solidFill>
                </w14:textFill>
              </w:rPr>
              <w:t>申报情形</w:t>
            </w:r>
          </w:p>
        </w:tc>
        <w:tc>
          <w:tcPr>
            <w:tcW w:w="2843" w:type="dxa"/>
            <w:vAlign w:val="center"/>
          </w:tcPr>
          <w:p w14:paraId="13AA8098">
            <w:pPr>
              <w:adjustRightInd w:val="0"/>
              <w:snapToGrid w:val="0"/>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bidi="ar"/>
                <w14:textFill>
                  <w14:solidFill>
                    <w14:schemeClr w14:val="tx1"/>
                  </w14:solidFill>
                </w14:textFill>
              </w:rPr>
              <w:t>☑首次申报项目</w:t>
            </w:r>
          </w:p>
          <w:p w14:paraId="6E332223">
            <w:pPr>
              <w:adjustRightInd w:val="0"/>
              <w:snapToGrid w:val="0"/>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bidi="ar"/>
                <w14:textFill>
                  <w14:solidFill>
                    <w14:schemeClr w14:val="tx1"/>
                  </w14:solidFill>
                </w14:textFill>
              </w:rPr>
              <w:t>□不予批准后再次申报项目</w:t>
            </w:r>
          </w:p>
          <w:p w14:paraId="66328A42">
            <w:pPr>
              <w:adjustRightInd w:val="0"/>
              <w:snapToGrid w:val="0"/>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bidi="ar"/>
                <w14:textFill>
                  <w14:solidFill>
                    <w14:schemeClr w14:val="tx1"/>
                  </w14:solidFill>
                </w14:textFill>
              </w:rPr>
              <w:t>□超五年重新审核项目</w:t>
            </w:r>
          </w:p>
          <w:p w14:paraId="58A1F6EC">
            <w:pPr>
              <w:adjustRightInd w:val="0"/>
              <w:snapToGrid w:val="0"/>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bidi="ar"/>
                <w14:textFill>
                  <w14:solidFill>
                    <w14:schemeClr w14:val="tx1"/>
                  </w14:solidFill>
                </w14:textFill>
              </w:rPr>
              <w:t>□重大变动重新报批项目</w:t>
            </w:r>
          </w:p>
        </w:tc>
      </w:tr>
      <w:tr w14:paraId="09BFD3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65BBC0E1">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项目审批（核准/备案）部门（选填）</w:t>
            </w:r>
          </w:p>
        </w:tc>
        <w:tc>
          <w:tcPr>
            <w:tcW w:w="2807" w:type="dxa"/>
            <w:vAlign w:val="center"/>
          </w:tcPr>
          <w:p w14:paraId="3A5C99DE">
            <w:pPr>
              <w:adjustRightInd w:val="0"/>
              <w:snapToGrid w:val="0"/>
              <w:jc w:val="center"/>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莎车县发展和改革委员会</w:t>
            </w:r>
          </w:p>
        </w:tc>
        <w:tc>
          <w:tcPr>
            <w:tcW w:w="1927" w:type="dxa"/>
            <w:vAlign w:val="center"/>
          </w:tcPr>
          <w:p w14:paraId="6C4FC106">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项目审批（核准/</w:t>
            </w:r>
          </w:p>
          <w:p w14:paraId="4337CF58">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备案）文号（选填）</w:t>
            </w:r>
          </w:p>
        </w:tc>
        <w:tc>
          <w:tcPr>
            <w:tcW w:w="2843" w:type="dxa"/>
            <w:vAlign w:val="center"/>
          </w:tcPr>
          <w:p w14:paraId="47E32551">
            <w:pPr>
              <w:adjustRightInd w:val="0"/>
              <w:snapToGrid w:val="0"/>
              <w:jc w:val="center"/>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莎发改〔2025〕548号</w:t>
            </w:r>
          </w:p>
        </w:tc>
      </w:tr>
      <w:tr w14:paraId="0C7E82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43D987BB">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总投资（万元）</w:t>
            </w:r>
          </w:p>
        </w:tc>
        <w:tc>
          <w:tcPr>
            <w:tcW w:w="2807" w:type="dxa"/>
            <w:vAlign w:val="center"/>
          </w:tcPr>
          <w:p w14:paraId="70F8F58C">
            <w:pPr>
              <w:adjustRightInd w:val="0"/>
              <w:snapToGrid w:val="0"/>
              <w:jc w:val="center"/>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8811.97</w:t>
            </w:r>
          </w:p>
        </w:tc>
        <w:tc>
          <w:tcPr>
            <w:tcW w:w="1927" w:type="dxa"/>
            <w:tcMar>
              <w:top w:w="16" w:type="dxa"/>
              <w:left w:w="16" w:type="dxa"/>
              <w:right w:w="16" w:type="dxa"/>
            </w:tcMar>
            <w:vAlign w:val="center"/>
          </w:tcPr>
          <w:p w14:paraId="0DFE7F08">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环保投资（万元）</w:t>
            </w:r>
          </w:p>
        </w:tc>
        <w:tc>
          <w:tcPr>
            <w:tcW w:w="2843" w:type="dxa"/>
            <w:vAlign w:val="center"/>
          </w:tcPr>
          <w:p w14:paraId="4256E7AA">
            <w:pPr>
              <w:adjustRightInd w:val="0"/>
              <w:snapToGrid w:val="0"/>
              <w:jc w:val="center"/>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127.5</w:t>
            </w:r>
          </w:p>
        </w:tc>
      </w:tr>
      <w:tr w14:paraId="78AB44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462" w:type="dxa"/>
            <w:tcMar>
              <w:top w:w="16" w:type="dxa"/>
              <w:left w:w="16" w:type="dxa"/>
              <w:right w:w="16" w:type="dxa"/>
            </w:tcMar>
            <w:vAlign w:val="center"/>
          </w:tcPr>
          <w:p w14:paraId="61B3F125">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环保投资占比（%）</w:t>
            </w:r>
          </w:p>
        </w:tc>
        <w:tc>
          <w:tcPr>
            <w:tcW w:w="2807" w:type="dxa"/>
            <w:vAlign w:val="center"/>
          </w:tcPr>
          <w:p w14:paraId="29BA5309">
            <w:pPr>
              <w:adjustRightInd w:val="0"/>
              <w:snapToGrid w:val="0"/>
              <w:jc w:val="center"/>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1.45</w:t>
            </w:r>
          </w:p>
        </w:tc>
        <w:tc>
          <w:tcPr>
            <w:tcW w:w="1927" w:type="dxa"/>
            <w:tcMar>
              <w:top w:w="16" w:type="dxa"/>
              <w:left w:w="16" w:type="dxa"/>
              <w:right w:w="16" w:type="dxa"/>
            </w:tcMar>
            <w:vAlign w:val="center"/>
          </w:tcPr>
          <w:p w14:paraId="5715390F">
            <w:pPr>
              <w:adjustRightInd w:val="0"/>
              <w:snapToGrid w:val="0"/>
              <w:jc w:val="center"/>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施工工期</w:t>
            </w:r>
          </w:p>
        </w:tc>
        <w:tc>
          <w:tcPr>
            <w:tcW w:w="2843" w:type="dxa"/>
            <w:vAlign w:val="center"/>
          </w:tcPr>
          <w:p w14:paraId="5A2DD1CE">
            <w:pPr>
              <w:adjustRightInd w:val="0"/>
              <w:snapToGrid w:val="0"/>
              <w:jc w:val="cente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97天</w:t>
            </w:r>
          </w:p>
        </w:tc>
      </w:tr>
      <w:tr w14:paraId="3C0721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00" w:hRule="atLeast"/>
          <w:jc w:val="center"/>
        </w:trPr>
        <w:tc>
          <w:tcPr>
            <w:tcW w:w="1462" w:type="dxa"/>
            <w:tcMar>
              <w:top w:w="16" w:type="dxa"/>
              <w:left w:w="16" w:type="dxa"/>
              <w:right w:w="16" w:type="dxa"/>
            </w:tcMar>
            <w:vAlign w:val="center"/>
          </w:tcPr>
          <w:p w14:paraId="50A5B7C3">
            <w:pPr>
              <w:adjustRightInd w:val="0"/>
              <w:snapToGrid w:val="0"/>
              <w:jc w:val="center"/>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是否开工建设</w:t>
            </w:r>
          </w:p>
        </w:tc>
        <w:tc>
          <w:tcPr>
            <w:tcW w:w="7577" w:type="dxa"/>
            <w:gridSpan w:val="3"/>
            <w:vAlign w:val="center"/>
          </w:tcPr>
          <w:p w14:paraId="7422858B">
            <w:pPr>
              <w:adjustRightInd w:val="0"/>
              <w:snapToGrid w:val="0"/>
              <w:ind w:firstLine="105"/>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☑否</w:t>
            </w:r>
          </w:p>
          <w:p w14:paraId="0ADA61CB">
            <w:pPr>
              <w:adjustRightInd w:val="0"/>
              <w:snapToGrid w:val="0"/>
              <w:ind w:firstLine="92"/>
              <w:jc w:val="left"/>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□是：</w:t>
            </w:r>
          </w:p>
        </w:tc>
      </w:tr>
      <w:tr w14:paraId="7B76C30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462" w:type="dxa"/>
            <w:tcMar>
              <w:top w:w="16" w:type="dxa"/>
              <w:left w:w="16" w:type="dxa"/>
              <w:right w:w="16" w:type="dxa"/>
            </w:tcMar>
            <w:vAlign w:val="center"/>
          </w:tcPr>
          <w:p w14:paraId="0E3BB739">
            <w:pPr>
              <w:autoSpaceDE w:val="0"/>
              <w:autoSpaceDN w:val="0"/>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专项评价设置情况</w:t>
            </w:r>
          </w:p>
        </w:tc>
        <w:tc>
          <w:tcPr>
            <w:tcW w:w="7577" w:type="dxa"/>
            <w:gridSpan w:val="3"/>
            <w:tcMar>
              <w:top w:w="16" w:type="dxa"/>
              <w:left w:w="16" w:type="dxa"/>
              <w:right w:w="16" w:type="dxa"/>
            </w:tcMar>
            <w:vAlign w:val="center"/>
          </w:tcPr>
          <w:p w14:paraId="1C13A1EA">
            <w:pPr>
              <w:pStyle w:val="2"/>
              <w:spacing w:before="0" w:after="0" w:line="240" w:lineRule="auto"/>
              <w:ind w:right="0"/>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表</w:t>
            </w: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1-1专项设置一览表</w:t>
            </w:r>
          </w:p>
          <w:tbl>
            <w:tblPr>
              <w:tblStyle w:val="34"/>
              <w:tblW w:w="4756"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98"/>
              <w:gridCol w:w="2980"/>
              <w:gridCol w:w="2031"/>
              <w:gridCol w:w="968"/>
            </w:tblGrid>
            <w:tr w14:paraId="01652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jc w:val="center"/>
              </w:trPr>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9F89C">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专项评价的类别</w:t>
                  </w:r>
                </w:p>
              </w:tc>
              <w:tc>
                <w:tcPr>
                  <w:tcW w:w="2976" w:type="dxa"/>
                  <w:tcBorders>
                    <w:top w:val="single" w:color="000000" w:sz="4" w:space="0"/>
                    <w:left w:val="single" w:color="000000" w:sz="4" w:space="0"/>
                    <w:bottom w:val="single" w:color="000000" w:sz="4" w:space="0"/>
                    <w:right w:val="single" w:color="auto" w:sz="4" w:space="0"/>
                  </w:tcBorders>
                  <w:shd w:val="clear" w:color="auto" w:fill="auto"/>
                  <w:vAlign w:val="center"/>
                </w:tcPr>
                <w:p w14:paraId="06E701B1">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涉及项目类别</w:t>
                  </w:r>
                </w:p>
              </w:tc>
              <w:tc>
                <w:tcPr>
                  <w:tcW w:w="2028" w:type="dxa"/>
                  <w:tcBorders>
                    <w:top w:val="single" w:color="000000" w:sz="4" w:space="0"/>
                    <w:left w:val="single" w:color="auto" w:sz="4" w:space="0"/>
                    <w:bottom w:val="single" w:color="000000" w:sz="4" w:space="0"/>
                    <w:right w:val="single" w:color="auto" w:sz="4" w:space="0"/>
                  </w:tcBorders>
                  <w:shd w:val="clear" w:color="auto" w:fill="auto"/>
                  <w:vAlign w:val="center"/>
                </w:tcPr>
                <w:p w14:paraId="438158DC">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本项目情况</w:t>
                  </w:r>
                </w:p>
              </w:tc>
              <w:tc>
                <w:tcPr>
                  <w:tcW w:w="967" w:type="dxa"/>
                  <w:tcBorders>
                    <w:top w:val="single" w:color="000000" w:sz="4" w:space="0"/>
                    <w:left w:val="single" w:color="auto" w:sz="4" w:space="0"/>
                    <w:bottom w:val="single" w:color="000000" w:sz="4" w:space="0"/>
                    <w:right w:val="single" w:color="000000" w:sz="4" w:space="0"/>
                  </w:tcBorders>
                  <w:shd w:val="clear" w:color="auto" w:fill="auto"/>
                  <w:vAlign w:val="center"/>
                </w:tcPr>
                <w:p w14:paraId="70FE80E9">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是否设置</w:t>
                  </w:r>
                </w:p>
              </w:tc>
            </w:tr>
            <w:tr w14:paraId="074B6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8" w:hRule="atLeast"/>
                <w:jc w:val="center"/>
              </w:trPr>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E56CD">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地表水</w:t>
                  </w:r>
                </w:p>
              </w:tc>
              <w:tc>
                <w:tcPr>
                  <w:tcW w:w="2976" w:type="dxa"/>
                  <w:tcBorders>
                    <w:top w:val="single" w:color="000000" w:sz="4" w:space="0"/>
                    <w:left w:val="single" w:color="000000" w:sz="4" w:space="0"/>
                    <w:bottom w:val="single" w:color="000000" w:sz="4" w:space="0"/>
                    <w:right w:val="single" w:color="auto" w:sz="4" w:space="0"/>
                  </w:tcBorders>
                  <w:shd w:val="clear" w:color="auto" w:fill="auto"/>
                  <w:vAlign w:val="center"/>
                </w:tcPr>
                <w:p w14:paraId="1E6A711A">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水力发电：引水式发电、涉及调峰发电的项目；人工湖、人工湿地：全部；水库：全部；引水工程：全部（配套的管线工程等除外）；防洪除涝工程：包含水库的项目；河湖整治：涉及清淤且底泥存在重金属污染的项目</w:t>
                  </w:r>
                </w:p>
              </w:tc>
              <w:tc>
                <w:tcPr>
                  <w:tcW w:w="2028" w:type="dxa"/>
                  <w:tcBorders>
                    <w:top w:val="single" w:color="000000" w:sz="4" w:space="0"/>
                    <w:left w:val="single" w:color="auto" w:sz="4" w:space="0"/>
                    <w:bottom w:val="single" w:color="000000" w:sz="4" w:space="0"/>
                    <w:right w:val="single" w:color="auto" w:sz="4" w:space="0"/>
                  </w:tcBorders>
                  <w:shd w:val="clear" w:color="auto" w:fill="auto"/>
                  <w:vAlign w:val="center"/>
                </w:tcPr>
                <w:p w14:paraId="79E61521">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本项目为防洪护岸工程，不涉及水库，不涉及清淤工程。</w:t>
                  </w:r>
                </w:p>
              </w:tc>
              <w:tc>
                <w:tcPr>
                  <w:tcW w:w="967" w:type="dxa"/>
                  <w:tcBorders>
                    <w:top w:val="single" w:color="000000" w:sz="4" w:space="0"/>
                    <w:left w:val="single" w:color="auto" w:sz="4" w:space="0"/>
                    <w:bottom w:val="single" w:color="000000" w:sz="4" w:space="0"/>
                    <w:right w:val="single" w:color="000000" w:sz="4" w:space="0"/>
                  </w:tcBorders>
                  <w:shd w:val="clear" w:color="auto" w:fill="auto"/>
                  <w:vAlign w:val="center"/>
                </w:tcPr>
                <w:p w14:paraId="3BCD12B3">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不设置</w:t>
                  </w:r>
                </w:p>
              </w:tc>
            </w:tr>
            <w:tr w14:paraId="0C2D2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8" w:hRule="atLeast"/>
                <w:jc w:val="center"/>
              </w:trPr>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26654">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地下水</w:t>
                  </w:r>
                </w:p>
              </w:tc>
              <w:tc>
                <w:tcPr>
                  <w:tcW w:w="2976" w:type="dxa"/>
                  <w:tcBorders>
                    <w:top w:val="single" w:color="000000" w:sz="4" w:space="0"/>
                    <w:left w:val="single" w:color="000000" w:sz="4" w:space="0"/>
                    <w:bottom w:val="single" w:color="000000" w:sz="4" w:space="0"/>
                    <w:right w:val="single" w:color="auto" w:sz="4" w:space="0"/>
                  </w:tcBorders>
                  <w:shd w:val="clear" w:color="auto" w:fill="auto"/>
                  <w:vAlign w:val="center"/>
                </w:tcPr>
                <w:p w14:paraId="17F6349F">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陆地石油和天然气开采：全部；地下水（含矿泉水）开采：全部；水利、水电、交通等：含穿越可溶岩地层隧道的项目</w:t>
                  </w:r>
                </w:p>
              </w:tc>
              <w:tc>
                <w:tcPr>
                  <w:tcW w:w="2028" w:type="dxa"/>
                  <w:tcBorders>
                    <w:top w:val="single" w:color="000000" w:sz="4" w:space="0"/>
                    <w:left w:val="single" w:color="auto" w:sz="4" w:space="0"/>
                    <w:bottom w:val="single" w:color="000000" w:sz="4" w:space="0"/>
                    <w:right w:val="single" w:color="auto" w:sz="4" w:space="0"/>
                  </w:tcBorders>
                  <w:shd w:val="clear" w:color="auto" w:fill="auto"/>
                  <w:vAlign w:val="center"/>
                </w:tcPr>
                <w:p w14:paraId="5BC74B51">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本项目位于叶尔羌河冲积平原，无隧道工程，不涉及可溶岩地层穿越。</w:t>
                  </w:r>
                </w:p>
              </w:tc>
              <w:tc>
                <w:tcPr>
                  <w:tcW w:w="967" w:type="dxa"/>
                  <w:tcBorders>
                    <w:top w:val="single" w:color="000000" w:sz="4" w:space="0"/>
                    <w:left w:val="single" w:color="auto" w:sz="4" w:space="0"/>
                    <w:bottom w:val="single" w:color="000000" w:sz="4" w:space="0"/>
                    <w:right w:val="single" w:color="000000" w:sz="4" w:space="0"/>
                  </w:tcBorders>
                  <w:shd w:val="clear" w:color="auto" w:fill="auto"/>
                  <w:vAlign w:val="center"/>
                </w:tcPr>
                <w:p w14:paraId="44A0E58E">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不设置</w:t>
                  </w:r>
                </w:p>
              </w:tc>
            </w:tr>
            <w:tr w14:paraId="0D393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5" w:hRule="atLeast"/>
                <w:jc w:val="center"/>
              </w:trPr>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CC325">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生态</w:t>
                  </w:r>
                </w:p>
              </w:tc>
              <w:tc>
                <w:tcPr>
                  <w:tcW w:w="2976" w:type="dxa"/>
                  <w:tcBorders>
                    <w:top w:val="single" w:color="000000" w:sz="4" w:space="0"/>
                    <w:left w:val="single" w:color="000000" w:sz="4" w:space="0"/>
                    <w:bottom w:val="single" w:color="000000" w:sz="4" w:space="0"/>
                    <w:right w:val="single" w:color="auto" w:sz="4" w:space="0"/>
                  </w:tcBorders>
                  <w:shd w:val="clear" w:color="auto" w:fill="auto"/>
                  <w:vAlign w:val="center"/>
                </w:tcPr>
                <w:p w14:paraId="3A843CE8">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涉及环境敏感区（不包括饮用水水源保护区，以居住、医疗卫生、文化教育、科研、行政办公为主要功能的区域，以及文物保护单位）的项目</w:t>
                  </w:r>
                </w:p>
              </w:tc>
              <w:tc>
                <w:tcPr>
                  <w:tcW w:w="2028" w:type="dxa"/>
                  <w:tcBorders>
                    <w:top w:val="single" w:color="000000" w:sz="4" w:space="0"/>
                    <w:left w:val="single" w:color="auto" w:sz="4" w:space="0"/>
                    <w:bottom w:val="single" w:color="000000" w:sz="4" w:space="0"/>
                    <w:right w:val="single" w:color="auto" w:sz="4" w:space="0"/>
                  </w:tcBorders>
                  <w:shd w:val="clear" w:color="auto" w:fill="auto"/>
                  <w:vAlign w:val="center"/>
                </w:tcPr>
                <w:p w14:paraId="504289A0">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经核实，项目选址选线不涉及自然保护区、风景名胜区、生态保护红线、公益林等环境敏感区</w:t>
                  </w:r>
                  <w:r>
                    <w:rPr>
                      <w:rFonts w:hint="eastAsia" w:ascii="Times New Roman" w:hAnsi="Times New Roman" w:eastAsia="宋体" w:cs="Times New Roman"/>
                      <w:color w:val="000000" w:themeColor="text1"/>
                      <w:kern w:val="2"/>
                      <w:sz w:val="21"/>
                      <w:szCs w:val="21"/>
                      <w:lang w:val="en-US" w:eastAsia="zh-CN" w:bidi="ar"/>
                      <w14:textFill>
                        <w14:solidFill>
                          <w14:schemeClr w14:val="tx1"/>
                        </w14:solidFill>
                      </w14:textFill>
                    </w:rPr>
                    <w:t>，</w:t>
                  </w: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不涉及塔里木裂腹鱼的集中产卵场、索饵场、越冬场及洄游通道</w:t>
                  </w:r>
                </w:p>
              </w:tc>
              <w:tc>
                <w:tcPr>
                  <w:tcW w:w="967" w:type="dxa"/>
                  <w:tcBorders>
                    <w:top w:val="single" w:color="000000" w:sz="4" w:space="0"/>
                    <w:left w:val="single" w:color="auto" w:sz="4" w:space="0"/>
                    <w:bottom w:val="single" w:color="000000" w:sz="4" w:space="0"/>
                    <w:right w:val="single" w:color="000000" w:sz="4" w:space="0"/>
                  </w:tcBorders>
                  <w:shd w:val="clear" w:color="auto" w:fill="auto"/>
                  <w:vAlign w:val="center"/>
                </w:tcPr>
                <w:p w14:paraId="49517C10">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不设置</w:t>
                  </w:r>
                </w:p>
              </w:tc>
            </w:tr>
            <w:tr w14:paraId="78A34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jc w:val="center"/>
              </w:trPr>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7B4F7">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大气</w:t>
                  </w:r>
                </w:p>
              </w:tc>
              <w:tc>
                <w:tcPr>
                  <w:tcW w:w="2976" w:type="dxa"/>
                  <w:tcBorders>
                    <w:top w:val="single" w:color="000000" w:sz="4" w:space="0"/>
                    <w:left w:val="single" w:color="000000" w:sz="4" w:space="0"/>
                    <w:bottom w:val="single" w:color="000000" w:sz="4" w:space="0"/>
                    <w:right w:val="single" w:color="auto" w:sz="4" w:space="0"/>
                  </w:tcBorders>
                  <w:shd w:val="clear" w:color="auto" w:fill="auto"/>
                  <w:vAlign w:val="center"/>
                </w:tcPr>
                <w:p w14:paraId="36FEE703">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油气、液体化工码头：全部；干散货（含煤炭、矿石）、件杂、多用途、通用码头：涉及粉尘、挥发性有机物排放的项目</w:t>
                  </w:r>
                </w:p>
              </w:tc>
              <w:tc>
                <w:tcPr>
                  <w:tcW w:w="2028" w:type="dxa"/>
                  <w:tcBorders>
                    <w:top w:val="single" w:color="000000" w:sz="4" w:space="0"/>
                    <w:left w:val="single" w:color="auto" w:sz="4" w:space="0"/>
                    <w:bottom w:val="single" w:color="000000" w:sz="4" w:space="0"/>
                    <w:right w:val="single" w:color="auto" w:sz="4" w:space="0"/>
                  </w:tcBorders>
                  <w:shd w:val="clear" w:color="auto" w:fill="auto"/>
                  <w:vAlign w:val="center"/>
                </w:tcPr>
                <w:p w14:paraId="008830AF">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本项目为防洪护岸工程，不属于码头项目。</w:t>
                  </w:r>
                </w:p>
              </w:tc>
              <w:tc>
                <w:tcPr>
                  <w:tcW w:w="967" w:type="dxa"/>
                  <w:tcBorders>
                    <w:top w:val="single" w:color="000000" w:sz="4" w:space="0"/>
                    <w:left w:val="single" w:color="auto" w:sz="4" w:space="0"/>
                    <w:bottom w:val="single" w:color="000000" w:sz="4" w:space="0"/>
                    <w:right w:val="single" w:color="000000" w:sz="4" w:space="0"/>
                  </w:tcBorders>
                  <w:shd w:val="clear" w:color="auto" w:fill="auto"/>
                  <w:vAlign w:val="center"/>
                </w:tcPr>
                <w:p w14:paraId="414534AA">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不设置</w:t>
                  </w:r>
                </w:p>
              </w:tc>
            </w:tr>
            <w:tr w14:paraId="23ED4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6" w:hRule="atLeast"/>
                <w:jc w:val="center"/>
              </w:trPr>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D39F7">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噪声</w:t>
                  </w:r>
                </w:p>
              </w:tc>
              <w:tc>
                <w:tcPr>
                  <w:tcW w:w="2976" w:type="dxa"/>
                  <w:tcBorders>
                    <w:top w:val="single" w:color="000000" w:sz="4" w:space="0"/>
                    <w:left w:val="single" w:color="000000" w:sz="4" w:space="0"/>
                    <w:bottom w:val="single" w:color="000000" w:sz="4" w:space="0"/>
                    <w:right w:val="single" w:color="auto" w:sz="4" w:space="0"/>
                  </w:tcBorders>
                  <w:shd w:val="clear" w:color="auto" w:fill="auto"/>
                  <w:vAlign w:val="center"/>
                </w:tcPr>
                <w:p w14:paraId="2E4A9F4E">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公路、铁路、机场等交通运输业涉及环境敏感区（以居住、医疗卫生、文化教育、科研、行政办公为主要功能的区域）的项目；城市道路（不含维护，不含支路、人行天桥、人行地道）：全部</w:t>
                  </w:r>
                </w:p>
              </w:tc>
              <w:tc>
                <w:tcPr>
                  <w:tcW w:w="2028" w:type="dxa"/>
                  <w:tcBorders>
                    <w:top w:val="single" w:color="000000" w:sz="4" w:space="0"/>
                    <w:left w:val="single" w:color="auto" w:sz="4" w:space="0"/>
                    <w:bottom w:val="single" w:color="000000" w:sz="4" w:space="0"/>
                    <w:right w:val="single" w:color="auto" w:sz="4" w:space="0"/>
                  </w:tcBorders>
                  <w:shd w:val="clear" w:color="auto" w:fill="auto"/>
                  <w:vAlign w:val="center"/>
                </w:tcPr>
                <w:p w14:paraId="116E3038">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本项目为防洪护岸工程，不属于交通运输业或城市道路项目。</w:t>
                  </w:r>
                </w:p>
              </w:tc>
              <w:tc>
                <w:tcPr>
                  <w:tcW w:w="967" w:type="dxa"/>
                  <w:tcBorders>
                    <w:top w:val="single" w:color="000000" w:sz="4" w:space="0"/>
                    <w:left w:val="single" w:color="auto" w:sz="4" w:space="0"/>
                    <w:bottom w:val="single" w:color="000000" w:sz="4" w:space="0"/>
                    <w:right w:val="single" w:color="000000" w:sz="4" w:space="0"/>
                  </w:tcBorders>
                  <w:shd w:val="clear" w:color="auto" w:fill="auto"/>
                  <w:vAlign w:val="center"/>
                </w:tcPr>
                <w:p w14:paraId="5DB786C7">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不设置</w:t>
                  </w:r>
                </w:p>
              </w:tc>
            </w:tr>
            <w:tr w14:paraId="22A32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45" w:hRule="atLeast"/>
                <w:jc w:val="center"/>
              </w:trPr>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86AAF">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环境风险</w:t>
                  </w:r>
                </w:p>
              </w:tc>
              <w:tc>
                <w:tcPr>
                  <w:tcW w:w="2976" w:type="dxa"/>
                  <w:tcBorders>
                    <w:top w:val="single" w:color="000000" w:sz="4" w:space="0"/>
                    <w:left w:val="single" w:color="000000" w:sz="4" w:space="0"/>
                    <w:bottom w:val="single" w:color="000000" w:sz="4" w:space="0"/>
                    <w:right w:val="single" w:color="auto" w:sz="4" w:space="0"/>
                  </w:tcBorders>
                  <w:shd w:val="clear" w:color="auto" w:fill="auto"/>
                  <w:vAlign w:val="center"/>
                </w:tcPr>
                <w:p w14:paraId="76D66ED0">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石油和天然气开采：全部；油气、液体化工码头：全部；原油、成品油、天然气管线（不含城镇天然气管线、企业厂区内管线），危险化学品输送管线（不含企业厂区内管线）：全部</w:t>
                  </w:r>
                </w:p>
              </w:tc>
              <w:tc>
                <w:tcPr>
                  <w:tcW w:w="2028" w:type="dxa"/>
                  <w:tcBorders>
                    <w:top w:val="single" w:color="000000" w:sz="4" w:space="0"/>
                    <w:left w:val="single" w:color="auto" w:sz="4" w:space="0"/>
                    <w:bottom w:val="single" w:color="000000" w:sz="4" w:space="0"/>
                    <w:right w:val="single" w:color="auto" w:sz="4" w:space="0"/>
                  </w:tcBorders>
                  <w:shd w:val="clear" w:color="auto" w:fill="auto"/>
                  <w:vAlign w:val="center"/>
                </w:tcPr>
                <w:p w14:paraId="4DB2AFD7">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本项目为防洪护岸工程，不涉及油气管线或危险化学品输送。</w:t>
                  </w:r>
                </w:p>
              </w:tc>
              <w:tc>
                <w:tcPr>
                  <w:tcW w:w="967" w:type="dxa"/>
                  <w:tcBorders>
                    <w:top w:val="single" w:color="000000" w:sz="4" w:space="0"/>
                    <w:left w:val="single" w:color="auto" w:sz="4" w:space="0"/>
                    <w:bottom w:val="single" w:color="000000" w:sz="4" w:space="0"/>
                    <w:right w:val="single" w:color="000000" w:sz="4" w:space="0"/>
                  </w:tcBorders>
                  <w:shd w:val="clear" w:color="auto" w:fill="auto"/>
                  <w:vAlign w:val="center"/>
                </w:tcPr>
                <w:p w14:paraId="1ACEE99A">
                  <w:pPr>
                    <w:pStyle w:val="2"/>
                    <w:spacing w:before="0" w:after="0" w:line="240" w:lineRule="auto"/>
                    <w:ind w:right="0"/>
                    <w:jc w:val="cente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不设置</w:t>
                  </w:r>
                </w:p>
              </w:tc>
            </w:tr>
          </w:tbl>
          <w:p w14:paraId="66825F3F">
            <w:pPr>
              <w:autoSpaceDE w:val="0"/>
              <w:autoSpaceDN w:val="0"/>
              <w:adjustRightInd w:val="0"/>
              <w:snapToGrid w:val="0"/>
              <w:spacing w:line="360" w:lineRule="auto"/>
              <w:ind w:firstLine="420" w:firstLineChars="200"/>
              <w:rPr>
                <w:rFonts w:hint="default" w:ascii="Times New Roman" w:hAnsi="Times New Roman" w:eastAsia="宋体" w:cs="Times New Roman"/>
                <w:color w:val="000000" w:themeColor="text1"/>
                <w14:textFill>
                  <w14:solidFill>
                    <w14:schemeClr w14:val="tx1"/>
                  </w14:solidFill>
                </w14:textFill>
              </w:rPr>
            </w:pPr>
          </w:p>
        </w:tc>
      </w:tr>
      <w:tr w14:paraId="4F266A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17" w:hRule="atLeast"/>
          <w:jc w:val="center"/>
        </w:trPr>
        <w:tc>
          <w:tcPr>
            <w:tcW w:w="1462" w:type="dxa"/>
            <w:tcMar>
              <w:top w:w="16" w:type="dxa"/>
              <w:left w:w="16" w:type="dxa"/>
              <w:right w:w="16" w:type="dxa"/>
            </w:tcMar>
            <w:vAlign w:val="center"/>
          </w:tcPr>
          <w:p w14:paraId="51B73E26">
            <w:pPr>
              <w:autoSpaceDE w:val="0"/>
              <w:autoSpaceDN w:val="0"/>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规划情况</w:t>
            </w:r>
          </w:p>
        </w:tc>
        <w:tc>
          <w:tcPr>
            <w:tcW w:w="7577" w:type="dxa"/>
            <w:gridSpan w:val="3"/>
            <w:tcMar>
              <w:top w:w="16" w:type="dxa"/>
              <w:left w:w="16" w:type="dxa"/>
              <w:right w:w="16" w:type="dxa"/>
            </w:tcMar>
            <w:vAlign w:val="center"/>
          </w:tcPr>
          <w:p w14:paraId="6E72E076">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t>已批复规划：《塔里木河流域近期综合治理规划报告》（国务院以国函〔2001〕74号批复）。该规划明确叶尔羌河为塔里木河的重要源流，要求加强源流区防洪工程建设，提高防洪标准。本工程位于叶尔羌河右岸莎车县阿扎特巴格镇段，属于该规划确定的源流治理范围。</w:t>
            </w:r>
          </w:p>
          <w:p w14:paraId="42AE10F5">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t>专项规划：《喀什地区防洪规划（2021-2035年）》（喀什地区行政公署2023年批复）。该规划将叶尔羌河莎车县阿扎特巴格镇段列为重点治理河段，规划建设护岸6.2km（与本工程一致），防洪标准10年一遇。</w:t>
            </w:r>
          </w:p>
        </w:tc>
      </w:tr>
      <w:tr w14:paraId="560B96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62" w:hRule="atLeast"/>
          <w:jc w:val="center"/>
        </w:trPr>
        <w:tc>
          <w:tcPr>
            <w:tcW w:w="1462" w:type="dxa"/>
            <w:tcMar>
              <w:top w:w="16" w:type="dxa"/>
              <w:left w:w="16" w:type="dxa"/>
              <w:right w:w="16" w:type="dxa"/>
            </w:tcMar>
            <w:vAlign w:val="center"/>
          </w:tcPr>
          <w:p w14:paraId="459B24E7">
            <w:pPr>
              <w:autoSpaceDE w:val="0"/>
              <w:autoSpaceDN w:val="0"/>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规划环境影响评价情况</w:t>
            </w:r>
          </w:p>
        </w:tc>
        <w:tc>
          <w:tcPr>
            <w:tcW w:w="7577" w:type="dxa"/>
            <w:gridSpan w:val="3"/>
            <w:tcMar>
              <w:top w:w="16" w:type="dxa"/>
              <w:left w:w="16" w:type="dxa"/>
              <w:right w:w="16" w:type="dxa"/>
            </w:tcMar>
            <w:vAlign w:val="center"/>
          </w:tcPr>
          <w:p w14:paraId="1BF7B472">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t>无</w:t>
            </w:r>
          </w:p>
        </w:tc>
      </w:tr>
      <w:tr w14:paraId="3CF825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34" w:hRule="atLeast"/>
          <w:jc w:val="center"/>
        </w:trPr>
        <w:tc>
          <w:tcPr>
            <w:tcW w:w="1462" w:type="dxa"/>
            <w:tcMar>
              <w:top w:w="16" w:type="dxa"/>
              <w:left w:w="16" w:type="dxa"/>
              <w:right w:w="16" w:type="dxa"/>
            </w:tcMar>
            <w:vAlign w:val="center"/>
          </w:tcPr>
          <w:p w14:paraId="40A31FE6">
            <w:pPr>
              <w:autoSpaceDE w:val="0"/>
              <w:autoSpaceDN w:val="0"/>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规划及</w:t>
            </w:r>
            <w:r>
              <w:rPr>
                <w:rFonts w:hint="default" w:ascii="Times New Roman" w:hAnsi="Times New Roman" w:eastAsia="宋体" w:cs="Times New Roman"/>
                <w:color w:val="000000" w:themeColor="text1"/>
                <w:sz w:val="24"/>
                <w14:textFill>
                  <w14:solidFill>
                    <w14:schemeClr w14:val="tx1"/>
                  </w14:solidFill>
                </w14:textFill>
              </w:rPr>
              <w:t>规划环境影响评价</w:t>
            </w:r>
            <w:r>
              <w:rPr>
                <w:rFonts w:hint="default" w:ascii="Times New Roman" w:hAnsi="Times New Roman" w:eastAsia="宋体" w:cs="Times New Roman"/>
                <w:color w:val="000000" w:themeColor="text1"/>
                <w:kern w:val="0"/>
                <w:sz w:val="24"/>
                <w14:textFill>
                  <w14:solidFill>
                    <w14:schemeClr w14:val="tx1"/>
                  </w14:solidFill>
                </w14:textFill>
              </w:rPr>
              <w:t>符合性分析</w:t>
            </w:r>
          </w:p>
        </w:tc>
        <w:tc>
          <w:tcPr>
            <w:tcW w:w="7577" w:type="dxa"/>
            <w:gridSpan w:val="3"/>
            <w:tcMar>
              <w:top w:w="16" w:type="dxa"/>
              <w:left w:w="16" w:type="dxa"/>
              <w:right w:w="16" w:type="dxa"/>
            </w:tcMar>
            <w:vAlign w:val="center"/>
          </w:tcPr>
          <w:p w14:paraId="5C3C2A93">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t>《塔里木河流域近期综合治理规划报告》明确要求：坚持以生态系统建设与保护为根本、以水资源合理配置为核心，源流与干流统筹考虑；不再扩大农田灌溉面积，加强流域水资源统一管理和科学调度。</w:t>
            </w:r>
          </w:p>
          <w:p w14:paraId="2E55F6D7">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4"/>
                <w:lang w:val="en-US" w:eastAsia="zh-CN"/>
                <w14:textFill>
                  <w14:solidFill>
                    <w14:schemeClr w14:val="tx1"/>
                  </w14:solidFill>
                </w14:textFill>
              </w:rPr>
              <w:t>本项目位于叶尔羌河右岸（塔里木河流域的重要源流之一），属于塔里木河流域近期综合治理规划确定的源流治理范围，符合规划确定“源流与干流统筹考虑”的基本原则。</w:t>
            </w:r>
          </w:p>
        </w:tc>
      </w:tr>
      <w:tr w14:paraId="677682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431" w:hRule="atLeast"/>
          <w:jc w:val="center"/>
        </w:trPr>
        <w:tc>
          <w:tcPr>
            <w:tcW w:w="1462" w:type="dxa"/>
            <w:tcMar>
              <w:top w:w="16" w:type="dxa"/>
              <w:left w:w="16" w:type="dxa"/>
              <w:right w:w="16" w:type="dxa"/>
            </w:tcMar>
            <w:vAlign w:val="center"/>
          </w:tcPr>
          <w:p w14:paraId="1DE02E01">
            <w:pPr>
              <w:autoSpaceDE w:val="0"/>
              <w:autoSpaceDN w:val="0"/>
              <w:adjustRightInd w:val="0"/>
              <w:snapToGrid w:val="0"/>
              <w:jc w:val="center"/>
              <w:rPr>
                <w:rFonts w:hint="default" w:ascii="Times New Roman" w:hAnsi="Times New Roman" w:eastAsia="宋体" w:cs="Times New Roman"/>
                <w:color w:val="000000" w:themeColor="text1"/>
                <w:kern w:val="0"/>
                <w:szCs w:val="21"/>
                <w14:textFill>
                  <w14:solidFill>
                    <w14:schemeClr w14:val="tx1"/>
                  </w14:solidFill>
                </w14:textFill>
              </w:rPr>
            </w:pPr>
            <w:bookmarkStart w:id="0" w:name="_Hlk56690880"/>
            <w:r>
              <w:rPr>
                <w:rFonts w:hint="default" w:ascii="Times New Roman" w:hAnsi="Times New Roman" w:eastAsia="宋体" w:cs="Times New Roman"/>
                <w:color w:val="000000" w:themeColor="text1"/>
                <w:kern w:val="0"/>
                <w:sz w:val="24"/>
                <w14:textFill>
                  <w14:solidFill>
                    <w14:schemeClr w14:val="tx1"/>
                  </w14:solidFill>
                </w14:textFill>
              </w:rPr>
              <w:t>其他符合性分析</w:t>
            </w:r>
            <w:bookmarkEnd w:id="0"/>
          </w:p>
        </w:tc>
        <w:tc>
          <w:tcPr>
            <w:tcW w:w="7577" w:type="dxa"/>
            <w:gridSpan w:val="3"/>
            <w:tcMar>
              <w:top w:w="16" w:type="dxa"/>
              <w:left w:w="16" w:type="dxa"/>
              <w:right w:w="16" w:type="dxa"/>
            </w:tcMar>
            <w:vAlign w:val="center"/>
          </w:tcPr>
          <w:p w14:paraId="5AE5F881">
            <w:pPr>
              <w:spacing w:line="360" w:lineRule="auto"/>
              <w:ind w:firstLine="482" w:firstLineChars="200"/>
              <w:rPr>
                <w:rFonts w:hint="default" w:ascii="Times New Roman" w:hAnsi="Times New Roman" w:eastAsia="宋体" w:cs="Times New Roman"/>
                <w:b/>
                <w:bCs/>
                <w:color w:val="000000" w:themeColor="text1"/>
                <w:kern w:val="0"/>
                <w:sz w:val="24"/>
                <w14:textFill>
                  <w14:solidFill>
                    <w14:schemeClr w14:val="tx1"/>
                  </w14:solidFill>
                </w14:textFill>
              </w:rPr>
            </w:pPr>
            <w:r>
              <w:rPr>
                <w:rFonts w:hint="default" w:ascii="Times New Roman" w:hAnsi="Times New Roman" w:eastAsia="宋体" w:cs="Times New Roman"/>
                <w:b/>
                <w:bCs/>
                <w:color w:val="000000" w:themeColor="text1"/>
                <w:kern w:val="0"/>
                <w:sz w:val="24"/>
                <w14:textFill>
                  <w14:solidFill>
                    <w14:schemeClr w14:val="tx1"/>
                  </w14:solidFill>
                </w14:textFill>
              </w:rPr>
              <w:t>1产业政策相符性</w:t>
            </w:r>
          </w:p>
          <w:p w14:paraId="02BBCAFE">
            <w:pPr>
              <w:topLinePunct/>
              <w:spacing w:line="360" w:lineRule="auto"/>
              <w:ind w:firstLine="480" w:firstLineChars="20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为防洪工程，根据国家发展改革委颁布的《产业结构调整指导目录（2024年本）》：本项目属于“第一类鼓励类”中“二、水利”中的“3.防洪提升工程：江河湖海堤防建设及河道治理工程”，本项目建设符合产业政策要求。</w:t>
            </w:r>
          </w:p>
          <w:p w14:paraId="07763D14">
            <w:pPr>
              <w:spacing w:line="360" w:lineRule="auto"/>
              <w:ind w:firstLine="482" w:firstLineChars="20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b/>
                <w:bCs/>
                <w:color w:val="000000" w:themeColor="text1"/>
                <w:kern w:val="0"/>
                <w:sz w:val="24"/>
                <w:lang w:val="en-US" w:eastAsia="zh-CN"/>
                <w14:textFill>
                  <w14:solidFill>
                    <w14:schemeClr w14:val="tx1"/>
                  </w14:solidFill>
                </w14:textFill>
              </w:rPr>
              <w:t>2</w:t>
            </w:r>
            <w:r>
              <w:rPr>
                <w:rFonts w:hint="default" w:ascii="Times New Roman" w:hAnsi="Times New Roman" w:eastAsia="宋体" w:cs="Times New Roman"/>
                <w:b/>
                <w:bCs/>
                <w:color w:val="000000" w:themeColor="text1"/>
                <w:kern w:val="0"/>
                <w:sz w:val="24"/>
                <w14:textFill>
                  <w14:solidFill>
                    <w14:schemeClr w14:val="tx1"/>
                  </w14:solidFill>
                </w14:textFill>
              </w:rPr>
              <w:t>与《水利建设项目（河湖整治与防洪除涝工程）环境影响评价文件审批原则（试行）》符合性分析</w:t>
            </w:r>
          </w:p>
          <w:p w14:paraId="229B8C8E">
            <w:pPr>
              <w:pStyle w:val="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t>表1-2与《水利建设项目（河湖整治与防洪除涝工程）环境影响评价文件审批原则（试行）》符合性</w:t>
            </w:r>
          </w:p>
          <w:tbl>
            <w:tblPr>
              <w:tblStyle w:val="35"/>
              <w:tblW w:w="483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5"/>
              <w:gridCol w:w="2612"/>
              <w:gridCol w:w="3625"/>
              <w:gridCol w:w="597"/>
            </w:tblGrid>
            <w:tr w14:paraId="36AF6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959ABE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序号</w:t>
                  </w:r>
                </w:p>
              </w:tc>
              <w:tc>
                <w:tcPr>
                  <w:tcW w:w="1794" w:type="pct"/>
                  <w:vAlign w:val="center"/>
                </w:tcPr>
                <w:p w14:paraId="75B7569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审批原则要点</w:t>
                  </w:r>
                </w:p>
              </w:tc>
              <w:tc>
                <w:tcPr>
                  <w:tcW w:w="2490" w:type="pct"/>
                  <w:vAlign w:val="center"/>
                </w:tcPr>
                <w:p w14:paraId="4720447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本项目实际情况</w:t>
                  </w:r>
                </w:p>
              </w:tc>
              <w:tc>
                <w:tcPr>
                  <w:tcW w:w="410" w:type="pct"/>
                  <w:vAlign w:val="center"/>
                </w:tcPr>
                <w:p w14:paraId="7CA564D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符合性</w:t>
                  </w:r>
                </w:p>
              </w:tc>
            </w:tr>
            <w:tr w14:paraId="5C0E0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5CA5315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w:t>
                  </w:r>
                </w:p>
              </w:tc>
              <w:tc>
                <w:tcPr>
                  <w:tcW w:w="1794" w:type="pct"/>
                  <w:vAlign w:val="center"/>
                </w:tcPr>
                <w:p w14:paraId="0B47037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适用范围：适用于河湖整治与防洪除涝工程（疏浚、堤防建设、岸线治理等）。</w:t>
                  </w:r>
                </w:p>
              </w:tc>
              <w:tc>
                <w:tcPr>
                  <w:tcW w:w="2490" w:type="pct"/>
                  <w:vAlign w:val="center"/>
                </w:tcPr>
                <w:p w14:paraId="1DDCD9F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本项目为防洪护岸工程，新建护岸6.22km、退水口1座，属于“堤防建设”和“岸线治理”范畴。</w:t>
                  </w:r>
                </w:p>
              </w:tc>
              <w:tc>
                <w:tcPr>
                  <w:tcW w:w="410" w:type="pct"/>
                  <w:vAlign w:val="center"/>
                </w:tcPr>
                <w:p w14:paraId="0E9AA53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DCD2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ABA143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2</w:t>
                  </w:r>
                </w:p>
              </w:tc>
              <w:tc>
                <w:tcPr>
                  <w:tcW w:w="1794" w:type="pct"/>
                  <w:vAlign w:val="center"/>
                </w:tcPr>
                <w:p w14:paraId="63506E5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规划及自然形态：符合相关法律法规及规划；未以防洪名义盲目裁弯取直、围垦水面、侵占河湖滩地；最大程度保持河湖自然形态，避免过度“硬化、白化、渠化”。</w:t>
                  </w:r>
                </w:p>
              </w:tc>
              <w:tc>
                <w:tcPr>
                  <w:tcW w:w="2490" w:type="pct"/>
                  <w:vAlign w:val="center"/>
                </w:tcPr>
                <w:p w14:paraId="42860A9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①符合《塔里木河流域规划》《喀什地区防洪规划》及“三线一单”；②不涉及裁弯取直、围垦水面和占用河湖滩地；③采用雷诺护垫+格宾石笼生态护坡结构，未过度硬化。</w:t>
                  </w:r>
                </w:p>
              </w:tc>
              <w:tc>
                <w:tcPr>
                  <w:tcW w:w="410" w:type="pct"/>
                  <w:vAlign w:val="center"/>
                </w:tcPr>
                <w:p w14:paraId="0C3B5B5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6EDE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72FD5E1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3</w:t>
                  </w:r>
                </w:p>
              </w:tc>
              <w:tc>
                <w:tcPr>
                  <w:tcW w:w="1794" w:type="pct"/>
                  <w:vAlign w:val="center"/>
                </w:tcPr>
                <w:p w14:paraId="5F4F488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环境敏感区避让：选址选线、施工布置原则上不占用自然保护区、风景名胜区、生态保护红线等法律法规禁止占用的区域，并协调饮用水水源保护区保护要求。</w:t>
                  </w:r>
                </w:p>
              </w:tc>
              <w:tc>
                <w:tcPr>
                  <w:tcW w:w="2490" w:type="pct"/>
                  <w:vAlign w:val="center"/>
                </w:tcPr>
                <w:p w14:paraId="02DC643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选址选线及临时占地不涉及自然保护区、风景名胜区、生态保护红线、公益林、永久基本农田及饮用水水源保护区。</w:t>
                  </w:r>
                </w:p>
              </w:tc>
              <w:tc>
                <w:tcPr>
                  <w:tcW w:w="410" w:type="pct"/>
                  <w:vAlign w:val="center"/>
                </w:tcPr>
                <w:p w14:paraId="26CB334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15AB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488C55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4</w:t>
                  </w:r>
                </w:p>
              </w:tc>
              <w:tc>
                <w:tcPr>
                  <w:tcW w:w="1794" w:type="pct"/>
                  <w:vAlign w:val="center"/>
                </w:tcPr>
                <w:p w14:paraId="3A37F89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地表水与地下水保护：涉水施工涉及饮用水源保护区或取水口的，须提出避让及优化措施；改变地下水环境的，提出导排、防护措施。</w:t>
                  </w:r>
                </w:p>
              </w:tc>
              <w:tc>
                <w:tcPr>
                  <w:tcW w:w="2490" w:type="pct"/>
                  <w:vAlign w:val="center"/>
                </w:tcPr>
                <w:p w14:paraId="2E1BF9B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不涉及饮用水源保护区及取水口；②施工废水（冲洗废水）经隔油沉淀后回用，生活污水拉运处理，均不外排；③基坑排水经沉淀后排河；④沉淀池、化粪池采取防渗处理（Mb≥1.5m，K≤1.0×10⁻⁷cm/s），降水井施工后回填，不造成地下水消耗。</w:t>
                  </w:r>
                </w:p>
              </w:tc>
              <w:tc>
                <w:tcPr>
                  <w:tcW w:w="410" w:type="pct"/>
                  <w:vAlign w:val="center"/>
                </w:tcPr>
                <w:p w14:paraId="28BCC3A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A350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76E2CFD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w:t>
                  </w:r>
                </w:p>
              </w:tc>
              <w:tc>
                <w:tcPr>
                  <w:tcW w:w="1794" w:type="pct"/>
                  <w:vAlign w:val="center"/>
                </w:tcPr>
                <w:p w14:paraId="03C47E9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水生生态保护：涉及鱼类产卵场、索饵场、越冬场及洄游通道的，须提出避开繁殖期、优化施工布置等减缓措施，确保不利影响得到缓解。</w:t>
                  </w:r>
                </w:p>
              </w:tc>
              <w:tc>
                <w:tcPr>
                  <w:tcW w:w="2490" w:type="pct"/>
                  <w:vAlign w:val="center"/>
                </w:tcPr>
                <w:p w14:paraId="6791AF8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①评价河段不涉及鱼类“三场”及洄游通道；②偶有自治区二级保护鱼类塔里木裂腹鱼，施工期安排在枯水期（9~11月），避开繁殖期（5~7月）；③施工废水零排放，设置保护警示牌，严禁捕鱼。</w:t>
                  </w:r>
                </w:p>
              </w:tc>
              <w:tc>
                <w:tcPr>
                  <w:tcW w:w="410" w:type="pct"/>
                  <w:vAlign w:val="center"/>
                </w:tcPr>
                <w:p w14:paraId="4A83BF1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B342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5C304E7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6</w:t>
                  </w:r>
                </w:p>
              </w:tc>
              <w:tc>
                <w:tcPr>
                  <w:tcW w:w="1794" w:type="pct"/>
                  <w:vAlign w:val="center"/>
                </w:tcPr>
                <w:p w14:paraId="1F5E523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陆生生态保护：对珍稀濒危保护动植物造成影响的，须提出原位防护、移栽、避让、救护等措施。</w:t>
                  </w:r>
                </w:p>
              </w:tc>
              <w:tc>
                <w:tcPr>
                  <w:tcW w:w="2490" w:type="pct"/>
                  <w:vAlign w:val="center"/>
                </w:tcPr>
                <w:p w14:paraId="518C1F9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①项目区无重点保护野生植物，无国家和自治区级保护野生动物；②严格控制施工占地，表土剥离单独堆存；③施工结束后对临时占地（22.461hm²）进行土地平整、表土回覆、植被恢复，补植灌木约3000株。</w:t>
                  </w:r>
                </w:p>
              </w:tc>
              <w:tc>
                <w:tcPr>
                  <w:tcW w:w="410" w:type="pct"/>
                  <w:vAlign w:val="center"/>
                </w:tcPr>
                <w:p w14:paraId="1F792B4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3789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98C29F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7</w:t>
                  </w:r>
                </w:p>
              </w:tc>
              <w:tc>
                <w:tcPr>
                  <w:tcW w:w="1794" w:type="pct"/>
                  <w:vAlign w:val="center"/>
                </w:tcPr>
                <w:p w14:paraId="319CB24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施工期污染防治：对料场、弃渣场提出水土流失防治及生态恢复措施；对施工期废水、扬尘、噪声、固废等提出防治或处置措施。</w:t>
                  </w:r>
                </w:p>
              </w:tc>
              <w:tc>
                <w:tcPr>
                  <w:tcW w:w="2490" w:type="pct"/>
                  <w:vAlign w:val="center"/>
                </w:tcPr>
                <w:p w14:paraId="218E8BA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扬尘：设置围挡、洒水（每日≥4次）、防尘网覆盖、密闭运输，四级以上大风停止土方作业；②废水：隔油沉淀池处理冲洗废水回用，化粪池收集生活污水拉运；③噪声：选用低噪设备、合理安排时间、限速禁鸣；④固废：清废除土回填取弃土场，建筑垃圾分类回收/填埋，生活垃圾清运；⑤土石方综合利用率达88.6%。</w:t>
                  </w:r>
                </w:p>
              </w:tc>
              <w:tc>
                <w:tcPr>
                  <w:tcW w:w="410" w:type="pct"/>
                  <w:vAlign w:val="center"/>
                </w:tcPr>
                <w:p w14:paraId="0482C5E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9195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64D29C8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8</w:t>
                  </w:r>
                </w:p>
              </w:tc>
              <w:tc>
                <w:tcPr>
                  <w:tcW w:w="1794" w:type="pct"/>
                  <w:vAlign w:val="center"/>
                </w:tcPr>
                <w:p w14:paraId="50966EB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移民安置：移民安置选址及建设方式须具有环境合理性。</w:t>
                  </w:r>
                </w:p>
              </w:tc>
              <w:tc>
                <w:tcPr>
                  <w:tcW w:w="2490" w:type="pct"/>
                  <w:vAlign w:val="center"/>
                </w:tcPr>
                <w:p w14:paraId="71E57E2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本工程不涉及生产安置和搬迁安置人口，无需移民搬迁。</w:t>
                  </w:r>
                </w:p>
              </w:tc>
              <w:tc>
                <w:tcPr>
                  <w:tcW w:w="410" w:type="pct"/>
                  <w:vAlign w:val="center"/>
                </w:tcPr>
                <w:p w14:paraId="5A3CD91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C0D2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2266DBB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9</w:t>
                  </w:r>
                </w:p>
              </w:tc>
              <w:tc>
                <w:tcPr>
                  <w:tcW w:w="1794" w:type="pct"/>
                  <w:vAlign w:val="center"/>
                </w:tcPr>
                <w:p w14:paraId="47AC2A8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环境风险：存在水污染、富营养化或外来物种入侵风险的，须提出针对性防范措施及应急预案。</w:t>
                  </w:r>
                </w:p>
              </w:tc>
              <w:tc>
                <w:tcPr>
                  <w:tcW w:w="2490" w:type="pct"/>
                  <w:vAlign w:val="center"/>
                </w:tcPr>
                <w:p w14:paraId="2388E48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①施工期风险物质为柴油（现场最大存量0.12t，Q值0.000048＜1），不设储油罐；②配备吸油毡、围油栏等应急物资，制定油品泄漏应急预案；③废水不外排，无富营养化及外来物种入侵风险。</w:t>
                  </w:r>
                </w:p>
              </w:tc>
              <w:tc>
                <w:tcPr>
                  <w:tcW w:w="410" w:type="pct"/>
                  <w:vAlign w:val="center"/>
                </w:tcPr>
                <w:p w14:paraId="31C5CFE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7C44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2801FCC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10</w:t>
                  </w:r>
                </w:p>
              </w:tc>
              <w:tc>
                <w:tcPr>
                  <w:tcW w:w="1794" w:type="pct"/>
                  <w:vAlign w:val="center"/>
                </w:tcPr>
                <w:p w14:paraId="520FE0C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改扩建项目：须梳理现有工程环境问题，提出“以新带老”措施。</w:t>
                  </w:r>
                </w:p>
              </w:tc>
              <w:tc>
                <w:tcPr>
                  <w:tcW w:w="2490" w:type="pct"/>
                  <w:vAlign w:val="center"/>
                </w:tcPr>
                <w:p w14:paraId="101F880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一期工程（4.2km）已依法办理环评及竣工环保验收，运营期无环境污染事件及遗留问题；本工程独立开展环评。</w:t>
                  </w:r>
                </w:p>
              </w:tc>
              <w:tc>
                <w:tcPr>
                  <w:tcW w:w="410" w:type="pct"/>
                  <w:vAlign w:val="center"/>
                </w:tcPr>
                <w:p w14:paraId="626F26B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BC69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B30D18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11</w:t>
                  </w:r>
                </w:p>
              </w:tc>
              <w:tc>
                <w:tcPr>
                  <w:tcW w:w="1794" w:type="pct"/>
                  <w:vAlign w:val="center"/>
                </w:tcPr>
                <w:p w14:paraId="6FA53CA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环境监测：按导则要求制定水环境、生态等监测计划，明确监测点位、因子、频次。</w:t>
                  </w:r>
                </w:p>
              </w:tc>
              <w:tc>
                <w:tcPr>
                  <w:tcW w:w="2490" w:type="pct"/>
                  <w:vAlign w:val="center"/>
                </w:tcPr>
                <w:p w14:paraId="71F3A3E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制定了施工期（大气、地表水、噪声各1次）及运营期（运行后前两年秋季监测植被恢复情况）监测计划。</w:t>
                  </w:r>
                </w:p>
              </w:tc>
              <w:tc>
                <w:tcPr>
                  <w:tcW w:w="410" w:type="pct"/>
                  <w:vAlign w:val="center"/>
                </w:tcPr>
                <w:p w14:paraId="79C3510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B383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01F390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12</w:t>
                  </w:r>
                </w:p>
              </w:tc>
              <w:tc>
                <w:tcPr>
                  <w:tcW w:w="1794" w:type="pct"/>
                  <w:vAlign w:val="center"/>
                </w:tcPr>
                <w:p w14:paraId="6BE7488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环保措施论证：环保措施须明确责任主体、投资、时间节点及预期效果。</w:t>
                  </w:r>
                </w:p>
              </w:tc>
              <w:tc>
                <w:tcPr>
                  <w:tcW w:w="2490" w:type="pct"/>
                  <w:vAlign w:val="center"/>
                </w:tcPr>
                <w:p w14:paraId="2578714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报告表明确了生态保护措施实施一览表（责任主体、时间、效果），环保投资127.5万元（占总投资的1.45%），专款专用。</w:t>
                  </w:r>
                </w:p>
              </w:tc>
              <w:tc>
                <w:tcPr>
                  <w:tcW w:w="410" w:type="pct"/>
                  <w:vAlign w:val="center"/>
                </w:tcPr>
                <w:p w14:paraId="029B4DB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5E9C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2FC9711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13</w:t>
                  </w:r>
                </w:p>
              </w:tc>
              <w:tc>
                <w:tcPr>
                  <w:tcW w:w="1794" w:type="pct"/>
                  <w:vAlign w:val="center"/>
                </w:tcPr>
                <w:p w14:paraId="58D6037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信息公开与公众参与：按规定开展信息公开和公众参与。</w:t>
                  </w:r>
                </w:p>
              </w:tc>
              <w:tc>
                <w:tcPr>
                  <w:tcW w:w="2490" w:type="pct"/>
                  <w:vAlign w:val="center"/>
                </w:tcPr>
                <w:p w14:paraId="231E7E7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报告表项目未强制要求开展公众参与，但建设单位应在报批前依法公开项目信息（需落实）。</w:t>
                  </w:r>
                </w:p>
              </w:tc>
              <w:tc>
                <w:tcPr>
                  <w:tcW w:w="410" w:type="pct"/>
                  <w:vAlign w:val="center"/>
                </w:tcPr>
                <w:p w14:paraId="3CBCEB2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基本符合</w:t>
                  </w:r>
                </w:p>
              </w:tc>
            </w:tr>
            <w:tr w14:paraId="2E529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2B36D38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14</w:t>
                  </w:r>
                </w:p>
              </w:tc>
              <w:tc>
                <w:tcPr>
                  <w:tcW w:w="1794" w:type="pct"/>
                  <w:vAlign w:val="center"/>
                </w:tcPr>
                <w:p w14:paraId="78B01A4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编制规范：环评文件须符合相关管理规定和技术标准。</w:t>
                  </w:r>
                </w:p>
              </w:tc>
              <w:tc>
                <w:tcPr>
                  <w:tcW w:w="2490" w:type="pct"/>
                  <w:vAlign w:val="center"/>
                </w:tcPr>
                <w:p w14:paraId="043C5EF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报告表按《建设项目环境影响报告表编制技术指南（生态影响类）》编制，内容完整、格式规范。</w:t>
                  </w:r>
                </w:p>
              </w:tc>
              <w:tc>
                <w:tcPr>
                  <w:tcW w:w="410" w:type="pct"/>
                  <w:vAlign w:val="center"/>
                </w:tcPr>
                <w:p w14:paraId="28D66B4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bl>
          <w:p w14:paraId="2CA14A61">
            <w:pPr>
              <w:pStyle w:val="149"/>
              <w:keepNext w:val="0"/>
              <w:keepLines w:val="0"/>
              <w:pageBreakBefore w:val="0"/>
              <w:widowControl w:val="0"/>
              <w:kinsoku/>
              <w:wordWrap/>
              <w:overflowPunct/>
              <w:topLinePunct w:val="0"/>
              <w:autoSpaceDE/>
              <w:autoSpaceDN/>
              <w:bidi w:val="0"/>
              <w:adjustRightInd/>
              <w:snapToGrid/>
              <w:spacing w:line="360" w:lineRule="auto"/>
              <w:ind w:left="0" w:firstLine="480" w:firstLineChars="200"/>
              <w:jc w:val="both"/>
              <w:textAlignment w:val="auto"/>
              <w:rPr>
                <w:rFonts w:hint="default" w:ascii="Times New Roman" w:hAnsi="Times New Roman" w:eastAsia="宋体" w:cs="Times New Roman"/>
                <w:color w:val="000000" w:themeColor="text1"/>
                <w:spacing w:val="-3"/>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综上，</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本项目在规划协调性、生态敏感区避让、水生态保护、陆生生态恢复、施工期污染防治及环境风险防控等方面，均满足《水利建设项目（河湖整治与防洪除涝工程）环境影响评价文件审批原则（试行）》的全部要求，从环境保护角度项目建设可行。</w:t>
            </w:r>
          </w:p>
          <w:p w14:paraId="1152A8CF">
            <w:pPr>
              <w:spacing w:line="360" w:lineRule="auto"/>
              <w:ind w:firstLine="482" w:firstLineChars="200"/>
              <w:rPr>
                <w:rFonts w:hint="default" w:ascii="Times New Roman" w:hAnsi="Times New Roman" w:eastAsia="宋体" w:cs="Times New Roman"/>
                <w:b/>
                <w:bCs/>
                <w:color w:val="000000" w:themeColor="text1"/>
                <w:kern w:val="0"/>
                <w:sz w:val="24"/>
                <w:lang w:val="en-US" w:eastAsia="zh-CN"/>
                <w14:textFill>
                  <w14:solidFill>
                    <w14:schemeClr w14:val="tx1"/>
                  </w14:solidFill>
                </w14:textFill>
              </w:rPr>
            </w:pPr>
          </w:p>
          <w:p w14:paraId="31DBAACA">
            <w:pPr>
              <w:spacing w:line="360" w:lineRule="auto"/>
              <w:ind w:firstLine="482" w:firstLineChars="200"/>
              <w:rPr>
                <w:rFonts w:hint="default" w:ascii="Times New Roman" w:hAnsi="Times New Roman" w:eastAsia="宋体" w:cs="Times New Roman"/>
                <w:b/>
                <w:bCs/>
                <w:color w:val="000000" w:themeColor="text1"/>
                <w:kern w:val="0"/>
                <w:sz w:val="24"/>
                <w14:textFill>
                  <w14:solidFill>
                    <w14:schemeClr w14:val="tx1"/>
                  </w14:solidFill>
                </w14:textFill>
              </w:rPr>
            </w:pPr>
            <w:r>
              <w:rPr>
                <w:rFonts w:hint="default" w:ascii="Times New Roman" w:hAnsi="Times New Roman" w:eastAsia="宋体" w:cs="Times New Roman"/>
                <w:b/>
                <w:bCs/>
                <w:color w:val="000000" w:themeColor="text1"/>
                <w:kern w:val="0"/>
                <w:sz w:val="24"/>
                <w:lang w:val="en-US" w:eastAsia="zh-CN"/>
                <w14:textFill>
                  <w14:solidFill>
                    <w14:schemeClr w14:val="tx1"/>
                  </w14:solidFill>
                </w14:textFill>
              </w:rPr>
              <w:t>3《新疆维吾尔自治区生态环境分区管控动态更新成果》（新环环评发[2024]157号）</w:t>
            </w:r>
            <w:r>
              <w:rPr>
                <w:rFonts w:hint="default" w:ascii="Times New Roman" w:hAnsi="Times New Roman" w:eastAsia="宋体" w:cs="Times New Roman"/>
                <w:b/>
                <w:bCs/>
                <w:color w:val="000000" w:themeColor="text1"/>
                <w:kern w:val="0"/>
                <w:sz w:val="24"/>
                <w14:textFill>
                  <w14:solidFill>
                    <w14:schemeClr w14:val="tx1"/>
                  </w14:solidFill>
                </w14:textFill>
              </w:rPr>
              <w:t>符合性分析</w:t>
            </w:r>
          </w:p>
          <w:p w14:paraId="5EFE0E7B">
            <w:pPr>
              <w:keepNext w:val="0"/>
              <w:keepLines w:val="0"/>
              <w:suppressLineNumbers w:val="0"/>
              <w:topLinePunct/>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新疆维吾尔自治区生态环境分区管控动态更新成果》生态分区管控，全区共划定1777个环境管控单元，分为优先保护单元、重点管控单元和一般管控单元，实施分类管控。全区重点管控单元713个，主要包括城镇建成区、工业园区和开发强度大、污染物排放强度高的工业聚集区等。重点管控单元要着力优化空间布局，不断提升资源利用效率，有针对性地加强污染物排放管控和环境风险防控，解决生态环境质量不达标、生态环境风险高等问题。</w:t>
            </w:r>
          </w:p>
          <w:p w14:paraId="712331E7">
            <w:pPr>
              <w:keepNext w:val="0"/>
              <w:keepLines w:val="0"/>
              <w:suppressLineNumbers w:val="0"/>
              <w:topLinePunct/>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对照《新疆维吾尔自治区生态环境分区管控动态更新成果》，本项目位于一般管控单元，莎车县境内部分单元编号ZH65312530001，单元名称为莎车县一般管控单元，麦盖提县境内部分单元编号ZH65312730001，单元名称为麦盖提县一般管控单元。生态环境分区管控方案符合性具体分析如表1-3。</w:t>
            </w:r>
          </w:p>
          <w:p w14:paraId="39EDE0FB">
            <w:pPr>
              <w:pStyle w:val="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t>表1-3与新疆维吾尔自治区环境管控相符性</w:t>
            </w:r>
          </w:p>
          <w:tbl>
            <w:tblPr>
              <w:tblStyle w:val="35"/>
              <w:tblW w:w="48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8"/>
              <w:gridCol w:w="2782"/>
              <w:gridCol w:w="3178"/>
              <w:gridCol w:w="475"/>
            </w:tblGrid>
            <w:tr w14:paraId="3FDA2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Align w:val="center"/>
                </w:tcPr>
                <w:p w14:paraId="141926D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管控维度</w:t>
                  </w:r>
                </w:p>
              </w:tc>
              <w:tc>
                <w:tcPr>
                  <w:tcW w:w="1884" w:type="pct"/>
                  <w:vAlign w:val="center"/>
                </w:tcPr>
                <w:p w14:paraId="4E41194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管控要求</w:t>
                  </w:r>
                </w:p>
              </w:tc>
              <w:tc>
                <w:tcPr>
                  <w:tcW w:w="2152" w:type="pct"/>
                  <w:vAlign w:val="center"/>
                </w:tcPr>
                <w:p w14:paraId="4F192D3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本项目情况</w:t>
                  </w:r>
                </w:p>
              </w:tc>
              <w:tc>
                <w:tcPr>
                  <w:tcW w:w="475" w:type="dxa"/>
                  <w:vAlign w:val="center"/>
                </w:tcPr>
                <w:p w14:paraId="1087A01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符合性</w:t>
                  </w:r>
                </w:p>
              </w:tc>
            </w:tr>
            <w:tr w14:paraId="763B6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3" w:type="dxa"/>
                  <w:gridSpan w:val="4"/>
                  <w:vAlign w:val="center"/>
                </w:tcPr>
                <w:p w14:paraId="1AE64C2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A1空间布局约束</w:t>
                  </w:r>
                </w:p>
              </w:tc>
            </w:tr>
            <w:tr w14:paraId="3B4FF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restart"/>
                  <w:vAlign w:val="center"/>
                </w:tcPr>
                <w:p w14:paraId="65394D6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A1.1禁止开发建设的活动</w:t>
                  </w:r>
                </w:p>
              </w:tc>
              <w:tc>
                <w:tcPr>
                  <w:tcW w:w="1884" w:type="pct"/>
                  <w:vAlign w:val="center"/>
                </w:tcPr>
                <w:p w14:paraId="37C4775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【A1.1-1】禁止新建、扩建《产业结构调整指导目录》中淘汰类项目。禁止引入《市场准入负面清单》禁止准入类事项。</w:t>
                  </w:r>
                </w:p>
              </w:tc>
              <w:tc>
                <w:tcPr>
                  <w:tcW w:w="2152" w:type="pct"/>
                  <w:vAlign w:val="center"/>
                </w:tcPr>
                <w:p w14:paraId="619CA39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属于《产业结构调整指导目录（2024年本）》“第一类鼓励类”中“二、水利—3.防洪提升工程”，不属于淘汰类、禁止类项目，不属于《市场准入负面清单（2022年版）》禁止准入类事项。</w:t>
                  </w:r>
                </w:p>
              </w:tc>
              <w:tc>
                <w:tcPr>
                  <w:tcW w:w="475" w:type="dxa"/>
                  <w:vAlign w:val="center"/>
                </w:tcPr>
                <w:p w14:paraId="2B7101E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E804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763929D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65C45E5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【A1.1-2】禁止建设不符合国家和自治区环境保护标准的项目。</w:t>
                  </w:r>
                </w:p>
              </w:tc>
              <w:tc>
                <w:tcPr>
                  <w:tcW w:w="2152" w:type="pct"/>
                  <w:vAlign w:val="center"/>
                </w:tcPr>
                <w:p w14:paraId="45A6096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本项目施工期各项污染物采取报告提出的污染防治措施后，可满足国家和自治区环境保护标准要求；运营期无污染物排放。</w:t>
                  </w:r>
                </w:p>
              </w:tc>
              <w:tc>
                <w:tcPr>
                  <w:tcW w:w="475" w:type="dxa"/>
                  <w:vAlign w:val="center"/>
                </w:tcPr>
                <w:p w14:paraId="06DDBA3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4746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4ADEA97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620B1DF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【A1.1-3】禁止在饮用水水源保护区、风景名胜区、自然保护区等禁养区建设畜禽养殖场。</w:t>
                  </w:r>
                </w:p>
              </w:tc>
              <w:tc>
                <w:tcPr>
                  <w:tcW w:w="2152" w:type="pct"/>
                  <w:vAlign w:val="center"/>
                </w:tcPr>
                <w:p w14:paraId="39C4DF3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本项目为防洪护岸工程，不涉及畜禽养殖。经核实，选址不涉及饮用水水源保护区、风景名胜区、自然保护区等禁养区域。</w:t>
                  </w:r>
                </w:p>
              </w:tc>
              <w:tc>
                <w:tcPr>
                  <w:tcW w:w="475" w:type="dxa"/>
                  <w:vAlign w:val="center"/>
                </w:tcPr>
                <w:p w14:paraId="05A4716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E839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4251C13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5463932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【A1.1-4】禁止在水源涵养区、饮用水源、自然保护区等生态敏感区内进行煤炭、石油、天然气开发。</w:t>
                  </w:r>
                </w:p>
              </w:tc>
              <w:tc>
                <w:tcPr>
                  <w:tcW w:w="2152" w:type="pct"/>
                  <w:vAlign w:val="center"/>
                </w:tcPr>
                <w:p w14:paraId="42BAC00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本项目不涉及煤炭、石油、天然气开发，选址不涉及水源涵养区、饮用水源、自然保护区等生态敏感区。</w:t>
                  </w:r>
                </w:p>
              </w:tc>
              <w:tc>
                <w:tcPr>
                  <w:tcW w:w="475" w:type="dxa"/>
                  <w:vAlign w:val="center"/>
                </w:tcPr>
                <w:p w14:paraId="5B5C4DF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AC24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5D95672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70C5012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【A1.1-5】禁止破坏湿地及其生态功能的行为。</w:t>
                  </w:r>
                </w:p>
              </w:tc>
              <w:tc>
                <w:tcPr>
                  <w:tcW w:w="2152" w:type="pct"/>
                  <w:vAlign w:val="center"/>
                </w:tcPr>
                <w:p w14:paraId="0F6EE14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本项目不涉及开（围）垦、排干自然湿地、填埋湿地、采砂取土等行为；施工废水处理后回用不外排，固废统一收集处置，施工结束后临时占地进行生态恢复。</w:t>
                  </w:r>
                </w:p>
              </w:tc>
              <w:tc>
                <w:tcPr>
                  <w:tcW w:w="475" w:type="dxa"/>
                  <w:vAlign w:val="center"/>
                </w:tcPr>
                <w:p w14:paraId="5DF81BA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6FA1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18E465B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5BB9F28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【A1.1-6】禁止引进高污染（排放）、高能（水）耗、高环境风险的工业项目。</w:t>
                  </w:r>
                </w:p>
              </w:tc>
              <w:tc>
                <w:tcPr>
                  <w:tcW w:w="2152" w:type="pct"/>
                  <w:vAlign w:val="center"/>
                </w:tcPr>
                <w:p w14:paraId="2FCDA6D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本项目为防洪护岸工程，属于水利基础设施，不属于工业项目。运营期无污染物排放、无能源消耗。</w:t>
                  </w:r>
                </w:p>
              </w:tc>
              <w:tc>
                <w:tcPr>
                  <w:tcW w:w="475" w:type="dxa"/>
                  <w:vAlign w:val="center"/>
                </w:tcPr>
                <w:p w14:paraId="3F438CE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848B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604FE58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0831C96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【A1.1-7】坚决遏制高耗能高排放低水平项目盲目发展。</w:t>
                  </w:r>
                </w:p>
              </w:tc>
              <w:tc>
                <w:tcPr>
                  <w:tcW w:w="2152" w:type="pct"/>
                  <w:vAlign w:val="center"/>
                </w:tcPr>
                <w:p w14:paraId="439E6A2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本项目不属于高耗能高排放低水平项目，不涉及重污染天气绩效分级、重点行业深度治理等管控内容。</w:t>
                  </w:r>
                </w:p>
              </w:tc>
              <w:tc>
                <w:tcPr>
                  <w:tcW w:w="475" w:type="dxa"/>
                  <w:vAlign w:val="center"/>
                </w:tcPr>
                <w:p w14:paraId="77E2D97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089B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67761E8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143FB02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【A1.1-8】严格执行危险化学品“禁限控”目录，新建危险化学品生产项目必须进入化工园区。</w:t>
                  </w:r>
                </w:p>
              </w:tc>
              <w:tc>
                <w:tcPr>
                  <w:tcW w:w="2152" w:type="pct"/>
                  <w:vAlign w:val="center"/>
                </w:tcPr>
                <w:p w14:paraId="53E0B92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本项目不涉及危险化学品生产。施工期使用的柴油即买即用，现场不储存。</w:t>
                  </w:r>
                </w:p>
              </w:tc>
              <w:tc>
                <w:tcPr>
                  <w:tcW w:w="475" w:type="dxa"/>
                  <w:vAlign w:val="center"/>
                </w:tcPr>
                <w:p w14:paraId="6B4F1D4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652C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3372942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0AB3E94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【A1.1-9】严禁新建禁止类危险化学品化工项目；禁止化工项目违规占用生态保护红线和永久基本农田。</w:t>
                  </w:r>
                </w:p>
              </w:tc>
              <w:tc>
                <w:tcPr>
                  <w:tcW w:w="2152" w:type="pct"/>
                  <w:vAlign w:val="center"/>
                </w:tcPr>
                <w:p w14:paraId="3F076AC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本项目不属于化工项目，不占用生态保护红线和永久基本农田。</w:t>
                  </w:r>
                </w:p>
              </w:tc>
              <w:tc>
                <w:tcPr>
                  <w:tcW w:w="475" w:type="dxa"/>
                  <w:vAlign w:val="center"/>
                </w:tcPr>
                <w:p w14:paraId="21C9166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7855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636E8AA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7740F8B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【A1.1-10】禁止新建用汞的电石法（聚）氯乙烯生产工艺。</w:t>
                  </w:r>
                </w:p>
              </w:tc>
              <w:tc>
                <w:tcPr>
                  <w:tcW w:w="2152" w:type="pct"/>
                  <w:vAlign w:val="center"/>
                </w:tcPr>
                <w:p w14:paraId="7000525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本项目不涉及氯乙烯生产，不涉及重金属排放。</w:t>
                  </w:r>
                </w:p>
              </w:tc>
              <w:tc>
                <w:tcPr>
                  <w:tcW w:w="475" w:type="dxa"/>
                  <w:vAlign w:val="center"/>
                </w:tcPr>
                <w:p w14:paraId="28C1176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0FA2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Merge w:val="continue"/>
                  <w:vAlign w:val="center"/>
                </w:tcPr>
                <w:p w14:paraId="61D65DB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71F933F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【A1.1-11】建立健全青藏高原雪山冰川冻土保护制度。</w:t>
                  </w:r>
                </w:p>
              </w:tc>
              <w:tc>
                <w:tcPr>
                  <w:tcW w:w="2152" w:type="pct"/>
                  <w:vAlign w:val="center"/>
                </w:tcPr>
                <w:p w14:paraId="78F903B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本项目位于新疆喀什地区叶尔羌河平原区，不涉及青藏高原雪山冰川冻土区域。</w:t>
                  </w:r>
                </w:p>
              </w:tc>
              <w:tc>
                <w:tcPr>
                  <w:tcW w:w="475" w:type="dxa"/>
                  <w:vAlign w:val="center"/>
                </w:tcPr>
                <w:p w14:paraId="122BC19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4EA5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restart"/>
                  <w:vAlign w:val="center"/>
                </w:tcPr>
                <w:p w14:paraId="13F95EA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A1.2限制开发建设的活动</w:t>
                  </w:r>
                </w:p>
              </w:tc>
              <w:tc>
                <w:tcPr>
                  <w:tcW w:w="1884" w:type="pct"/>
                  <w:vAlign w:val="center"/>
                </w:tcPr>
                <w:p w14:paraId="7BF4E0F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【A1.2-1】严格控制缺水地区、水污染严重区域高耗水、高污染行业发展。</w:t>
                  </w:r>
                </w:p>
              </w:tc>
              <w:tc>
                <w:tcPr>
                  <w:tcW w:w="2152" w:type="pct"/>
                  <w:vAlign w:val="center"/>
                </w:tcPr>
                <w:p w14:paraId="51EBC73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本项目位于缺水地区（新疆喀什），但本项目为防洪工程，运营期不消耗水资源，不属于高耗水、高污染行业。施工期生产用水优先抽取河水，用水量小（2183m³），施工期仅97天。</w:t>
                  </w:r>
                </w:p>
              </w:tc>
              <w:tc>
                <w:tcPr>
                  <w:tcW w:w="475" w:type="dxa"/>
                  <w:vAlign w:val="center"/>
                </w:tcPr>
                <w:p w14:paraId="44A64DA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764B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460DACD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09C1198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【A1.2-2】建设项目用地原则上不得占用永久基本农田，确需占用的须符合相关规定。</w:t>
                  </w:r>
                </w:p>
              </w:tc>
              <w:tc>
                <w:tcPr>
                  <w:tcW w:w="2152" w:type="pct"/>
                  <w:vAlign w:val="center"/>
                </w:tcPr>
                <w:p w14:paraId="757D363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经自然资源部门核实，本项目永久及临时占地范围内不涉及永久基本农田。占用耕地按标准进行补偿（已列入征地补偿费用1035.40万元）。</w:t>
                  </w:r>
                </w:p>
              </w:tc>
              <w:tc>
                <w:tcPr>
                  <w:tcW w:w="475" w:type="dxa"/>
                  <w:vAlign w:val="center"/>
                </w:tcPr>
                <w:p w14:paraId="6B14FD9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B88C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5FCDC27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230C2AC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【A1.2-3】严格建设用地准入管理和风险管控。</w:t>
                  </w:r>
                </w:p>
              </w:tc>
              <w:tc>
                <w:tcPr>
                  <w:tcW w:w="2152" w:type="pct"/>
                  <w:vAlign w:val="center"/>
                </w:tcPr>
                <w:p w14:paraId="1935A8A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本项目不涉及用途变更为住宅、公共管理与公共服务用地。施工期采取表土剥离、防渗等土壤保护措施。</w:t>
                  </w:r>
                </w:p>
              </w:tc>
              <w:tc>
                <w:tcPr>
                  <w:tcW w:w="475" w:type="dxa"/>
                  <w:vAlign w:val="center"/>
                </w:tcPr>
                <w:p w14:paraId="7B9BB4A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4E9D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5449DD8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0C94D74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【A1.2-4】严格控制建设项目占用湿地。</w:t>
                  </w:r>
                </w:p>
              </w:tc>
              <w:tc>
                <w:tcPr>
                  <w:tcW w:w="2152" w:type="pct"/>
                  <w:vAlign w:val="center"/>
                </w:tcPr>
                <w:p w14:paraId="56912F0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本项目不涉及湿地占用，工程区无湿地分布。</w:t>
                  </w:r>
                </w:p>
              </w:tc>
              <w:tc>
                <w:tcPr>
                  <w:tcW w:w="475" w:type="dxa"/>
                  <w:vAlign w:val="center"/>
                </w:tcPr>
                <w:p w14:paraId="07C42DF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3323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1A246A6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541C0A1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【A1.2-5】严格管控自然保护地范围内非生态活动。</w:t>
                  </w:r>
                </w:p>
              </w:tc>
              <w:tc>
                <w:tcPr>
                  <w:tcW w:w="2152" w:type="pct"/>
                  <w:vAlign w:val="center"/>
                </w:tcPr>
                <w:p w14:paraId="18A4C9E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本项目不涉及自然保护地。</w:t>
                  </w:r>
                </w:p>
              </w:tc>
              <w:tc>
                <w:tcPr>
                  <w:tcW w:w="475" w:type="dxa"/>
                  <w:vAlign w:val="center"/>
                </w:tcPr>
                <w:p w14:paraId="6DCBCF5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765B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restart"/>
                  <w:vAlign w:val="center"/>
                </w:tcPr>
                <w:p w14:paraId="4C2F6FD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A1.3不符合空间布局要求活动的退出要求</w:t>
                  </w:r>
                </w:p>
              </w:tc>
              <w:tc>
                <w:tcPr>
                  <w:tcW w:w="1884" w:type="pct"/>
                  <w:vAlign w:val="center"/>
                </w:tcPr>
                <w:p w14:paraId="3949F63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【A1.3-1】不得在水源涵养区、饮用水水源保护区内建设重化工、涉重金属等工业污染项目。</w:t>
                  </w:r>
                </w:p>
              </w:tc>
              <w:tc>
                <w:tcPr>
                  <w:tcW w:w="2152" w:type="pct"/>
                  <w:vAlign w:val="center"/>
                </w:tcPr>
                <w:p w14:paraId="051B274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本项目不属于工业污染项目，选址不涉及水源涵养区、饮用水水源保护区。</w:t>
                  </w:r>
                </w:p>
              </w:tc>
              <w:tc>
                <w:tcPr>
                  <w:tcW w:w="475" w:type="dxa"/>
                  <w:vAlign w:val="center"/>
                </w:tcPr>
                <w:p w14:paraId="1BA02F3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99AC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3A8E8BD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2BE297C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【A1.3-2】对不符合国家产业政策、严重污染水环境的生产项目全部予以取缔。</w:t>
                  </w:r>
                </w:p>
              </w:tc>
              <w:tc>
                <w:tcPr>
                  <w:tcW w:w="2152" w:type="pct"/>
                  <w:vAlign w:val="center"/>
                </w:tcPr>
                <w:p w14:paraId="41DFCA8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本项目符合国家产业政策（鼓励类），施工期废水处理后回用不外排，运营期无废水排放，不属于严重污染水环境的生产项目。</w:t>
                  </w:r>
                </w:p>
              </w:tc>
              <w:tc>
                <w:tcPr>
                  <w:tcW w:w="475" w:type="dxa"/>
                  <w:vAlign w:val="center"/>
                </w:tcPr>
                <w:p w14:paraId="7AE09E1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976D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0565111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588B67F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【A1.3-3】依法淘汰涉重金属落后产能和化解过剩产能。</w:t>
                  </w:r>
                </w:p>
              </w:tc>
              <w:tc>
                <w:tcPr>
                  <w:tcW w:w="2152" w:type="pct"/>
                  <w:vAlign w:val="center"/>
                </w:tcPr>
                <w:p w14:paraId="667A40C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本项目不涉及重金属排放，不属于落后产能。</w:t>
                  </w:r>
                </w:p>
              </w:tc>
              <w:tc>
                <w:tcPr>
                  <w:tcW w:w="475" w:type="dxa"/>
                  <w:vAlign w:val="center"/>
                </w:tcPr>
                <w:p w14:paraId="425BD96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3DAC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0A2C79B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171A728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【A1.3-4】城市建成区、重点流域内已建成投产化工企业应加快退城入园。</w:t>
                  </w:r>
                </w:p>
              </w:tc>
              <w:tc>
                <w:tcPr>
                  <w:tcW w:w="2152" w:type="pct"/>
                  <w:vAlign w:val="center"/>
                </w:tcPr>
                <w:p w14:paraId="1FE59DE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本项目不属于化工企业。</w:t>
                  </w:r>
                </w:p>
              </w:tc>
              <w:tc>
                <w:tcPr>
                  <w:tcW w:w="475" w:type="dxa"/>
                  <w:vAlign w:val="center"/>
                </w:tcPr>
                <w:p w14:paraId="7ADE9EC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E4E6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restart"/>
                  <w:vAlign w:val="center"/>
                </w:tcPr>
                <w:p w14:paraId="75DB5A0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A1.4其它布局要求</w:t>
                  </w:r>
                </w:p>
              </w:tc>
              <w:tc>
                <w:tcPr>
                  <w:tcW w:w="1884" w:type="pct"/>
                  <w:vAlign w:val="center"/>
                </w:tcPr>
                <w:p w14:paraId="2EDC2B2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【A1.4-1】一切开发建设活动应符合国家、自治区主体功能区规划等相关规划要求。</w:t>
                  </w:r>
                </w:p>
              </w:tc>
              <w:tc>
                <w:tcPr>
                  <w:tcW w:w="2152" w:type="pct"/>
                  <w:vAlign w:val="center"/>
                </w:tcPr>
                <w:p w14:paraId="1AECA6B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本项目符合《新疆维吾尔自治区主体功能区规划》《新疆生态功能区划》《喀什地区“十四五”规划》等相关规划要求，不涉及重点生态功能区负面清单。</w:t>
                  </w:r>
                </w:p>
              </w:tc>
              <w:tc>
                <w:tcPr>
                  <w:tcW w:w="475" w:type="dxa"/>
                  <w:vAlign w:val="center"/>
                </w:tcPr>
                <w:p w14:paraId="2E8ADEF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5BF1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41F61C7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79E6430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【A1.4-2】新建、扩建石化、化工等项目应布设在依法合规设立并经规划环评的产业园区。</w:t>
                  </w:r>
                </w:p>
              </w:tc>
              <w:tc>
                <w:tcPr>
                  <w:tcW w:w="2152" w:type="pct"/>
                  <w:vAlign w:val="center"/>
                </w:tcPr>
                <w:p w14:paraId="2D4AA07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本项目不属于石化、化工等项目。</w:t>
                  </w:r>
                </w:p>
              </w:tc>
              <w:tc>
                <w:tcPr>
                  <w:tcW w:w="475" w:type="dxa"/>
                  <w:vAlign w:val="center"/>
                </w:tcPr>
                <w:p w14:paraId="7E0DCA3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C73B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54C4F99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496F1E4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【A1.4-3】危险化学品生产企业搬迁改造及新建化工项目必须进入工业园区。</w:t>
                  </w:r>
                </w:p>
              </w:tc>
              <w:tc>
                <w:tcPr>
                  <w:tcW w:w="2152" w:type="pct"/>
                  <w:vAlign w:val="center"/>
                </w:tcPr>
                <w:p w14:paraId="4917D76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本项目不涉及危险化学品生产。</w:t>
                  </w:r>
                </w:p>
              </w:tc>
              <w:tc>
                <w:tcPr>
                  <w:tcW w:w="475" w:type="dxa"/>
                  <w:vAlign w:val="center"/>
                </w:tcPr>
                <w:p w14:paraId="0832607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412E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14:paraId="3AD23BF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A2污染物排放管控</w:t>
                  </w:r>
                </w:p>
              </w:tc>
            </w:tr>
            <w:tr w14:paraId="0A9D3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restart"/>
                  <w:vAlign w:val="center"/>
                </w:tcPr>
                <w:p w14:paraId="7290F52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A2.1污染物削减/替代要求</w:t>
                  </w:r>
                </w:p>
              </w:tc>
              <w:tc>
                <w:tcPr>
                  <w:tcW w:w="1884" w:type="pct"/>
                  <w:vAlign w:val="center"/>
                </w:tcPr>
                <w:p w14:paraId="27BCA04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【A2.1-1】新、改、扩建重点行业建设项目应符合“三线一单”、产业政策、区域环评等要求。</w:t>
                  </w:r>
                </w:p>
              </w:tc>
              <w:tc>
                <w:tcPr>
                  <w:tcW w:w="2152" w:type="pct"/>
                  <w:vAlign w:val="center"/>
                </w:tcPr>
                <w:p w14:paraId="7669356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本项目为防洪工程，不属于重点行业。本项目建设符合喀什地区“三线一单”管控要求及国家产业政策。</w:t>
                  </w:r>
                </w:p>
              </w:tc>
              <w:tc>
                <w:tcPr>
                  <w:tcW w:w="475" w:type="dxa"/>
                  <w:vAlign w:val="center"/>
                </w:tcPr>
                <w:p w14:paraId="585E8CC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2F79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03ADA53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06472A2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【A2.1-2】以石化、化工、涂装等行业为重点，推进挥发性有机物综合治理。</w:t>
                  </w:r>
                </w:p>
              </w:tc>
              <w:tc>
                <w:tcPr>
                  <w:tcW w:w="2152" w:type="pct"/>
                  <w:vAlign w:val="center"/>
                </w:tcPr>
                <w:p w14:paraId="2A4C57C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本项目不涉及挥发性有机物排放。施工期仅少量施工机械燃油尾气（无组织排放），不涉及VOCs综合治理。</w:t>
                  </w:r>
                </w:p>
              </w:tc>
              <w:tc>
                <w:tcPr>
                  <w:tcW w:w="475" w:type="dxa"/>
                  <w:vAlign w:val="center"/>
                </w:tcPr>
                <w:p w14:paraId="15FCCA6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6901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09D2B01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5685ABB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【A2.1-3】促进大气污染物与温室气体协同控制。</w:t>
                  </w:r>
                </w:p>
              </w:tc>
              <w:tc>
                <w:tcPr>
                  <w:tcW w:w="2152" w:type="pct"/>
                  <w:vAlign w:val="center"/>
                </w:tcPr>
                <w:p w14:paraId="1F5E903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本项目运营期无大气污染物排放；施工期排放量小、周期短（97天），不涉及减污降碳协同控制的重点行业。</w:t>
                  </w:r>
                </w:p>
              </w:tc>
              <w:tc>
                <w:tcPr>
                  <w:tcW w:w="475" w:type="dxa"/>
                  <w:vAlign w:val="center"/>
                </w:tcPr>
                <w:p w14:paraId="58FC11F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354A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029DB2F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0F770D1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【A2.1-4】严控建材、铸造、冶炼等行业无组织排放。</w:t>
                  </w:r>
                </w:p>
              </w:tc>
              <w:tc>
                <w:tcPr>
                  <w:tcW w:w="2152" w:type="pct"/>
                  <w:vAlign w:val="center"/>
                </w:tcPr>
                <w:p w14:paraId="7655367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本项目不属于建材、铸造、冶炼等行业。施工期扬尘采取围挡、洒水、防尘网覆盖等无组织排放控制措施。</w:t>
                  </w:r>
                </w:p>
              </w:tc>
              <w:tc>
                <w:tcPr>
                  <w:tcW w:w="475" w:type="dxa"/>
                  <w:vAlign w:val="center"/>
                </w:tcPr>
                <w:p w14:paraId="57BE681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2EFD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restart"/>
                  <w:vAlign w:val="center"/>
                </w:tcPr>
                <w:p w14:paraId="057AE8C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A2.2污染控制措施要求</w:t>
                  </w:r>
                </w:p>
              </w:tc>
              <w:tc>
                <w:tcPr>
                  <w:tcW w:w="1884" w:type="pct"/>
                  <w:vAlign w:val="center"/>
                </w:tcPr>
                <w:p w14:paraId="6F2309E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【A2.2-1】推动重点领域技术升级，控制工业过程温室气体排放。</w:t>
                  </w:r>
                </w:p>
              </w:tc>
              <w:tc>
                <w:tcPr>
                  <w:tcW w:w="2152" w:type="pct"/>
                  <w:vAlign w:val="center"/>
                </w:tcPr>
                <w:p w14:paraId="51B6E71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本项目不属于工业项目，不涉及工业过程温室气体排放。</w:t>
                  </w:r>
                </w:p>
              </w:tc>
              <w:tc>
                <w:tcPr>
                  <w:tcW w:w="475" w:type="dxa"/>
                  <w:vAlign w:val="center"/>
                </w:tcPr>
                <w:p w14:paraId="36187C0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356E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4675803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699B6B2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【A2.2-2】实施重点行业氮氧化物等污染物深度治理。</w:t>
                  </w:r>
                </w:p>
              </w:tc>
              <w:tc>
                <w:tcPr>
                  <w:tcW w:w="2152" w:type="pct"/>
                  <w:vAlign w:val="center"/>
                </w:tcPr>
                <w:p w14:paraId="058AEC9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本项目不属于重点行业。施工期机械尾气排放量小，通过选用符合排放标准的设备、定期维护等措施控制。</w:t>
                  </w:r>
                </w:p>
              </w:tc>
              <w:tc>
                <w:tcPr>
                  <w:tcW w:w="475" w:type="dxa"/>
                  <w:vAlign w:val="center"/>
                </w:tcPr>
                <w:p w14:paraId="5F21A83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A057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0F74072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0C649BE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【A2.2-3】强化重点区域大气污染联防联控。</w:t>
                  </w:r>
                </w:p>
              </w:tc>
              <w:tc>
                <w:tcPr>
                  <w:tcW w:w="2152" w:type="pct"/>
                  <w:vAlign w:val="center"/>
                </w:tcPr>
                <w:p w14:paraId="6FCD869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本项目位于喀什地区，施工期扬尘采取围挡、洒水（每日≥4次）、四级以上大风停止土方作业等措施，符合绿色施工要求。</w:t>
                  </w:r>
                </w:p>
              </w:tc>
              <w:tc>
                <w:tcPr>
                  <w:tcW w:w="475" w:type="dxa"/>
                  <w:vAlign w:val="center"/>
                </w:tcPr>
                <w:p w14:paraId="284F4AE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D075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596D3E7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76EC9CE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【A2.2-4】强化用水定额管理，推进地下水超采综合治理。</w:t>
                  </w:r>
                </w:p>
              </w:tc>
              <w:tc>
                <w:tcPr>
                  <w:tcW w:w="2152" w:type="pct"/>
                  <w:vAlign w:val="center"/>
                </w:tcPr>
                <w:p w14:paraId="6BE1430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本项目运营期不消耗水资源，不取用地下水。施工期生活用水从附近居民点拉运，生产用水优先抽取河水，不取用地下水。</w:t>
                  </w:r>
                </w:p>
              </w:tc>
              <w:tc>
                <w:tcPr>
                  <w:tcW w:w="475" w:type="dxa"/>
                  <w:vAlign w:val="center"/>
                </w:tcPr>
                <w:p w14:paraId="42FBE26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441B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40192D1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2DD3618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【A2.2-5】持续推进重点流域生态治理，加强生态修复。</w:t>
                  </w:r>
                </w:p>
              </w:tc>
              <w:tc>
                <w:tcPr>
                  <w:tcW w:w="2152" w:type="pct"/>
                  <w:vAlign w:val="center"/>
                </w:tcPr>
                <w:p w14:paraId="5BC49C5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本项目为叶尔羌河防洪护岸工程，建成后可有效减少河岸冲刷和水土流失，对流域生态治理具有积极作用。</w:t>
                  </w:r>
                </w:p>
              </w:tc>
              <w:tc>
                <w:tcPr>
                  <w:tcW w:w="475" w:type="dxa"/>
                  <w:vAlign w:val="center"/>
                </w:tcPr>
                <w:p w14:paraId="70E033A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4E13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25B9D18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6C4247A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【A2.2-6】推进地表水与地下水协同防治。</w:t>
                  </w:r>
                </w:p>
              </w:tc>
              <w:tc>
                <w:tcPr>
                  <w:tcW w:w="2152" w:type="pct"/>
                  <w:vAlign w:val="center"/>
                </w:tcPr>
                <w:p w14:paraId="30F931B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施工期隔油沉淀池、化粪池等均采取防渗措施（等效黏土防渗层Mb≥1.5m，K≤1.0×10⁻⁷cm/s），防止污染物下渗污染地下水。</w:t>
                  </w:r>
                </w:p>
              </w:tc>
              <w:tc>
                <w:tcPr>
                  <w:tcW w:w="475" w:type="dxa"/>
                  <w:vAlign w:val="center"/>
                </w:tcPr>
                <w:p w14:paraId="3C2C654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90A4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0EF5234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6F1DAC0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【A2.2-7】强化重点区域地下水环境风险管控。</w:t>
                  </w:r>
                </w:p>
              </w:tc>
              <w:tc>
                <w:tcPr>
                  <w:tcW w:w="2152" w:type="pct"/>
                  <w:vAlign w:val="center"/>
                </w:tcPr>
                <w:p w14:paraId="4D5F132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本项目不涉及化学品生产企业、工业集聚区、尾矿库等地下水污染源。施工期机械油品泄漏配备吸油毡等应急物资，防止油品下渗。</w:t>
                  </w:r>
                </w:p>
              </w:tc>
              <w:tc>
                <w:tcPr>
                  <w:tcW w:w="475" w:type="dxa"/>
                  <w:vAlign w:val="center"/>
                </w:tcPr>
                <w:p w14:paraId="5EB2C4B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B62E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0DE37EE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6735D2C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【A2.2-8】严控土壤重金属污染。</w:t>
                  </w:r>
                </w:p>
              </w:tc>
              <w:tc>
                <w:tcPr>
                  <w:tcW w:w="2152" w:type="pct"/>
                  <w:vAlign w:val="center"/>
                </w:tcPr>
                <w:p w14:paraId="3EB5215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本项目不涉及重金属排放。土壤现状监测显示，项目区土壤重金属含量均低于相关标准限值。</w:t>
                  </w:r>
                </w:p>
              </w:tc>
              <w:tc>
                <w:tcPr>
                  <w:tcW w:w="475" w:type="dxa"/>
                  <w:vAlign w:val="center"/>
                </w:tcPr>
                <w:p w14:paraId="2DA92FD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5ED5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600C4DA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302B245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【A2.2-9】加强种植业污染防治。</w:t>
                  </w:r>
                </w:p>
              </w:tc>
              <w:tc>
                <w:tcPr>
                  <w:tcW w:w="2152" w:type="pct"/>
                  <w:vAlign w:val="center"/>
                </w:tcPr>
                <w:p w14:paraId="6A66E9B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本项目不涉及种植业。临时占用的耕地施工结束后恢复为耕地，不影响下季耕种。</w:t>
                  </w:r>
                </w:p>
              </w:tc>
              <w:tc>
                <w:tcPr>
                  <w:tcW w:w="475" w:type="dxa"/>
                  <w:vAlign w:val="center"/>
                </w:tcPr>
                <w:p w14:paraId="495D3C1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7F4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14:paraId="20AD2BA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A3环境风险防控</w:t>
                  </w:r>
                </w:p>
              </w:tc>
            </w:tr>
            <w:tr w14:paraId="2FBBB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restart"/>
                  <w:vAlign w:val="center"/>
                </w:tcPr>
                <w:p w14:paraId="0661571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A3.1人居环境要求</w:t>
                  </w:r>
                </w:p>
              </w:tc>
              <w:tc>
                <w:tcPr>
                  <w:tcW w:w="1884" w:type="pct"/>
                  <w:vAlign w:val="center"/>
                </w:tcPr>
                <w:p w14:paraId="1FB4DE8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【A3.1-1】建立重污染天气兵地联合应急预案和会商联动机制。</w:t>
                  </w:r>
                </w:p>
              </w:tc>
              <w:tc>
                <w:tcPr>
                  <w:tcW w:w="2152" w:type="pct"/>
                  <w:vAlign w:val="center"/>
                </w:tcPr>
                <w:p w14:paraId="29A8E9A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本项目不涉及重污染天气应对。施工期如遇重污染天气预警，将停止土方作业。</w:t>
                  </w:r>
                </w:p>
              </w:tc>
              <w:tc>
                <w:tcPr>
                  <w:tcW w:w="475" w:type="dxa"/>
                  <w:vAlign w:val="center"/>
                </w:tcPr>
                <w:p w14:paraId="66F502C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DFF6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31BD84F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4FF9F55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【A3.1-2】建立健全流域上下游突发水污染事件联防联动机制。</w:t>
                  </w:r>
                </w:p>
              </w:tc>
              <w:tc>
                <w:tcPr>
                  <w:tcW w:w="2152" w:type="pct"/>
                  <w:vAlign w:val="center"/>
                </w:tcPr>
                <w:p w14:paraId="4B18115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施工期基坑排水经沉淀池沉淀后排入河道（主要污染物为悬浮物），无有毒有害物质。制定油品泄漏应急预案，配备吸油毡等应急物资。</w:t>
                  </w:r>
                </w:p>
              </w:tc>
              <w:tc>
                <w:tcPr>
                  <w:tcW w:w="475" w:type="dxa"/>
                  <w:vAlign w:val="center"/>
                </w:tcPr>
                <w:p w14:paraId="34C5161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B88A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7256FDE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7F8EB39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【A3.1-3】强化重污染天气监测预报预警能力。</w:t>
                  </w:r>
                </w:p>
              </w:tc>
              <w:tc>
                <w:tcPr>
                  <w:tcW w:w="2152" w:type="pct"/>
                  <w:vAlign w:val="center"/>
                </w:tcPr>
                <w:p w14:paraId="1AF5FF8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w:t>
                  </w:r>
                </w:p>
              </w:tc>
              <w:tc>
                <w:tcPr>
                  <w:tcW w:w="475" w:type="dxa"/>
                  <w:vAlign w:val="center"/>
                </w:tcPr>
                <w:p w14:paraId="221B632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F6E4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restart"/>
                  <w:vAlign w:val="center"/>
                </w:tcPr>
                <w:p w14:paraId="4577802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A3.2联防联控要求</w:t>
                  </w:r>
                </w:p>
              </w:tc>
              <w:tc>
                <w:tcPr>
                  <w:tcW w:w="1884" w:type="pct"/>
                  <w:vAlign w:val="center"/>
                </w:tcPr>
                <w:p w14:paraId="1831B35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【A3.2-1】提升饮用水安全保障水平。</w:t>
                  </w:r>
                </w:p>
              </w:tc>
              <w:tc>
                <w:tcPr>
                  <w:tcW w:w="2152" w:type="pct"/>
                  <w:vAlign w:val="center"/>
                </w:tcPr>
                <w:p w14:paraId="700511E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本项目不涉及饮用水水源保护区。施工期废水不外排，不影响下游饮用水安全。</w:t>
                  </w:r>
                </w:p>
              </w:tc>
              <w:tc>
                <w:tcPr>
                  <w:tcW w:w="475" w:type="dxa"/>
                  <w:vAlign w:val="center"/>
                </w:tcPr>
                <w:p w14:paraId="0C17BF8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D07A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3AD73ED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18F3229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【A3.2-2】依法推行农用地分类管理制度。</w:t>
                  </w:r>
                </w:p>
              </w:tc>
              <w:tc>
                <w:tcPr>
                  <w:tcW w:w="2152" w:type="pct"/>
                  <w:vAlign w:val="center"/>
                </w:tcPr>
                <w:p w14:paraId="505139B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临时占用的4.01公顷耕地施工结束后全部恢复为耕地，不影响农用地分类管理。</w:t>
                  </w:r>
                </w:p>
              </w:tc>
              <w:tc>
                <w:tcPr>
                  <w:tcW w:w="475" w:type="dxa"/>
                  <w:vAlign w:val="center"/>
                </w:tcPr>
                <w:p w14:paraId="77E5080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3449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350A33A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3F8DDF9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【A3.2-3】加强新污染物多环境介质协同治理。</w:t>
                  </w:r>
                </w:p>
              </w:tc>
              <w:tc>
                <w:tcPr>
                  <w:tcW w:w="2152" w:type="pct"/>
                  <w:vAlign w:val="center"/>
                </w:tcPr>
                <w:p w14:paraId="130069B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本项目不涉及重点管控新污染物的排放。</w:t>
                  </w:r>
                </w:p>
              </w:tc>
              <w:tc>
                <w:tcPr>
                  <w:tcW w:w="475" w:type="dxa"/>
                  <w:vAlign w:val="center"/>
                </w:tcPr>
                <w:p w14:paraId="56ADE6C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B1A3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5CF92DF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6A4CCAC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【A3.2-4】加强环境风险预警防控。</w:t>
                  </w:r>
                </w:p>
              </w:tc>
              <w:tc>
                <w:tcPr>
                  <w:tcW w:w="2152" w:type="pct"/>
                  <w:vAlign w:val="center"/>
                </w:tcPr>
                <w:p w14:paraId="484050A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施工期油品泄漏环境风险潜势为Ⅰ级（Q=0.000048＜1），配备吸油毡、围油栏、应急桶等物资，建立环境风险应急管理机制。</w:t>
                  </w:r>
                </w:p>
              </w:tc>
              <w:tc>
                <w:tcPr>
                  <w:tcW w:w="475" w:type="dxa"/>
                  <w:vAlign w:val="center"/>
                </w:tcPr>
                <w:p w14:paraId="2AD7EFF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E9D4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26C7212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7BB60EA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【A3.2-5】强化生态环境应急管理。</w:t>
                  </w:r>
                </w:p>
              </w:tc>
              <w:tc>
                <w:tcPr>
                  <w:tcW w:w="2152" w:type="pct"/>
                  <w:vAlign w:val="center"/>
                </w:tcPr>
                <w:p w14:paraId="26C4CD2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施工期制定油品泄漏应急预案，施工结束后拆除所有临时设施并恢复场地，无长期环境风险源。</w:t>
                  </w:r>
                </w:p>
              </w:tc>
              <w:tc>
                <w:tcPr>
                  <w:tcW w:w="475" w:type="dxa"/>
                  <w:vAlign w:val="center"/>
                </w:tcPr>
                <w:p w14:paraId="5CD4CA9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63BA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36356D4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6853C37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【A3.2-6】强化兵地联防联控联治。</w:t>
                  </w:r>
                </w:p>
              </w:tc>
              <w:tc>
                <w:tcPr>
                  <w:tcW w:w="2152" w:type="pct"/>
                  <w:vAlign w:val="center"/>
                </w:tcPr>
                <w:p w14:paraId="2E58BBA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本项目位于喀什地区莎车县和麦盖提县，不涉及兵团区域，无兵地联防要求。</w:t>
                  </w:r>
                </w:p>
              </w:tc>
              <w:tc>
                <w:tcPr>
                  <w:tcW w:w="475" w:type="dxa"/>
                  <w:vAlign w:val="center"/>
                </w:tcPr>
                <w:p w14:paraId="21AC752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4C4D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14:paraId="053A410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A4资源利用要求</w:t>
                  </w:r>
                </w:p>
              </w:tc>
            </w:tr>
            <w:tr w14:paraId="3901A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restart"/>
                  <w:vAlign w:val="center"/>
                </w:tcPr>
                <w:p w14:paraId="71221B8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A4.1水资源</w:t>
                  </w:r>
                </w:p>
              </w:tc>
              <w:tc>
                <w:tcPr>
                  <w:tcW w:w="1884" w:type="pct"/>
                  <w:vAlign w:val="center"/>
                </w:tcPr>
                <w:p w14:paraId="00AD743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【A4.1-1】自治区用水总量控制在国家下达指标内。</w:t>
                  </w:r>
                </w:p>
              </w:tc>
              <w:tc>
                <w:tcPr>
                  <w:tcW w:w="2152" w:type="pct"/>
                  <w:vAlign w:val="center"/>
                </w:tcPr>
                <w:p w14:paraId="75803E2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运营期不消耗水资源，不新增取水口。施工期总用水量2183m³，用水量小，不影响区域用水总量控制指标。</w:t>
                  </w:r>
                </w:p>
              </w:tc>
              <w:tc>
                <w:tcPr>
                  <w:tcW w:w="475" w:type="dxa"/>
                  <w:vAlign w:val="center"/>
                </w:tcPr>
                <w:p w14:paraId="7D5B238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583D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63C2287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3416143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【A4.1-2】加大城镇污水再生利用工程建设力度。</w:t>
                  </w:r>
                </w:p>
              </w:tc>
              <w:tc>
                <w:tcPr>
                  <w:tcW w:w="2152" w:type="pct"/>
                  <w:vAlign w:val="center"/>
                </w:tcPr>
                <w:p w14:paraId="65E13C0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施工期车辆冲洗废水、混凝土拌和系统冲洗废水经隔油沉淀池处理后，上清液回用于砼拌和养护或洒水降尘，不外排，实现废水再生利用。</w:t>
                  </w:r>
                </w:p>
              </w:tc>
              <w:tc>
                <w:tcPr>
                  <w:tcW w:w="475" w:type="dxa"/>
                  <w:vAlign w:val="center"/>
                </w:tcPr>
                <w:p w14:paraId="1A0436B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CCE3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34DCFF0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17462A2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【A4.1-3】加强农村水利基础设施建设。</w:t>
                  </w:r>
                </w:p>
              </w:tc>
              <w:tc>
                <w:tcPr>
                  <w:tcW w:w="2152" w:type="pct"/>
                  <w:vAlign w:val="center"/>
                </w:tcPr>
                <w:p w14:paraId="09E21F6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本项目为防洪护岸工程，属于农村水利基础设施，可保护沿岸农田1.2万亩、人口0.8万人。</w:t>
                  </w:r>
                </w:p>
              </w:tc>
              <w:tc>
                <w:tcPr>
                  <w:tcW w:w="475" w:type="dxa"/>
                  <w:vAlign w:val="center"/>
                </w:tcPr>
                <w:p w14:paraId="70BE4C7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76B8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7AA36AC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57CC4C2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【A4.1-4】地下水资源利用实行总量控制和水位控制。</w:t>
                  </w:r>
                </w:p>
              </w:tc>
              <w:tc>
                <w:tcPr>
                  <w:tcW w:w="2152" w:type="pct"/>
                  <w:vAlign w:val="center"/>
                </w:tcPr>
                <w:p w14:paraId="09B545C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本项目运营期不取用地下水。施工期基坑降水（降水井212眼）抽取潜水层地下水，抽排水经沉淀后排入河道，不属于水资源开采利用行为。施工结束后井孔回填，不造成地下水资源消耗。</w:t>
                  </w:r>
                </w:p>
              </w:tc>
              <w:tc>
                <w:tcPr>
                  <w:tcW w:w="475" w:type="dxa"/>
                  <w:vAlign w:val="center"/>
                </w:tcPr>
                <w:p w14:paraId="7A20037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589E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Align w:val="center"/>
                </w:tcPr>
                <w:p w14:paraId="21DFE9C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A4.2土地资源</w:t>
                  </w:r>
                </w:p>
              </w:tc>
              <w:tc>
                <w:tcPr>
                  <w:tcW w:w="1884" w:type="pct"/>
                  <w:vAlign w:val="center"/>
                </w:tcPr>
                <w:p w14:paraId="660978A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【A4.2-1】土地资源上线指标控制在国土空间规划控制指标内。</w:t>
                  </w:r>
                </w:p>
              </w:tc>
              <w:tc>
                <w:tcPr>
                  <w:tcW w:w="2152" w:type="pct"/>
                  <w:vAlign w:val="center"/>
                </w:tcPr>
                <w:p w14:paraId="2B16785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永久占地19.02hm²，已纳入莎车县和麦盖提县国土空间规划；临时占地22.461hm²，施工结束后全部恢复原地类，不突破土地资源上线指标。</w:t>
                  </w:r>
                </w:p>
              </w:tc>
              <w:tc>
                <w:tcPr>
                  <w:tcW w:w="475" w:type="dxa"/>
                  <w:vAlign w:val="center"/>
                </w:tcPr>
                <w:p w14:paraId="66172B1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EFBF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restart"/>
                  <w:vAlign w:val="center"/>
                </w:tcPr>
                <w:p w14:paraId="14768AB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A4.3能源利用</w:t>
                  </w:r>
                </w:p>
              </w:tc>
              <w:tc>
                <w:tcPr>
                  <w:tcW w:w="1884" w:type="pct"/>
                  <w:vAlign w:val="center"/>
                </w:tcPr>
                <w:p w14:paraId="308AA53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【A4.3-1】单位地区生产总值二氧化碳排放降低水平完成国家指标。</w:t>
                  </w:r>
                </w:p>
              </w:tc>
              <w:tc>
                <w:tcPr>
                  <w:tcW w:w="2152" w:type="pct"/>
                  <w:vAlign w:val="center"/>
                </w:tcPr>
                <w:p w14:paraId="4C2E44D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运营期无碳排放（仅少量巡查车辆燃油），不涉及单位GDP二氧化碳排放指标。</w:t>
                  </w:r>
                </w:p>
              </w:tc>
              <w:tc>
                <w:tcPr>
                  <w:tcW w:w="475" w:type="dxa"/>
                  <w:vAlign w:val="center"/>
                </w:tcPr>
                <w:p w14:paraId="10680A7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4D11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5D3CB7C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456EB65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【A4.3-2】自治区万元国内生产总值能耗比2020年下降14.5%。</w:t>
                  </w:r>
                </w:p>
              </w:tc>
              <w:tc>
                <w:tcPr>
                  <w:tcW w:w="2152" w:type="pct"/>
                  <w:vAlign w:val="center"/>
                </w:tcPr>
                <w:p w14:paraId="643F72D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运营期无生产能耗，不涉及万元GDP能耗指标。</w:t>
                  </w:r>
                </w:p>
              </w:tc>
              <w:tc>
                <w:tcPr>
                  <w:tcW w:w="475" w:type="dxa"/>
                  <w:vAlign w:val="center"/>
                </w:tcPr>
                <w:p w14:paraId="6FDEC87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A6E6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0A6E499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0D22AC3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【A4.3-3】非化石能源占一次能源消费比重达18%以上。</w:t>
                  </w:r>
                </w:p>
              </w:tc>
              <w:tc>
                <w:tcPr>
                  <w:tcW w:w="2152" w:type="pct"/>
                  <w:vAlign w:val="center"/>
                </w:tcPr>
                <w:p w14:paraId="5EAED02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不涉及能源消费结构调整。</w:t>
                  </w:r>
                </w:p>
              </w:tc>
              <w:tc>
                <w:tcPr>
                  <w:tcW w:w="475" w:type="dxa"/>
                  <w:vAlign w:val="center"/>
                </w:tcPr>
                <w:p w14:paraId="1E106E7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07B4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4F91411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4599D1F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【A4.3-4】鼓励使用清洁能源或工业余热替代燃料用煤。</w:t>
                  </w:r>
                </w:p>
              </w:tc>
              <w:tc>
                <w:tcPr>
                  <w:tcW w:w="2152" w:type="pct"/>
                  <w:vAlign w:val="center"/>
                </w:tcPr>
                <w:p w14:paraId="683D54B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施工期不使用燃煤，柴油发电机仅作为备用电源，符合清洁能源要求。</w:t>
                  </w:r>
                </w:p>
              </w:tc>
              <w:tc>
                <w:tcPr>
                  <w:tcW w:w="475" w:type="dxa"/>
                  <w:vAlign w:val="center"/>
                </w:tcPr>
                <w:p w14:paraId="77DC5FE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63C2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4DC5758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0940D11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【A4.3-5】引导重点行业深入实施清洁生产改造。</w:t>
                  </w:r>
                </w:p>
              </w:tc>
              <w:tc>
                <w:tcPr>
                  <w:tcW w:w="2152" w:type="pct"/>
                  <w:vAlign w:val="center"/>
                </w:tcPr>
                <w:p w14:paraId="458FB22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本项目不属于重点行业，不涉及清洁生产改造。</w:t>
                  </w:r>
                </w:p>
              </w:tc>
              <w:tc>
                <w:tcPr>
                  <w:tcW w:w="475" w:type="dxa"/>
                  <w:vAlign w:val="center"/>
                </w:tcPr>
                <w:p w14:paraId="51456F2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3085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2" w:type="pct"/>
                  <w:vMerge w:val="continue"/>
                  <w:vAlign w:val="center"/>
                </w:tcPr>
                <w:p w14:paraId="6C70397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1884" w:type="pct"/>
                  <w:vAlign w:val="center"/>
                </w:tcPr>
                <w:p w14:paraId="2CFCCD1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【A4.3-6】深入推进碳达峰碳中和行动。</w:t>
                  </w:r>
                </w:p>
              </w:tc>
              <w:tc>
                <w:tcPr>
                  <w:tcW w:w="2152" w:type="pct"/>
                  <w:vAlign w:val="center"/>
                </w:tcPr>
                <w:p w14:paraId="2FD1CE0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运营期无碳排放，施工期碳排放量极小（主要为机械燃油），不涉及能耗“双控”管理。</w:t>
                  </w:r>
                </w:p>
              </w:tc>
              <w:tc>
                <w:tcPr>
                  <w:tcW w:w="475" w:type="dxa"/>
                  <w:vAlign w:val="center"/>
                </w:tcPr>
                <w:p w14:paraId="0B05971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7F32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8" w:type="dxa"/>
                  <w:vAlign w:val="center"/>
                </w:tcPr>
                <w:p w14:paraId="3102853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A4.4禁燃区要求</w:t>
                  </w:r>
                </w:p>
              </w:tc>
              <w:tc>
                <w:tcPr>
                  <w:tcW w:w="1884" w:type="pct"/>
                  <w:vAlign w:val="center"/>
                </w:tcPr>
                <w:p w14:paraId="7E3D255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【A4.4-1】在禁燃区内，禁止销售、燃用高污染燃料。</w:t>
                  </w:r>
                </w:p>
              </w:tc>
              <w:tc>
                <w:tcPr>
                  <w:tcW w:w="2152" w:type="pct"/>
                  <w:vAlign w:val="center"/>
                </w:tcPr>
                <w:p w14:paraId="2A720CB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不涉及高污染燃料。施工期不使用燃煤，柴油发电机不在禁燃区内使用。</w:t>
                  </w:r>
                </w:p>
              </w:tc>
              <w:tc>
                <w:tcPr>
                  <w:tcW w:w="475" w:type="dxa"/>
                  <w:vAlign w:val="center"/>
                </w:tcPr>
                <w:p w14:paraId="1D8900C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bl>
          <w:p w14:paraId="233F9876">
            <w:pPr>
              <w:keepNext w:val="0"/>
              <w:keepLines w:val="0"/>
              <w:suppressLineNumbers w:val="0"/>
              <w:topLinePunct/>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p>
          <w:p w14:paraId="33F60296">
            <w:pPr>
              <w:keepNext w:val="0"/>
              <w:keepLines w:val="0"/>
              <w:suppressLineNumbers w:val="0"/>
              <w:topLinePunct/>
              <w:spacing w:before="0" w:beforeAutospacing="0" w:after="0" w:afterAutospacing="0" w:line="360" w:lineRule="auto"/>
              <w:ind w:left="0" w:right="0" w:firstLine="482" w:firstLineChars="200"/>
              <w:rPr>
                <w:rFonts w:hint="default" w:ascii="Times New Roman" w:hAnsi="Times New Roman" w:eastAsia="宋体" w:cs="Times New Roman"/>
                <w:b/>
                <w:bCs w:val="0"/>
                <w:color w:val="000000" w:themeColor="text1"/>
                <w:sz w:val="24"/>
                <w:highlight w:val="none"/>
                <w14:textFill>
                  <w14:solidFill>
                    <w14:schemeClr w14:val="tx1"/>
                  </w14:solidFill>
                </w14:textFill>
              </w:rPr>
            </w:pPr>
            <w:r>
              <w:rPr>
                <w:rFonts w:hint="default" w:ascii="Times New Roman" w:hAnsi="Times New Roman" w:eastAsia="宋体" w:cs="Times New Roman"/>
                <w:b/>
                <w:bCs w:val="0"/>
                <w:color w:val="000000" w:themeColor="text1"/>
                <w:sz w:val="24"/>
                <w:highlight w:val="none"/>
                <w:lang w:val="en-US" w:eastAsia="zh-CN"/>
                <w14:textFill>
                  <w14:solidFill>
                    <w14:schemeClr w14:val="tx1"/>
                  </w14:solidFill>
                </w14:textFill>
              </w:rPr>
              <w:t>4</w:t>
            </w:r>
            <w:r>
              <w:rPr>
                <w:rFonts w:hint="default" w:ascii="Times New Roman" w:hAnsi="Times New Roman" w:eastAsia="宋体" w:cs="Times New Roman"/>
                <w:b/>
                <w:bCs w:val="0"/>
                <w:color w:val="000000" w:themeColor="text1"/>
                <w:kern w:val="0"/>
                <w:sz w:val="24"/>
                <w:szCs w:val="24"/>
                <w:highlight w:val="none"/>
                <w:lang w:val="en-US" w:eastAsia="zh-CN" w:bidi="ar-SA"/>
                <w14:textFill>
                  <w14:solidFill>
                    <w14:schemeClr w14:val="tx1"/>
                  </w14:solidFill>
                </w14:textFill>
              </w:rPr>
              <w:t>《关于印发〈新疆维吾尔自治区七大片区“三线一单”生态环境分区管控要求〉的通知》（新环环评发〔2021〕162号）</w:t>
            </w:r>
            <w:r>
              <w:rPr>
                <w:rFonts w:hint="default" w:ascii="Times New Roman" w:hAnsi="Times New Roman" w:eastAsia="宋体" w:cs="Times New Roman"/>
                <w:b/>
                <w:bCs w:val="0"/>
                <w:color w:val="000000" w:themeColor="text1"/>
                <w:sz w:val="24"/>
                <w:highlight w:val="none"/>
                <w14:textFill>
                  <w14:solidFill>
                    <w14:schemeClr w14:val="tx1"/>
                  </w14:solidFill>
                </w14:textFill>
              </w:rPr>
              <w:t>符合性分析</w:t>
            </w:r>
          </w:p>
          <w:p w14:paraId="0AEC1689">
            <w:pPr>
              <w:pStyle w:val="4"/>
              <w:keepNext/>
              <w:keepLines/>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按照《关于印发〈新疆维吾尔自治区七大片区“三线一单”生态环境分区管控要求〉的通知》（新环环评发〔2021〕162号），全区划分为七大片区，包括北疆北部（塔城地区、阿勒泰地区）、伊犁河谷、克奎乌－博州、乌昌石、吐哈、天山南坡（巴州、阿克苏地区）和南疆三地州片区，新疆维吾尔自治区生态环境厅制定《新疆维吾尔自治区七大片区“三线一单”生态环境分区管控要求》。塔城地区（不含沙湾市和乌苏市）主要涉及“北疆北部片区”，乌苏市涉及“克奎乌－博州片区”，沙湾市涉及乌昌石片区。</w:t>
            </w:r>
          </w:p>
          <w:p w14:paraId="7CB85EC2">
            <w:pPr>
              <w:pStyle w:val="4"/>
              <w:keepNext/>
              <w:keepLines/>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本项目位于七大片区中南疆三地州片区，该片区管控具体要求为：①南疆三地州片区包括喀什地区、克孜勒苏柯尔克孜自治州、和田地区。加强绿洲边缘生态保护与修复，统筹推进山水林田湖草沙治理，禁止樵采喀什三角洲荒漠、绿洲区荒漠植被，禁止砍伐玉龙喀什河、喀拉喀什河、叶尔羌河、和田河等河流沿岸天然林，保护绿洲和绿色走廊。②控制东昆仑山一阿尔金山山前绿洲、叶尔羌河流域绿洲、和田河流域绿洲、喀什－阿图什绿洲的农业用水量，提高水土资源利用效率，大力推行节水改造，</w:t>
            </w:r>
            <w:r>
              <w:rPr>
                <w:rFonts w:hint="default" w:ascii="Times New Roman" w:hAnsi="Times New Roman" w:eastAsia="宋体" w:cs="Times New Roman"/>
                <w:b/>
                <w:bCs/>
                <w:color w:val="000000" w:themeColor="text1"/>
                <w:kern w:val="0"/>
                <w:sz w:val="24"/>
                <w:szCs w:val="24"/>
                <w:highlight w:val="none"/>
                <w:u w:val="single"/>
                <w:lang w:val="en-US" w:eastAsia="zh-CN" w:bidi="ar-SA"/>
                <w14:textFill>
                  <w14:solidFill>
                    <w14:schemeClr w14:val="tx1"/>
                  </w14:solidFill>
                </w14:textFill>
              </w:rPr>
              <w:t>维护叶尔羌河等河流下游基本生态用水。</w:t>
            </w:r>
          </w:p>
          <w:p w14:paraId="60F1A6EA">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i w:val="0"/>
                <w:iCs w:val="0"/>
                <w:caps w:val="0"/>
                <w:color w:val="000000" w:themeColor="text1"/>
                <w:spacing w:val="0"/>
                <w:sz w:val="24"/>
                <w:szCs w:val="24"/>
                <w14:textFill>
                  <w14:solidFill>
                    <w14:schemeClr w14:val="tx1"/>
                  </w14:solidFill>
                </w14:textFill>
              </w:rPr>
            </w:pP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本项目</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为防洪护岸工程，</w:t>
            </w: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位于南疆三地州中喀什地区，</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工程建成后，可有效减少河水对河岸的冲刷侵蚀，减轻河道侧蚀引起的水土流失，对保护流域水土资源具有积极作用，符合《新疆维吾尔自治区七大片区“三线一单”生态环境分区管控要求》（新环环评发〔2021〕162号）的相关规定，与南疆三地州片区的分区管控定位协调一致。</w:t>
            </w:r>
          </w:p>
          <w:p w14:paraId="5DF71498">
            <w:pPr>
              <w:keepNext w:val="0"/>
              <w:keepLines w:val="0"/>
              <w:suppressLineNumbers w:val="0"/>
              <w:topLinePunct/>
              <w:spacing w:before="0" w:beforeAutospacing="0" w:after="0" w:afterAutospacing="0" w:line="360" w:lineRule="auto"/>
              <w:ind w:left="0" w:right="0" w:firstLine="482" w:firstLineChars="200"/>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t>5《喀什地区“三线一单”生态环境分区管控方案》（2023版）</w:t>
            </w:r>
            <w:r>
              <w:rPr>
                <w:rFonts w:hint="default" w:ascii="Times New Roman" w:hAnsi="Times New Roman" w:eastAsia="宋体" w:cs="Times New Roman"/>
                <w:b/>
                <w:color w:val="000000" w:themeColor="text1"/>
                <w:sz w:val="24"/>
                <w:highlight w:val="none"/>
                <w14:textFill>
                  <w14:solidFill>
                    <w14:schemeClr w14:val="tx1"/>
                  </w14:solidFill>
                </w14:textFill>
              </w:rPr>
              <w:t>符合性分析</w:t>
            </w:r>
          </w:p>
          <w:p w14:paraId="6286E735">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本项目与《喀什地区“三线一单”生态环境分区管控方案》（</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2023版</w:t>
            </w:r>
            <w:r>
              <w:rPr>
                <w:rFonts w:hint="default" w:ascii="Times New Roman" w:hAnsi="Times New Roman" w:eastAsia="宋体" w:cs="Times New Roman"/>
                <w:color w:val="000000" w:themeColor="text1"/>
                <w:sz w:val="24"/>
                <w:szCs w:val="24"/>
                <w14:textFill>
                  <w14:solidFill>
                    <w14:schemeClr w14:val="tx1"/>
                  </w14:solidFill>
                </w14:textFill>
              </w:rPr>
              <w:t>）、《喀什地区环境管控单元汇总表（2023年版）》的相符性分析见表</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14:textFill>
                  <w14:solidFill>
                    <w14:schemeClr w14:val="tx1"/>
                  </w14:solidFill>
                </w14:textFill>
              </w:rPr>
              <w:t>-</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3。</w:t>
            </w:r>
          </w:p>
          <w:p w14:paraId="271CE14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根据喀什地区生态环境准入清单（2023年版），</w:t>
            </w:r>
            <w:r>
              <w:rPr>
                <w:rFonts w:hint="default" w:ascii="Times New Roman" w:hAnsi="Times New Roman" w:eastAsia="宋体" w:cs="Times New Roman"/>
                <w:color w:val="000000" w:themeColor="text1"/>
                <w:sz w:val="24"/>
                <w:szCs w:val="24"/>
                <w:lang w:eastAsia="zh-CN"/>
                <w14:textFill>
                  <w14:solidFill>
                    <w14:schemeClr w14:val="tx1"/>
                  </w14:solidFill>
                </w14:textFill>
              </w:rPr>
              <w:t>本项目位于</w:t>
            </w:r>
            <w:r>
              <w:rPr>
                <w:rFonts w:hint="default" w:ascii="Times New Roman" w:hAnsi="Times New Roman" w:eastAsia="宋体" w:cs="Times New Roman"/>
                <w:color w:val="000000" w:themeColor="text1"/>
                <w:sz w:val="24"/>
                <w:szCs w:val="24"/>
                <w14:textFill>
                  <w14:solidFill>
                    <w14:schemeClr w14:val="tx1"/>
                  </w14:solidFill>
                </w14:textFill>
              </w:rPr>
              <w:t>一般管控单元内</w:t>
            </w:r>
            <w:r>
              <w:rPr>
                <w:rFonts w:hint="default" w:ascii="Times New Roman" w:hAnsi="Times New Roman" w:eastAsia="宋体" w:cs="Times New Roman"/>
                <w:color w:val="000000" w:themeColor="text1"/>
                <w:sz w:val="24"/>
                <w:szCs w:val="24"/>
                <w:lang w:eastAsia="zh-CN"/>
                <w14:textFill>
                  <w14:solidFill>
                    <w14:schemeClr w14:val="tx1"/>
                  </w14:solidFill>
                </w14:textFill>
              </w:rPr>
              <w:t>。</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莎车县境内部分单元编号ZH65312530001，单元名称为莎车县一般管控单元，麦盖提县境内部分单元编号</w:t>
            </w:r>
            <w:r>
              <w:rPr>
                <w:rFonts w:hint="default" w:ascii="Times New Roman" w:hAnsi="Times New Roman" w:eastAsia="宋体" w:cs="Times New Roman"/>
                <w:color w:val="000000" w:themeColor="text1"/>
                <w:sz w:val="24"/>
                <w:szCs w:val="24"/>
                <w14:textFill>
                  <w14:solidFill>
                    <w14:schemeClr w14:val="tx1"/>
                  </w14:solidFill>
                </w14:textFill>
              </w:rPr>
              <w:t>ZH65312730001</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，单元名称为麦盖提县一般管控单元。</w:t>
            </w:r>
            <w:r>
              <w:rPr>
                <w:rFonts w:hint="default" w:ascii="Times New Roman" w:hAnsi="Times New Roman" w:eastAsia="宋体" w:cs="Times New Roman"/>
                <w:color w:val="000000" w:themeColor="text1"/>
                <w:sz w:val="24"/>
                <w:szCs w:val="24"/>
                <w14:textFill>
                  <w14:solidFill>
                    <w14:schemeClr w14:val="tx1"/>
                  </w14:solidFill>
                </w14:textFill>
              </w:rPr>
              <w:t>具体分析如下表</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1-4，表1-5</w:t>
            </w:r>
            <w:r>
              <w:rPr>
                <w:rFonts w:hint="default" w:ascii="Times New Roman" w:hAnsi="Times New Roman" w:eastAsia="宋体" w:cs="Times New Roman"/>
                <w:color w:val="000000" w:themeColor="text1"/>
                <w:sz w:val="24"/>
                <w:szCs w:val="24"/>
                <w14:textFill>
                  <w14:solidFill>
                    <w14:schemeClr w14:val="tx1"/>
                  </w14:solidFill>
                </w14:textFill>
              </w:rPr>
              <w:t>。</w:t>
            </w:r>
          </w:p>
          <w:p w14:paraId="600FA65E">
            <w:pPr>
              <w:pStyle w:val="2"/>
              <w:spacing w:before="0" w:after="0" w:line="240" w:lineRule="auto"/>
              <w:ind w:right="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p>
          <w:p w14:paraId="2F31892D">
            <w:pPr>
              <w:pStyle w:val="2"/>
              <w:spacing w:before="0" w:after="0" w:line="240" w:lineRule="auto"/>
              <w:ind w:right="0"/>
              <w:jc w:val="cente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表</w:t>
            </w:r>
            <w: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t>1-4</w:t>
            </w:r>
            <w:r>
              <w:rPr>
                <w:rFonts w:hint="default" w:ascii="Times New Roman" w:hAnsi="Times New Roman" w:eastAsia="宋体" w:cs="Times New Roman"/>
                <w:b/>
                <w:color w:val="000000" w:themeColor="text1"/>
                <w:sz w:val="21"/>
                <w:szCs w:val="21"/>
                <w:highlight w:val="none"/>
                <w14:textFill>
                  <w14:solidFill>
                    <w14:schemeClr w14:val="tx1"/>
                  </w14:solidFill>
                </w14:textFill>
              </w:rPr>
              <w:t>与喀什地区生态环境准入清单（2023年版</w:t>
            </w:r>
            <w:r>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color w:val="000000" w:themeColor="text1"/>
                <w:sz w:val="21"/>
                <w:szCs w:val="21"/>
                <w:highlight w:val="none"/>
                <w14:textFill>
                  <w14:solidFill>
                    <w14:schemeClr w14:val="tx1"/>
                  </w14:solidFill>
                </w14:textFill>
              </w:rPr>
              <w:t>相符性</w:t>
            </w:r>
            <w: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t>-莎车县一般管控单元</w:t>
            </w:r>
          </w:p>
          <w:tbl>
            <w:tblPr>
              <w:tblStyle w:val="35"/>
              <w:tblW w:w="48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8"/>
              <w:gridCol w:w="3443"/>
              <w:gridCol w:w="2485"/>
              <w:gridCol w:w="628"/>
            </w:tblGrid>
            <w:tr w14:paraId="4B1CA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Align w:val="center"/>
                </w:tcPr>
                <w:p w14:paraId="76BC514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管控类别</w:t>
                  </w:r>
                </w:p>
              </w:tc>
              <w:tc>
                <w:tcPr>
                  <w:tcW w:w="3443" w:type="dxa"/>
                  <w:vAlign w:val="center"/>
                </w:tcPr>
                <w:p w14:paraId="6B5239F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生态环境分区管控要求</w:t>
                  </w:r>
                </w:p>
              </w:tc>
              <w:tc>
                <w:tcPr>
                  <w:tcW w:w="2485" w:type="dxa"/>
                  <w:vAlign w:val="center"/>
                </w:tcPr>
                <w:p w14:paraId="69A5C0B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本项目情况</w:t>
                  </w:r>
                </w:p>
              </w:tc>
              <w:tc>
                <w:tcPr>
                  <w:tcW w:w="628" w:type="dxa"/>
                  <w:vAlign w:val="center"/>
                </w:tcPr>
                <w:p w14:paraId="41E90AB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相符性</w:t>
                  </w:r>
                </w:p>
              </w:tc>
            </w:tr>
            <w:tr w14:paraId="33501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restart"/>
                  <w:vAlign w:val="center"/>
                </w:tcPr>
                <w:p w14:paraId="1814279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空间布局约束</w:t>
                  </w:r>
                </w:p>
                <w:p w14:paraId="5647E31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525E00C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1.3-1：列入《产业结构调整指导目录》淘汰类的现状企业，制定调整计划；针对环保治理措施不符合现行环保要求、资源能源消耗高或持续发生环保投诉的现有企业，制定整治计划；在调整过渡期内，应严格控制其生产规模，禁止新增产生环境污染的产能和产品。</w:t>
                  </w:r>
                </w:p>
              </w:tc>
              <w:tc>
                <w:tcPr>
                  <w:tcW w:w="2485" w:type="dxa"/>
                  <w:vAlign w:val="center"/>
                </w:tcPr>
                <w:p w14:paraId="49D8E13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本项目为防洪护岸工程，属于《产业结构调整指导目录（2024年本）》中“第一类鼓励类”项目（江河湖海堤防建设及河道治理工程），不属于淘汰类企业。</w:t>
                  </w:r>
                </w:p>
              </w:tc>
              <w:tc>
                <w:tcPr>
                  <w:tcW w:w="628" w:type="dxa"/>
                  <w:vAlign w:val="center"/>
                </w:tcPr>
                <w:p w14:paraId="64B1D42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A5A1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521520A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11C8EAC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A1.3-3：淘汰区域内生产工艺落后、生产效率低下、严重污染环境的企业，加大环保、能耗、安全执法处罚力度，建立以节能环保标准促进“两高”行业过剩产能退出的机制。</w:t>
                  </w:r>
                </w:p>
              </w:tc>
              <w:tc>
                <w:tcPr>
                  <w:tcW w:w="2485" w:type="dxa"/>
                  <w:vAlign w:val="center"/>
                </w:tcPr>
                <w:p w14:paraId="17F15B3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本项目不涉及“两高”行业，不属于落后产能企业。</w:t>
                  </w:r>
                </w:p>
              </w:tc>
              <w:tc>
                <w:tcPr>
                  <w:tcW w:w="628" w:type="dxa"/>
                  <w:vAlign w:val="center"/>
                </w:tcPr>
                <w:p w14:paraId="672B4C5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C3F5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32F9EE3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12F3881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A1.3-7：全面排查装备水平低、环保设施差的小型工业企业，开展对水环境影响较大的“低、小、散”落后企业、加工点、作坊的专项整治。</w:t>
                  </w:r>
                </w:p>
              </w:tc>
              <w:tc>
                <w:tcPr>
                  <w:tcW w:w="2485" w:type="dxa"/>
                  <w:vAlign w:val="center"/>
                </w:tcPr>
                <w:p w14:paraId="4322496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本项目为防洪护岸工程，不属于工业企业，不涉及上述整治内容。</w:t>
                  </w:r>
                </w:p>
              </w:tc>
              <w:tc>
                <w:tcPr>
                  <w:tcW w:w="628" w:type="dxa"/>
                  <w:vAlign w:val="center"/>
                </w:tcPr>
                <w:p w14:paraId="7ADE25F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8A39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29547E2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7D7965C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-1：一切开发建设活动应符合国家、自治区主体功能区规划、自治区和各地颁布实施的生态环境功能区划、国民经济发展规划、产业发展规划、城乡总体规划、土地利用规划等相关规划及重点生态功能区负面清单要求。</w:t>
                  </w:r>
                </w:p>
              </w:tc>
              <w:tc>
                <w:tcPr>
                  <w:tcW w:w="2485" w:type="dxa"/>
                  <w:vAlign w:val="center"/>
                </w:tcPr>
                <w:p w14:paraId="1D84562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本项目符合《新疆维吾尔自治区主体功能区规划》《新疆生态功能区划》《喀什地区国民经济和社会发展“十四五”规划》等相关规划要求，不涉及重点生态功能区负面清单内容。</w:t>
                  </w:r>
                </w:p>
              </w:tc>
              <w:tc>
                <w:tcPr>
                  <w:tcW w:w="628" w:type="dxa"/>
                  <w:vAlign w:val="center"/>
                </w:tcPr>
                <w:p w14:paraId="2FCC829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7C62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A6524F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02BB2E6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A1.4-2：所有新、改（扩）建项目，必须依据《建设项目环境影响评价分类管理名录》要求进行环境影响评价；未通过环境影响评价审批的，一律不准开工建设。</w:t>
                  </w:r>
                </w:p>
              </w:tc>
              <w:tc>
                <w:tcPr>
                  <w:tcW w:w="2485" w:type="dxa"/>
                  <w:vAlign w:val="center"/>
                </w:tcPr>
                <w:p w14:paraId="313613A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本项目依法开展环境影响评价，编制环境影响报告表，报生态环境主管部门审批后方可开工建设。</w:t>
                  </w:r>
                </w:p>
              </w:tc>
              <w:tc>
                <w:tcPr>
                  <w:tcW w:w="628" w:type="dxa"/>
                  <w:vAlign w:val="center"/>
                </w:tcPr>
                <w:p w14:paraId="33DDA28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28C8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ABE8E8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0504358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A1.4-3：严禁在生态环境敏感区域建设“两高”行业项目。</w:t>
                  </w:r>
                </w:p>
              </w:tc>
              <w:tc>
                <w:tcPr>
                  <w:tcW w:w="2485" w:type="dxa"/>
                  <w:vAlign w:val="center"/>
                </w:tcPr>
                <w:p w14:paraId="43E08FB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本项目不属于“两高”行业，选址不涉及生态环境敏感区域。</w:t>
                  </w:r>
                </w:p>
              </w:tc>
              <w:tc>
                <w:tcPr>
                  <w:tcW w:w="628" w:type="dxa"/>
                  <w:vAlign w:val="center"/>
                </w:tcPr>
                <w:p w14:paraId="5735F6E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E5CC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15BF77A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12EB679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A1.4-4：严禁审批淘汰类和禁止类项目，严格审批限制类项目，坚决控制高污染项目及存在污染环境隐患的项目准入。</w:t>
                  </w:r>
                </w:p>
              </w:tc>
              <w:tc>
                <w:tcPr>
                  <w:tcW w:w="2485" w:type="dxa"/>
                  <w:vAlign w:val="center"/>
                </w:tcPr>
                <w:p w14:paraId="5DF7A89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本项目为鼓励类项目，不属于淘汰类、禁止类或限制类项目。</w:t>
                  </w:r>
                </w:p>
              </w:tc>
              <w:tc>
                <w:tcPr>
                  <w:tcW w:w="628" w:type="dxa"/>
                  <w:vAlign w:val="center"/>
                </w:tcPr>
                <w:p w14:paraId="01F0A73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A876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398D79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3399282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A1.4-6：防治畜禽养殖污染，科学划定畜禽养殖禁养区、限养区。</w:t>
                  </w:r>
                </w:p>
              </w:tc>
              <w:tc>
                <w:tcPr>
                  <w:tcW w:w="2485" w:type="dxa"/>
                  <w:vAlign w:val="center"/>
                </w:tcPr>
                <w:p w14:paraId="05AC290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本项目不涉及畜禽养殖。</w:t>
                  </w:r>
                </w:p>
              </w:tc>
              <w:tc>
                <w:tcPr>
                  <w:tcW w:w="628" w:type="dxa"/>
                  <w:vAlign w:val="center"/>
                </w:tcPr>
                <w:p w14:paraId="2F6F59A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B102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5992BB1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45C567C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A1.4-7：严格按照“禁采区关停、限采区收缩、可采区集聚”的方式，优化矿山结构、推进资源整合。</w:t>
                  </w:r>
                </w:p>
              </w:tc>
              <w:tc>
                <w:tcPr>
                  <w:tcW w:w="2485" w:type="dxa"/>
                  <w:vAlign w:val="center"/>
                </w:tcPr>
                <w:p w14:paraId="4642591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本项目不涉及矿山开采。</w:t>
                  </w:r>
                </w:p>
              </w:tc>
              <w:tc>
                <w:tcPr>
                  <w:tcW w:w="628" w:type="dxa"/>
                  <w:vAlign w:val="center"/>
                </w:tcPr>
                <w:p w14:paraId="5C3A55D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8189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3AC05C3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40FE2CF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A7.1-1：禁止在法律法规规定的禁采区内新建矿山；禁止土法采、选、冶严重污染环境的矿产资源。</w:t>
                  </w:r>
                </w:p>
              </w:tc>
              <w:tc>
                <w:tcPr>
                  <w:tcW w:w="2485" w:type="dxa"/>
                  <w:vAlign w:val="center"/>
                </w:tcPr>
                <w:p w14:paraId="39614BB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本项目不涉及矿山开采。</w:t>
                  </w:r>
                </w:p>
              </w:tc>
              <w:tc>
                <w:tcPr>
                  <w:tcW w:w="628" w:type="dxa"/>
                  <w:vAlign w:val="center"/>
                </w:tcPr>
                <w:p w14:paraId="15953C0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AFCE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C1D194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68DACF2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A7.1-2：涉及永久基本农田的区域，除法律规定的重点建设项目选址确实无法避让外，其他任何建设不得占用。</w:t>
                  </w:r>
                </w:p>
              </w:tc>
              <w:tc>
                <w:tcPr>
                  <w:tcW w:w="2485" w:type="dxa"/>
                  <w:vAlign w:val="center"/>
                </w:tcPr>
                <w:p w14:paraId="6D678AD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本项目选址位于叶尔羌河右岸河道管理范围内，不占用永久基本农田。</w:t>
                  </w:r>
                </w:p>
              </w:tc>
              <w:tc>
                <w:tcPr>
                  <w:tcW w:w="628" w:type="dxa"/>
                  <w:vAlign w:val="center"/>
                </w:tcPr>
                <w:p w14:paraId="099524A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2078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07B2B1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619B3AB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A7.1-3：畜禽养殖严格按照畜禽养殖区域划定方案执行。</w:t>
                  </w:r>
                </w:p>
              </w:tc>
              <w:tc>
                <w:tcPr>
                  <w:tcW w:w="2485" w:type="dxa"/>
                  <w:vAlign w:val="center"/>
                </w:tcPr>
                <w:p w14:paraId="54B8319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本项目不涉及畜禽养殖。</w:t>
                  </w:r>
                </w:p>
              </w:tc>
              <w:tc>
                <w:tcPr>
                  <w:tcW w:w="628" w:type="dxa"/>
                  <w:vAlign w:val="center"/>
                </w:tcPr>
                <w:p w14:paraId="375B602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4549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365CA84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63B9513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A7.1-4：限制进行大规模高强度工业化城镇化开发，严格控制“高污染、高环境风险产品”工业项目。</w:t>
                  </w:r>
                </w:p>
              </w:tc>
              <w:tc>
                <w:tcPr>
                  <w:tcW w:w="2485" w:type="dxa"/>
                  <w:vAlign w:val="center"/>
                </w:tcPr>
                <w:p w14:paraId="02882BC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本项目为防洪护岸工程，不属于大规模高强度工业化城镇化开发项目，不涉及高污染、高环境风险产品。</w:t>
                  </w:r>
                </w:p>
              </w:tc>
              <w:tc>
                <w:tcPr>
                  <w:tcW w:w="628" w:type="dxa"/>
                  <w:vAlign w:val="center"/>
                </w:tcPr>
                <w:p w14:paraId="2367EA9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3D36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777181C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3B27982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3：禁止在岸线保护范围内建设可能影响防洪工程安全和重要水利工程安全与正常运行的项目。不得在保护范围内倾倒垃圾和排放污染物，不得造成水体污染。</w:t>
                  </w:r>
                </w:p>
              </w:tc>
              <w:tc>
                <w:tcPr>
                  <w:tcW w:w="2485" w:type="dxa"/>
                  <w:vAlign w:val="center"/>
                </w:tcPr>
                <w:p w14:paraId="108343A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本项目为护岸工程，属于防洪工程本身，不涉及影响防洪工程安全的建设活动。施工期废水经处理后回用不外排，固废统一收集处置，运营期无污染物排放，不向水体倾倒垃圾或排放污染物。</w:t>
                  </w:r>
                </w:p>
              </w:tc>
              <w:tc>
                <w:tcPr>
                  <w:tcW w:w="628" w:type="dxa"/>
                  <w:vAlign w:val="center"/>
                </w:tcPr>
                <w:p w14:paraId="4EAF544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3884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6FAAD1B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16641C2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4：河道采砂须严格按照河道采砂规划要求进行布局和管控。</w:t>
                  </w:r>
                </w:p>
              </w:tc>
              <w:tc>
                <w:tcPr>
                  <w:tcW w:w="2485" w:type="dxa"/>
                  <w:vAlign w:val="center"/>
                </w:tcPr>
                <w:p w14:paraId="569A887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本项目不涉及河道采砂。</w:t>
                  </w:r>
                </w:p>
              </w:tc>
              <w:tc>
                <w:tcPr>
                  <w:tcW w:w="628" w:type="dxa"/>
                  <w:vAlign w:val="center"/>
                </w:tcPr>
                <w:p w14:paraId="16B3CA5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39A2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restart"/>
                  <w:vAlign w:val="center"/>
                </w:tcPr>
                <w:p w14:paraId="35B2F8D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污染物排放管控</w:t>
                  </w:r>
                </w:p>
              </w:tc>
              <w:tc>
                <w:tcPr>
                  <w:tcW w:w="3443" w:type="dxa"/>
                  <w:vAlign w:val="center"/>
                </w:tcPr>
                <w:p w14:paraId="017BFFA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A2.3-3：加快县市污水处理厂及配套管网建设，提升污水收集处理能力。</w:t>
                  </w:r>
                </w:p>
              </w:tc>
              <w:tc>
                <w:tcPr>
                  <w:tcW w:w="2485" w:type="dxa"/>
                  <w:vAlign w:val="center"/>
                </w:tcPr>
                <w:p w14:paraId="276C803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施工生活区设置防渗化粪池，定期由吸污车清运至莎车县污水处理厂，符合污水收集处理要求。</w:t>
                  </w:r>
                </w:p>
              </w:tc>
              <w:tc>
                <w:tcPr>
                  <w:tcW w:w="628" w:type="dxa"/>
                  <w:vAlign w:val="center"/>
                </w:tcPr>
                <w:p w14:paraId="20D33B4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A051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6CBC87C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0ED23A7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A2.3-4：大力发展生态畜牧业，促进畜牧业转型升级。</w:t>
                  </w:r>
                </w:p>
              </w:tc>
              <w:tc>
                <w:tcPr>
                  <w:tcW w:w="2485" w:type="dxa"/>
                  <w:vAlign w:val="center"/>
                </w:tcPr>
                <w:p w14:paraId="0D56EAE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本项目不涉及畜牧业。</w:t>
                  </w:r>
                </w:p>
              </w:tc>
              <w:tc>
                <w:tcPr>
                  <w:tcW w:w="628" w:type="dxa"/>
                  <w:vAlign w:val="center"/>
                </w:tcPr>
                <w:p w14:paraId="312C454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6D0D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439A558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7A4C7E8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A2.3-5：加大农村面源污染防治力度。</w:t>
                  </w:r>
                </w:p>
              </w:tc>
              <w:tc>
                <w:tcPr>
                  <w:tcW w:w="2485" w:type="dxa"/>
                  <w:vAlign w:val="center"/>
                </w:tcPr>
                <w:p w14:paraId="7CCC76A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本项目不涉及农村面源污染。</w:t>
                  </w:r>
                </w:p>
              </w:tc>
              <w:tc>
                <w:tcPr>
                  <w:tcW w:w="628" w:type="dxa"/>
                  <w:vAlign w:val="center"/>
                </w:tcPr>
                <w:p w14:paraId="12F7800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8433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B6A858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5269B94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A2.3-6：加大污染场地环境风险防控和管理工作力度。</w:t>
                  </w:r>
                </w:p>
              </w:tc>
              <w:tc>
                <w:tcPr>
                  <w:tcW w:w="2485" w:type="dxa"/>
                  <w:vAlign w:val="center"/>
                </w:tcPr>
                <w:p w14:paraId="4891040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本项目不涉及污染场地。</w:t>
                  </w:r>
                </w:p>
              </w:tc>
              <w:tc>
                <w:tcPr>
                  <w:tcW w:w="628" w:type="dxa"/>
                  <w:vAlign w:val="center"/>
                </w:tcPr>
                <w:p w14:paraId="35A9ADC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EBBA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191093A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2BB0DFD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A2.3-7：加强矿山开采扬尘综合整治和植被恢复。</w:t>
                  </w:r>
                </w:p>
              </w:tc>
              <w:tc>
                <w:tcPr>
                  <w:tcW w:w="2485" w:type="dxa"/>
                  <w:vAlign w:val="center"/>
                </w:tcPr>
                <w:p w14:paraId="270BA88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本项目不涉及矿山开采。</w:t>
                  </w:r>
                </w:p>
              </w:tc>
              <w:tc>
                <w:tcPr>
                  <w:tcW w:w="628" w:type="dxa"/>
                  <w:vAlign w:val="center"/>
                </w:tcPr>
                <w:p w14:paraId="470F06A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4572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3327685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7B0029D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A2.3-8：强化不达标河湖污染治理。</w:t>
                  </w:r>
                </w:p>
              </w:tc>
              <w:tc>
                <w:tcPr>
                  <w:tcW w:w="2485" w:type="dxa"/>
                  <w:vAlign w:val="center"/>
                </w:tcPr>
                <w:p w14:paraId="56B6B86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根据地表水监测数据，叶尔羌河水质满足《地表水环境质量标准》（GB3838-2002）Ⅲ类标准，不属于不达标河湖。</w:t>
                  </w:r>
                </w:p>
              </w:tc>
              <w:tc>
                <w:tcPr>
                  <w:tcW w:w="628" w:type="dxa"/>
                  <w:vAlign w:val="center"/>
                </w:tcPr>
                <w:p w14:paraId="37A6947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A48C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432675A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464F74B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A7.2：减少工业化、城镇化对大气环境的影响，严格执行喀什地区大气污染防治要求。</w:t>
                  </w:r>
                </w:p>
              </w:tc>
              <w:tc>
                <w:tcPr>
                  <w:tcW w:w="2485" w:type="dxa"/>
                  <w:vAlign w:val="center"/>
                </w:tcPr>
                <w:p w14:paraId="76FF499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施工期采取围挡、洒水、防尘网覆盖、车辆冲洗等扬尘控制措施，严格执行大气污染防治要求。</w:t>
                  </w:r>
                </w:p>
              </w:tc>
              <w:tc>
                <w:tcPr>
                  <w:tcW w:w="628" w:type="dxa"/>
                  <w:vAlign w:val="center"/>
                </w:tcPr>
                <w:p w14:paraId="2516DAD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9E33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4BC7770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30C7C80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3：严格控制林地、草地、园地农药使用量，禁止使用高毒、高残留农药。</w:t>
                  </w:r>
                </w:p>
              </w:tc>
              <w:tc>
                <w:tcPr>
                  <w:tcW w:w="2485" w:type="dxa"/>
                  <w:vAlign w:val="center"/>
                </w:tcPr>
                <w:p w14:paraId="4D0AE67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本项目不涉及农药使用。</w:t>
                  </w:r>
                </w:p>
              </w:tc>
              <w:tc>
                <w:tcPr>
                  <w:tcW w:w="628" w:type="dxa"/>
                  <w:vAlign w:val="center"/>
                </w:tcPr>
                <w:p w14:paraId="16AD7F8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C447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restart"/>
                  <w:vAlign w:val="center"/>
                </w:tcPr>
                <w:p w14:paraId="040C520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环境风险防控</w:t>
                  </w:r>
                </w:p>
              </w:tc>
              <w:tc>
                <w:tcPr>
                  <w:tcW w:w="3443" w:type="dxa"/>
                  <w:vAlign w:val="center"/>
                </w:tcPr>
                <w:p w14:paraId="5645CA5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A3.1-1：禁止在化工园区外新建、扩建危险化学品生产项目。严格危险化学品废弃处置。</w:t>
                  </w:r>
                </w:p>
              </w:tc>
              <w:tc>
                <w:tcPr>
                  <w:tcW w:w="2485" w:type="dxa"/>
                  <w:vAlign w:val="center"/>
                </w:tcPr>
                <w:p w14:paraId="4D8F425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本项目不涉及危险化学品生产和使用。</w:t>
                  </w:r>
                </w:p>
              </w:tc>
              <w:tc>
                <w:tcPr>
                  <w:tcW w:w="628" w:type="dxa"/>
                  <w:vAlign w:val="center"/>
                </w:tcPr>
                <w:p w14:paraId="5C4C4E5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6E26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5FF70F8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36A5E65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A7.3：减少人类活动对自然生态系统的干扰和破坏，控制生活污染，维持水环境现状，确保水质稳中趋好。</w:t>
                  </w:r>
                </w:p>
              </w:tc>
              <w:tc>
                <w:tcPr>
                  <w:tcW w:w="2485" w:type="dxa"/>
                  <w:vAlign w:val="center"/>
                </w:tcPr>
                <w:p w14:paraId="0D61DC7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本项目为防洪护岸工程，施工期采取污染防治措施，运营期无污染物排放，不破坏自然生态系统，有利于维持水环境现状。</w:t>
                  </w:r>
                </w:p>
              </w:tc>
              <w:tc>
                <w:tcPr>
                  <w:tcW w:w="628" w:type="dxa"/>
                  <w:vAlign w:val="center"/>
                </w:tcPr>
                <w:p w14:paraId="764AB08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2FE2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restart"/>
                  <w:vAlign w:val="center"/>
                </w:tcPr>
                <w:p w14:paraId="1D0E285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资源利用效率要求</w:t>
                  </w:r>
                </w:p>
              </w:tc>
              <w:tc>
                <w:tcPr>
                  <w:tcW w:w="3443" w:type="dxa"/>
                  <w:vAlign w:val="center"/>
                </w:tcPr>
                <w:p w14:paraId="338C8E6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A4.1-1：控制叶尔羌河流域绿洲农业用水量，提高水土资源利用效率，大力推行节水改造，维护流域下游基本生态用水。</w:t>
                  </w:r>
                </w:p>
              </w:tc>
              <w:tc>
                <w:tcPr>
                  <w:tcW w:w="2485" w:type="dxa"/>
                  <w:vAlign w:val="center"/>
                </w:tcPr>
                <w:p w14:paraId="29B25B3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本项目为防洪护岸工程，运营期不消耗水资源，不新增取水口。工程建成后可有效减少河岸冲刷和水土流失，有利于保护水土资源，不挤占生态用水。</w:t>
                  </w:r>
                </w:p>
              </w:tc>
              <w:tc>
                <w:tcPr>
                  <w:tcW w:w="628" w:type="dxa"/>
                  <w:vAlign w:val="center"/>
                </w:tcPr>
                <w:p w14:paraId="44E321B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E2E9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465E97A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2FB3270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A4.1-2：实施最严格水资源管理，健全取用水总量控制指标体系，严格实施取水许可制度。</w:t>
                  </w:r>
                </w:p>
              </w:tc>
              <w:tc>
                <w:tcPr>
                  <w:tcW w:w="2485" w:type="dxa"/>
                  <w:vAlign w:val="center"/>
                </w:tcPr>
                <w:p w14:paraId="1D0FD80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本项目运营期不消耗水资源，不涉及取水许可。</w:t>
                  </w:r>
                </w:p>
              </w:tc>
              <w:tc>
                <w:tcPr>
                  <w:tcW w:w="628" w:type="dxa"/>
                  <w:vAlign w:val="center"/>
                </w:tcPr>
                <w:p w14:paraId="73EAAEF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594D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4F474A3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5448F2F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A7.4：调整优化能源结构，构建清洁低碳高效能源体系，提高能源利用效率。</w:t>
                  </w:r>
                </w:p>
              </w:tc>
              <w:tc>
                <w:tcPr>
                  <w:tcW w:w="2485" w:type="dxa"/>
                  <w:vAlign w:val="center"/>
                </w:tcPr>
                <w:p w14:paraId="5E7F4BF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本项目运营期仅少量巡查车辆消耗燃油，能源消耗极低，不涉及能源结构调整。</w:t>
                  </w:r>
                </w:p>
              </w:tc>
              <w:tc>
                <w:tcPr>
                  <w:tcW w:w="628" w:type="dxa"/>
                  <w:vAlign w:val="center"/>
                </w:tcPr>
                <w:p w14:paraId="5432E1E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9596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3F0EA65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443" w:type="dxa"/>
                  <w:vAlign w:val="center"/>
                </w:tcPr>
                <w:p w14:paraId="5D7CE27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3：大力推行光伏、风电、制氢等清洁能源开发利用。</w:t>
                  </w:r>
                </w:p>
              </w:tc>
              <w:tc>
                <w:tcPr>
                  <w:tcW w:w="2485" w:type="dxa"/>
                  <w:vAlign w:val="center"/>
                </w:tcPr>
                <w:p w14:paraId="080BB76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本项目不涉及清洁能源开发利用。</w:t>
                  </w:r>
                </w:p>
              </w:tc>
              <w:tc>
                <w:tcPr>
                  <w:tcW w:w="628" w:type="dxa"/>
                  <w:vAlign w:val="center"/>
                </w:tcPr>
                <w:p w14:paraId="3ECDB28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bl>
          <w:p w14:paraId="4B652C7D">
            <w:pPr>
              <w:pStyle w:val="2"/>
              <w:spacing w:before="0" w:after="0" w:line="240" w:lineRule="auto"/>
              <w:ind w:right="0"/>
              <w:jc w:val="cente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表</w:t>
            </w:r>
            <w: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t>1-5</w:t>
            </w:r>
            <w:r>
              <w:rPr>
                <w:rFonts w:hint="default" w:ascii="Times New Roman" w:hAnsi="Times New Roman" w:eastAsia="宋体" w:cs="Times New Roman"/>
                <w:b/>
                <w:color w:val="000000" w:themeColor="text1"/>
                <w:sz w:val="21"/>
                <w:szCs w:val="21"/>
                <w:highlight w:val="none"/>
                <w14:textFill>
                  <w14:solidFill>
                    <w14:schemeClr w14:val="tx1"/>
                  </w14:solidFill>
                </w14:textFill>
              </w:rPr>
              <w:t>与喀什地区生态环境准入清单（2023年版</w:t>
            </w:r>
            <w:r>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color w:val="000000" w:themeColor="text1"/>
                <w:sz w:val="21"/>
                <w:szCs w:val="21"/>
                <w:highlight w:val="none"/>
                <w14:textFill>
                  <w14:solidFill>
                    <w14:schemeClr w14:val="tx1"/>
                  </w14:solidFill>
                </w14:textFill>
              </w:rPr>
              <w:t>相符性</w:t>
            </w:r>
            <w: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t>-麦盖提县一般管控单元</w:t>
            </w:r>
          </w:p>
          <w:tbl>
            <w:tblPr>
              <w:tblStyle w:val="35"/>
              <w:tblW w:w="48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8"/>
              <w:gridCol w:w="3583"/>
              <w:gridCol w:w="2381"/>
              <w:gridCol w:w="592"/>
            </w:tblGrid>
            <w:tr w14:paraId="18A4E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Align w:val="center"/>
                </w:tcPr>
                <w:p w14:paraId="75C833D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管控类别</w:t>
                  </w:r>
                </w:p>
              </w:tc>
              <w:tc>
                <w:tcPr>
                  <w:tcW w:w="3583" w:type="dxa"/>
                  <w:vAlign w:val="center"/>
                </w:tcPr>
                <w:p w14:paraId="6DFCCDD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生态环境分区管控要求</w:t>
                  </w:r>
                </w:p>
              </w:tc>
              <w:tc>
                <w:tcPr>
                  <w:tcW w:w="2381" w:type="dxa"/>
                  <w:vAlign w:val="center"/>
                </w:tcPr>
                <w:p w14:paraId="6F018B8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本项目情况</w:t>
                  </w:r>
                </w:p>
              </w:tc>
              <w:tc>
                <w:tcPr>
                  <w:tcW w:w="592" w:type="dxa"/>
                  <w:vAlign w:val="center"/>
                </w:tcPr>
                <w:p w14:paraId="11AE043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相符性</w:t>
                  </w:r>
                </w:p>
              </w:tc>
            </w:tr>
            <w:tr w14:paraId="408CF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restart"/>
                  <w:vAlign w:val="center"/>
                </w:tcPr>
                <w:p w14:paraId="13D213D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空间布局约束</w:t>
                  </w:r>
                </w:p>
              </w:tc>
              <w:tc>
                <w:tcPr>
                  <w:tcW w:w="3583" w:type="dxa"/>
                  <w:vAlign w:val="center"/>
                </w:tcPr>
                <w:p w14:paraId="371DE1E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1.1（A1.1-5）：永久基本农田集中区域禁止规划新建可能造成土壤污染的建设项目。</w:t>
                  </w:r>
                </w:p>
              </w:tc>
              <w:tc>
                <w:tcPr>
                  <w:tcW w:w="2381" w:type="dxa"/>
                  <w:vAlign w:val="center"/>
                </w:tcPr>
                <w:p w14:paraId="53C2221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本项目选址位于叶尔羌河右岸河道管理范围内，不占用永久基本农田；施工期采取表土剥离、防渗等措施，不会对周边农田造成土壤污染。</w:t>
                  </w:r>
                </w:p>
              </w:tc>
              <w:tc>
                <w:tcPr>
                  <w:tcW w:w="592" w:type="dxa"/>
                  <w:vAlign w:val="center"/>
                </w:tcPr>
                <w:p w14:paraId="52E0A00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AE7E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7CFB9B8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290DCC2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1.2（A1.1-6）：巴楚—麦盖提—莎车—泽普—叶城绿洲带，应加强河流的规划和管理，保护沙区湿地，新建水利工程必须充分论证，审慎决策，禁止发展高耗水工业。</w:t>
                  </w:r>
                </w:p>
              </w:tc>
              <w:tc>
                <w:tcPr>
                  <w:tcW w:w="2381" w:type="dxa"/>
                  <w:vAlign w:val="center"/>
                </w:tcPr>
                <w:p w14:paraId="0C8F0A7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本项目为防洪护岸工程，属于水利基础设施，已通过可行性研究和初步设计论证，不属于高耗水工业，运营期不消耗水资源。</w:t>
                  </w:r>
                </w:p>
              </w:tc>
              <w:tc>
                <w:tcPr>
                  <w:tcW w:w="592" w:type="dxa"/>
                  <w:vAlign w:val="center"/>
                </w:tcPr>
                <w:p w14:paraId="2E5AA5A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2347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3B7B49B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194E34C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1.3（A1.1-8）：禁止开采可耕地砖瓦用粘土矿；禁止开采对环境破坏较大的灰分大于40%或含硫大于3%的煤和砂铁、砂金等矿产。</w:t>
                  </w:r>
                </w:p>
              </w:tc>
              <w:tc>
                <w:tcPr>
                  <w:tcW w:w="2381" w:type="dxa"/>
                  <w:vAlign w:val="center"/>
                </w:tcPr>
                <w:p w14:paraId="40F2158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本项目不涉及任何矿产开采活动。</w:t>
                  </w:r>
                </w:p>
              </w:tc>
              <w:tc>
                <w:tcPr>
                  <w:tcW w:w="592" w:type="dxa"/>
                  <w:vAlign w:val="center"/>
                </w:tcPr>
                <w:p w14:paraId="59FC5C3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8637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2BF506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528C570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1.4（A1.3-1）：结合产业升级、结构调整和淘汰落后产能等政策措施，有序推进位于城市主城区的重污染企业搬迁改造。</w:t>
                  </w:r>
                </w:p>
              </w:tc>
              <w:tc>
                <w:tcPr>
                  <w:tcW w:w="2381" w:type="dxa"/>
                  <w:vAlign w:val="center"/>
                </w:tcPr>
                <w:p w14:paraId="7AD7F27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本项目为防洪护岸工程，不属于重污染企业，不涉及搬迁改造。</w:t>
                  </w:r>
                </w:p>
              </w:tc>
              <w:tc>
                <w:tcPr>
                  <w:tcW w:w="592" w:type="dxa"/>
                  <w:vAlign w:val="center"/>
                </w:tcPr>
                <w:p w14:paraId="4AD0AA8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411D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1748E25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7BEBFA3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1.5（A1.3-3）：淘汰区域内生产工艺落后、生产效率低下、严重污染环境的企业，加大环保、能耗、安全执法处罚力度，建立以节能环保标准促进“两高”行业过剩产能退出的机制。</w:t>
                  </w:r>
                </w:p>
              </w:tc>
              <w:tc>
                <w:tcPr>
                  <w:tcW w:w="2381" w:type="dxa"/>
                  <w:vAlign w:val="center"/>
                </w:tcPr>
                <w:p w14:paraId="593DC19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本项目不属于“两高”行业，不属于落后产能企业。</w:t>
                  </w:r>
                </w:p>
              </w:tc>
              <w:tc>
                <w:tcPr>
                  <w:tcW w:w="592" w:type="dxa"/>
                  <w:vAlign w:val="center"/>
                </w:tcPr>
                <w:p w14:paraId="3DA3C6F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5FA8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80BAAB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7D9DB8A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1.6（A1.3-7）：全面排查装备水平低、环保设施差的小型工业企业，开展对水环境影响较大的“低、小、散”落后企业、加工点、作坊的专项整治。</w:t>
                  </w:r>
                </w:p>
              </w:tc>
              <w:tc>
                <w:tcPr>
                  <w:tcW w:w="2381" w:type="dxa"/>
                  <w:vAlign w:val="center"/>
                </w:tcPr>
                <w:p w14:paraId="28157A0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本项目为防洪护岸工程，不属于工业企业，不涉及上述整治内容。</w:t>
                  </w:r>
                </w:p>
              </w:tc>
              <w:tc>
                <w:tcPr>
                  <w:tcW w:w="592" w:type="dxa"/>
                  <w:vAlign w:val="center"/>
                </w:tcPr>
                <w:p w14:paraId="0A55178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BDB9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7D7B28F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5D12F1F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1.7（A1.4-1）：一切开发建设活动应符合国家、自治区主体功能区规划、生态环境功能区划、国民经济发展规划、城乡总体规划、土地利用规划等相关规划及重点生态功能区负面清单要求。</w:t>
                  </w:r>
                </w:p>
              </w:tc>
              <w:tc>
                <w:tcPr>
                  <w:tcW w:w="2381" w:type="dxa"/>
                  <w:vAlign w:val="center"/>
                </w:tcPr>
                <w:p w14:paraId="7E6BE18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本项目符合《新疆维吾尔自治区主体功能区规划》（位于塔里木河荒漠化防治生态功能区）、《新疆生态功能区划》《喀什地区国民经济和社会发展“十四五”规划》等相关规划，不涉及负面清单。</w:t>
                  </w:r>
                </w:p>
              </w:tc>
              <w:tc>
                <w:tcPr>
                  <w:tcW w:w="592" w:type="dxa"/>
                  <w:vAlign w:val="center"/>
                </w:tcPr>
                <w:p w14:paraId="52A282D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D8D7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33AE47F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0743777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1.8（A1.4-2）：所有新、改（扩）建项目，必须依据《建设项目环境影响评价分类管理名录》要求进行环境影响评价；未通过审批的，一律不准开工建设。</w:t>
                  </w:r>
                </w:p>
              </w:tc>
              <w:tc>
                <w:tcPr>
                  <w:tcW w:w="2381" w:type="dxa"/>
                  <w:vAlign w:val="center"/>
                </w:tcPr>
                <w:p w14:paraId="3EA8D73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本项目依法开展环境影响评价，编制报告表，报生态环境主管部门审批后方可开工建设。</w:t>
                  </w:r>
                </w:p>
              </w:tc>
              <w:tc>
                <w:tcPr>
                  <w:tcW w:w="592" w:type="dxa"/>
                  <w:vAlign w:val="center"/>
                </w:tcPr>
                <w:p w14:paraId="5D0396C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9D56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3E7EBC5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4983CB1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1.9（A1.4-3）：加强产业政策在产业转移过程中的引导和约束作用，严禁在生态环境敏感区域建设“两高”行业项目。</w:t>
                  </w:r>
                </w:p>
              </w:tc>
              <w:tc>
                <w:tcPr>
                  <w:tcW w:w="2381" w:type="dxa"/>
                  <w:vAlign w:val="center"/>
                </w:tcPr>
                <w:p w14:paraId="0E08658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本项目不属于“两高”行业，选址不涉及自然保护区、饮用水水源保护区等生态环境敏感区域。</w:t>
                  </w:r>
                </w:p>
              </w:tc>
              <w:tc>
                <w:tcPr>
                  <w:tcW w:w="592" w:type="dxa"/>
                  <w:vAlign w:val="center"/>
                </w:tcPr>
                <w:p w14:paraId="001880B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CDA8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6B4EDF2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1DBA523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1.10（A1.4-4）：按照流域断面水质考核目标和主体功能区规划要求，明确区域环境准入条件，严禁审批淘汰类和禁止类项目，严格审批限制类项目。</w:t>
                  </w:r>
                </w:p>
              </w:tc>
              <w:tc>
                <w:tcPr>
                  <w:tcW w:w="2381" w:type="dxa"/>
                  <w:vAlign w:val="center"/>
                </w:tcPr>
                <w:p w14:paraId="7A22DE8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本项目为鼓励类项目（《产业结构调整指导目录》中“江河湖海堤防建设及河道治理工程”），不属于淘汰类、禁止类或限制类项目。</w:t>
                  </w:r>
                </w:p>
              </w:tc>
              <w:tc>
                <w:tcPr>
                  <w:tcW w:w="592" w:type="dxa"/>
                  <w:vAlign w:val="center"/>
                </w:tcPr>
                <w:p w14:paraId="4AE244B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DBE7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1D41081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1BB271E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1.11（A1.4-6）：防治畜禽养殖污染，科学划定畜禽养殖禁养区、限养区。</w:t>
                  </w:r>
                </w:p>
              </w:tc>
              <w:tc>
                <w:tcPr>
                  <w:tcW w:w="2381" w:type="dxa"/>
                  <w:vAlign w:val="center"/>
                </w:tcPr>
                <w:p w14:paraId="4D97777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本项目不涉及畜禽养殖。</w:t>
                  </w:r>
                </w:p>
              </w:tc>
              <w:tc>
                <w:tcPr>
                  <w:tcW w:w="592" w:type="dxa"/>
                  <w:vAlign w:val="center"/>
                </w:tcPr>
                <w:p w14:paraId="49EA937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120D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1A99B51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5A8E487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2.1（A7.1）：一般管控单元空间布局约束要求：禁止在法律法规规定的禁采区内新建矿山；禁止土法采、选、冶严重污染环境的矿产资源；涉及永久基本农田的区域，除法律规定的重点建设项目选址确实无法避让外，其他任何建设不得占用；畜禽养殖严格按照划定方案执行；限制进行大规模高强度工业化城镇化开发，严格控制“高污染、高环境风险产品”工业项目。</w:t>
                  </w:r>
                </w:p>
              </w:tc>
              <w:tc>
                <w:tcPr>
                  <w:tcW w:w="2381" w:type="dxa"/>
                  <w:vAlign w:val="center"/>
                </w:tcPr>
                <w:p w14:paraId="1AEC0E5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本项目不涉及矿山开采、不占用永久基本农田、不涉及畜禽养殖、不属于大规模高强度工业化城镇化开发项目，不涉及高污染、高环境风险产品。</w:t>
                  </w:r>
                </w:p>
              </w:tc>
              <w:tc>
                <w:tcPr>
                  <w:tcW w:w="592" w:type="dxa"/>
                  <w:vAlign w:val="center"/>
                </w:tcPr>
                <w:p w14:paraId="7C998C9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C855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71623D8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7B37673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3：禁止在岸线保护范围建设可能影响防洪工程安全和重要水利工程安全与正常运行的项目。不得在保护范围内倾倒垃圾和排放污染物，不得造成水体污染。</w:t>
                  </w:r>
                </w:p>
              </w:tc>
              <w:tc>
                <w:tcPr>
                  <w:tcW w:w="2381" w:type="dxa"/>
                  <w:vAlign w:val="center"/>
                </w:tcPr>
                <w:p w14:paraId="4675D55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本项目为护岸工程，属于防洪工程本身，不涉及影响防洪工程安全的建设活动。施工期废水经处理后回用不外排，固废统一收集处置，运营期无污染物排放，不向水体倾倒垃圾或排放污染物。</w:t>
                  </w:r>
                </w:p>
              </w:tc>
              <w:tc>
                <w:tcPr>
                  <w:tcW w:w="592" w:type="dxa"/>
                  <w:vAlign w:val="center"/>
                </w:tcPr>
                <w:p w14:paraId="711A684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BC83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7BD03D0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6D2E02E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4：河道采砂严格按相关法规要求进行布局和管控。</w:t>
                  </w:r>
                </w:p>
              </w:tc>
              <w:tc>
                <w:tcPr>
                  <w:tcW w:w="2381" w:type="dxa"/>
                  <w:vAlign w:val="center"/>
                </w:tcPr>
                <w:p w14:paraId="4CAD031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本项目不涉及河道采砂。</w:t>
                  </w:r>
                </w:p>
              </w:tc>
              <w:tc>
                <w:tcPr>
                  <w:tcW w:w="592" w:type="dxa"/>
                  <w:vAlign w:val="center"/>
                </w:tcPr>
                <w:p w14:paraId="0CC264C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999F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restart"/>
                  <w:vAlign w:val="center"/>
                </w:tcPr>
                <w:p w14:paraId="2B781A4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污染物排放管控</w:t>
                  </w:r>
                </w:p>
              </w:tc>
              <w:tc>
                <w:tcPr>
                  <w:tcW w:w="3583" w:type="dxa"/>
                  <w:vAlign w:val="center"/>
                </w:tcPr>
                <w:p w14:paraId="26609AA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1.1（A2.3-3）：加快县市污水处理厂及配套管网建设，提升污水收集处理能力。完善城市排水体制，确保城镇污水处理厂达标排放。</w:t>
                  </w:r>
                </w:p>
              </w:tc>
              <w:tc>
                <w:tcPr>
                  <w:tcW w:w="2381" w:type="dxa"/>
                  <w:vAlign w:val="center"/>
                </w:tcPr>
                <w:p w14:paraId="28823F3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施工生活区设置防渗化粪池，定期由吸污车清运至莎车县污水处理厂，符合污水收集处理要求。</w:t>
                  </w:r>
                </w:p>
              </w:tc>
              <w:tc>
                <w:tcPr>
                  <w:tcW w:w="592" w:type="dxa"/>
                  <w:vAlign w:val="center"/>
                </w:tcPr>
                <w:p w14:paraId="1EDBAB7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D7F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29C299F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416F723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1.2（A2.3-4）：大力发展生态畜牧业，促进畜牧业转型升级。规模化畜禽养殖场（小区）要配套建设粪便污水贮存、处理、利用设施。</w:t>
                  </w:r>
                </w:p>
              </w:tc>
              <w:tc>
                <w:tcPr>
                  <w:tcW w:w="2381" w:type="dxa"/>
                  <w:vAlign w:val="center"/>
                </w:tcPr>
                <w:p w14:paraId="7DE5360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本项目不涉及畜牧业。</w:t>
                  </w:r>
                </w:p>
              </w:tc>
              <w:tc>
                <w:tcPr>
                  <w:tcW w:w="592" w:type="dxa"/>
                  <w:vAlign w:val="center"/>
                </w:tcPr>
                <w:p w14:paraId="361BC14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BE68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72B8729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59EAF52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1.3（A2.3-5）：加大农村面源污染防治力度。加强化肥农药减量化和土壤污染治理，推进农作物秸秆和畜禽养殖废弃物资源化利用。</w:t>
                  </w:r>
                </w:p>
              </w:tc>
              <w:tc>
                <w:tcPr>
                  <w:tcW w:w="2381" w:type="dxa"/>
                  <w:vAlign w:val="center"/>
                </w:tcPr>
                <w:p w14:paraId="465350C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本项目不涉及农村面源污染。</w:t>
                  </w:r>
                </w:p>
              </w:tc>
              <w:tc>
                <w:tcPr>
                  <w:tcW w:w="592" w:type="dxa"/>
                  <w:vAlign w:val="center"/>
                </w:tcPr>
                <w:p w14:paraId="6374DE8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EFF3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514EEB1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478D4EF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1.4（A2.3-6）：以保障农产品安全和人居环境健康为出发点，加大污染场地环境风险防控和管理工作力度。</w:t>
                  </w:r>
                </w:p>
              </w:tc>
              <w:tc>
                <w:tcPr>
                  <w:tcW w:w="2381" w:type="dxa"/>
                  <w:vAlign w:val="center"/>
                </w:tcPr>
                <w:p w14:paraId="20A7170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本项目不涉及污染场地。</w:t>
                  </w:r>
                </w:p>
              </w:tc>
              <w:tc>
                <w:tcPr>
                  <w:tcW w:w="592" w:type="dxa"/>
                  <w:vAlign w:val="center"/>
                </w:tcPr>
                <w:p w14:paraId="39ADBE4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64C43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37A09A5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5EFD040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1.5（A2.3-7）：加强矿山开采扬尘综合整治和植被恢复。依法取缔城市周边无证采矿、采石和采砂企业。</w:t>
                  </w:r>
                </w:p>
              </w:tc>
              <w:tc>
                <w:tcPr>
                  <w:tcW w:w="2381" w:type="dxa"/>
                  <w:vAlign w:val="center"/>
                </w:tcPr>
                <w:p w14:paraId="3C8928F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本项目不涉及矿山开采。</w:t>
                  </w:r>
                </w:p>
              </w:tc>
              <w:tc>
                <w:tcPr>
                  <w:tcW w:w="592" w:type="dxa"/>
                  <w:vAlign w:val="center"/>
                </w:tcPr>
                <w:p w14:paraId="3CEE0C6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9C92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11738CC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465DC87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1.6（A2.3-8）：强化不达标河湖污染治理；严控废弃农膜污染。</w:t>
                  </w:r>
                </w:p>
              </w:tc>
              <w:tc>
                <w:tcPr>
                  <w:tcW w:w="2381" w:type="dxa"/>
                  <w:vAlign w:val="center"/>
                </w:tcPr>
                <w:p w14:paraId="6656627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根据地表水监测数据，叶尔羌河水质满足《地表水环境质量标准》（GB3838-2002）Ⅲ类标准，不属于不达标河湖。</w:t>
                  </w:r>
                </w:p>
              </w:tc>
              <w:tc>
                <w:tcPr>
                  <w:tcW w:w="592" w:type="dxa"/>
                  <w:vAlign w:val="center"/>
                </w:tcPr>
                <w:p w14:paraId="5C3BD61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1DCB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FEEDD1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604ED90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2.1（A7.2）：减少工业化、城镇化对大气环境的影响，严格执行喀什地区大气污染防治要求，加强常态化管控，确保环境空气质量持续稳定达标。严格污染源头防控。</w:t>
                  </w:r>
                </w:p>
              </w:tc>
              <w:tc>
                <w:tcPr>
                  <w:tcW w:w="2381" w:type="dxa"/>
                  <w:vAlign w:val="center"/>
                </w:tcPr>
                <w:p w14:paraId="342A7A3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施工期采取设置2m高硬质围挡、洒水车3辆、雾炮2台（每日洒水≥4次）、防尘网全覆盖、运输车辆密闭等措施，严格执行大气污染防治要求。</w:t>
                  </w:r>
                </w:p>
              </w:tc>
              <w:tc>
                <w:tcPr>
                  <w:tcW w:w="592" w:type="dxa"/>
                  <w:vAlign w:val="center"/>
                </w:tcPr>
                <w:p w14:paraId="31E03AF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4DD5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006EC1C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286B698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3：严格控制林地、草地、园地农药使用量，禁止使用高毒、高残留农药。</w:t>
                  </w:r>
                </w:p>
              </w:tc>
              <w:tc>
                <w:tcPr>
                  <w:tcW w:w="2381" w:type="dxa"/>
                  <w:vAlign w:val="center"/>
                </w:tcPr>
                <w:p w14:paraId="5537ED8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本项目不涉及农药使用。</w:t>
                  </w:r>
                </w:p>
              </w:tc>
              <w:tc>
                <w:tcPr>
                  <w:tcW w:w="592" w:type="dxa"/>
                  <w:vAlign w:val="center"/>
                </w:tcPr>
                <w:p w14:paraId="1FFD75C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D662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restart"/>
                  <w:vAlign w:val="center"/>
                </w:tcPr>
                <w:p w14:paraId="360B461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环境风险防控</w:t>
                  </w:r>
                </w:p>
              </w:tc>
              <w:tc>
                <w:tcPr>
                  <w:tcW w:w="3583" w:type="dxa"/>
                  <w:vAlign w:val="center"/>
                </w:tcPr>
                <w:p w14:paraId="5D886E0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1.1（A3.1）：禁止在化工园区外新建、扩建危险化学品生产项目。严格危险化学品废弃处置。加快城市及周边绿化和防风防沙林建设。科学制定并严格实施城市规划。</w:t>
                  </w:r>
                </w:p>
              </w:tc>
              <w:tc>
                <w:tcPr>
                  <w:tcW w:w="2381" w:type="dxa"/>
                  <w:vAlign w:val="center"/>
                </w:tcPr>
                <w:p w14:paraId="3506704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本项目不涉及危险化学品生产和使用。施工期配备防渗设施和吸油材料，建立环境风险应急管理机制。工程建成后有利于减少河岸冲刷、保护防风固沙林。</w:t>
                  </w:r>
                </w:p>
              </w:tc>
              <w:tc>
                <w:tcPr>
                  <w:tcW w:w="592" w:type="dxa"/>
                  <w:vAlign w:val="center"/>
                </w:tcPr>
                <w:p w14:paraId="0B5A894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42E84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410A7C0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60411C7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2.1（A7.3）：减少人类活动对自然生态系统的干扰和破坏，控制生活污染，维持水环境现状，确保水质稳中趋好；加强农田土壤、灌溉水的监测及评价。</w:t>
                  </w:r>
                </w:p>
              </w:tc>
              <w:tc>
                <w:tcPr>
                  <w:tcW w:w="2381" w:type="dxa"/>
                  <w:vAlign w:val="center"/>
                </w:tcPr>
                <w:p w14:paraId="1009C60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本项目为防洪护岸工程，施工期采取污染防治措施，运营期无污染物排放，不破坏自然生态系统，有利于维持水环境现状。工程建成后减少水土流失，保护农田土壤。</w:t>
                  </w:r>
                </w:p>
              </w:tc>
              <w:tc>
                <w:tcPr>
                  <w:tcW w:w="592" w:type="dxa"/>
                  <w:vAlign w:val="center"/>
                </w:tcPr>
                <w:p w14:paraId="6FFB9DE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1C5C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restart"/>
                  <w:vAlign w:val="center"/>
                </w:tcPr>
                <w:p w14:paraId="0D9FA07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资源利用效率要求</w:t>
                  </w:r>
                </w:p>
              </w:tc>
              <w:tc>
                <w:tcPr>
                  <w:tcW w:w="3583" w:type="dxa"/>
                  <w:vAlign w:val="center"/>
                </w:tcPr>
                <w:p w14:paraId="6E742C4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1.1（A4.1）：控制叶尔羌河流域绿洲农业用水量，提高水土资源利用效率，大力推行节水改造，维护流域下游基本生态用水。实施最严格水资源管理，严格实施取水许可制度。</w:t>
                  </w:r>
                </w:p>
              </w:tc>
              <w:tc>
                <w:tcPr>
                  <w:tcW w:w="2381" w:type="dxa"/>
                  <w:vAlign w:val="center"/>
                </w:tcPr>
                <w:p w14:paraId="6F3A23F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本项目为防洪护岸工程，运营期不消耗水资源，不新增取水口。工程建成后可有效减少河岸冲刷和水土流失，有利于保护水土资源，不挤占生态用水。</w:t>
                  </w:r>
                </w:p>
              </w:tc>
              <w:tc>
                <w:tcPr>
                  <w:tcW w:w="592" w:type="dxa"/>
                  <w:vAlign w:val="center"/>
                </w:tcPr>
                <w:p w14:paraId="74A378A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705FD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108D519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08DE8B6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1.2（A4.2）：耕地保护和集约节约利用，切实加强耕地保护工作，实现地区耕地总量不减少，质量有提高。节约集约利用建设用地。</w:t>
                  </w:r>
                </w:p>
              </w:tc>
              <w:tc>
                <w:tcPr>
                  <w:tcW w:w="2381" w:type="dxa"/>
                  <w:vAlign w:val="center"/>
                </w:tcPr>
                <w:p w14:paraId="0154EB5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本项目占用耕地按标准进行补偿；临时占地施工结束后进行土地平整和植被恢复，不影响耕地总量。</w:t>
                  </w:r>
                </w:p>
              </w:tc>
              <w:tc>
                <w:tcPr>
                  <w:tcW w:w="592" w:type="dxa"/>
                  <w:vAlign w:val="center"/>
                </w:tcPr>
                <w:p w14:paraId="5FDC5FD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378B5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8" w:type="dxa"/>
                  <w:vMerge w:val="continue"/>
                  <w:vAlign w:val="center"/>
                </w:tcPr>
                <w:p w14:paraId="25EC638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p>
              </w:tc>
              <w:tc>
                <w:tcPr>
                  <w:tcW w:w="3583" w:type="dxa"/>
                  <w:vAlign w:val="center"/>
                </w:tcPr>
                <w:p w14:paraId="3BDCD44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2.1（A7.4）：调整优化能源结构，构建清洁低碳高效能源体系，提高能源利用效率。到2025年，力争规模以上工业用水重复利用率达到94%左右。对能效低于基准水平的存量项目进行改造淘汰。</w:t>
                  </w:r>
                </w:p>
              </w:tc>
              <w:tc>
                <w:tcPr>
                  <w:tcW w:w="2381" w:type="dxa"/>
                  <w:vAlign w:val="center"/>
                </w:tcPr>
                <w:p w14:paraId="1D55090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本项目运营期仅少量巡查车辆消耗燃油，能源消耗极低；施工期用水重复利用率高（废水处理后回用），不涉及能效改造。</w:t>
                  </w:r>
                </w:p>
              </w:tc>
              <w:tc>
                <w:tcPr>
                  <w:tcW w:w="592" w:type="dxa"/>
                  <w:vAlign w:val="center"/>
                </w:tcPr>
                <w:p w14:paraId="08829AB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bl>
          <w:p w14:paraId="0F25A093">
            <w:pPr>
              <w:pStyle w:val="2"/>
              <w:spacing w:before="0" w:after="0" w:line="240" w:lineRule="auto"/>
              <w:ind w:right="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p>
          <w:p w14:paraId="23428AB0">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从上表可以看出，本项目建设符合《喀什地区“三线一单”生态环境分区管控方案》中生态环境分区管控要求。</w:t>
            </w:r>
          </w:p>
          <w:p w14:paraId="47DA3516">
            <w:pPr>
              <w:pStyle w:val="102"/>
              <w:keepNext w:val="0"/>
              <w:keepLines w:val="0"/>
              <w:suppressLineNumbers w:val="0"/>
              <w:spacing w:before="0" w:beforeAutospacing="0" w:after="0" w:afterAutospacing="0" w:line="360" w:lineRule="auto"/>
              <w:ind w:left="0" w:right="0" w:firstLine="480"/>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t>6与《新疆生态环境保护“十四五”规划》符合性分析</w:t>
            </w:r>
          </w:p>
          <w:p w14:paraId="1A424FD3">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相关条文：</w:t>
            </w:r>
          </w:p>
          <w:p w14:paraId="437A1DAC">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第四章“加强重点流域综合治理，提升水生态环境”中提出：推进重点流域水土流失综合治理，加强河湖生态缓冲带建设，提升流域防洪减灾能力，保障水生态安全。</w:t>
            </w:r>
          </w:p>
          <w:p w14:paraId="747D3AAA">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符合性分析：本项目为叶尔羌河防洪护岸工程，新建护岸6.22km，可有效遏制河岸冲刷、减少水土流失，稳定河势，提升区域防洪减灾能力，保护沿岸农田和居民安全，对改善叶尔羌河流域水生态环境具有积极作用。项目建设符合《新疆生态环境保护“十四五”规划》相关要求。</w:t>
            </w:r>
          </w:p>
          <w:p w14:paraId="0760161C">
            <w:pPr>
              <w:pStyle w:val="102"/>
              <w:keepNext w:val="0"/>
              <w:keepLines w:val="0"/>
              <w:suppressLineNumbers w:val="0"/>
              <w:spacing w:before="0" w:beforeAutospacing="0" w:after="0" w:afterAutospacing="0" w:line="360" w:lineRule="auto"/>
              <w:ind w:left="0" w:right="0" w:firstLine="480"/>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t>7与《喀什地区生态环境保护“十四五”规划》符合性分析</w:t>
            </w:r>
          </w:p>
          <w:p w14:paraId="19B39598">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相关条文：</w:t>
            </w:r>
          </w:p>
          <w:p w14:paraId="7AC0329A">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第三章“深化水环境保护与治理”中提出：加强重点河流生态保护与修复，推进防洪工程建设，减少河岸冲刷和水土流失，保障流域生态安全。</w:t>
            </w:r>
          </w:p>
          <w:p w14:paraId="695D2039">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符合性分析：本项目位于叶尔羌河右岸莎车县阿扎特巴格镇段，属规划确定的重点防洪治理河段。工程实施后可有效稳定河岸、减少河岸塌陷和水土流失，保护沿线生态环境和农田，符合《喀什地区生态环境保护“十四五”规划》相关要求。</w:t>
            </w:r>
          </w:p>
          <w:p w14:paraId="6821FF8C">
            <w:pPr>
              <w:pStyle w:val="102"/>
              <w:keepNext w:val="0"/>
              <w:keepLines w:val="0"/>
              <w:suppressLineNumbers w:val="0"/>
              <w:spacing w:before="0" w:beforeAutospacing="0" w:after="0" w:afterAutospacing="0" w:line="360" w:lineRule="auto"/>
              <w:ind w:left="0" w:right="0" w:firstLine="480"/>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t>8与《喀什地区国民经济和社会发展“十四五”规划及2035年远景目标》符合性分析</w:t>
            </w:r>
          </w:p>
          <w:p w14:paraId="05E95BAE">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相关条文：</w:t>
            </w:r>
          </w:p>
          <w:p w14:paraId="37B5336A">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第十章“建设现代化水利基础设施”中明确：加快叶尔羌河流域、喀什河流域防洪治理工程建设，推进中小河流治理、山洪地质灾害防治，保障防洪安全。</w:t>
            </w:r>
          </w:p>
          <w:p w14:paraId="213C53C7">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符合性分析：本工程为叶尔羌河莎车县阿扎特巴格镇段防洪护岸工程，属于规划明确的叶尔羌河流域防洪治理任务，项目建设直接服务于《规划》中“加快叶尔羌河流域防洪治理工程建设”的要求，符合《喀什地区国民经济和社会发展“十四五”规划及2035年远景目标》。</w:t>
            </w:r>
          </w:p>
          <w:p w14:paraId="4850219D">
            <w:pPr>
              <w:spacing w:line="360" w:lineRule="auto"/>
              <w:ind w:firstLine="482" w:firstLineChars="200"/>
              <w:jc w:val="left"/>
              <w:rPr>
                <w:rFonts w:hint="default" w:ascii="Times New Roman" w:hAnsi="Times New Roman" w:eastAsia="宋体" w:cs="Times New Roman"/>
                <w:color w:val="000000" w:themeColor="text1"/>
                <w:spacing w:val="-4"/>
                <w:sz w:val="24"/>
                <w:lang w:val="en-US" w:eastAsia="zh-CN"/>
                <w14:textFill>
                  <w14:solidFill>
                    <w14:schemeClr w14:val="tx1"/>
                  </w14:solidFill>
                </w14:textFill>
              </w:rPr>
            </w:pPr>
            <w:r>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t>9与《莎车县国民经济和社会发展第十四个五年规划和2035年远景目标纲要》符合性分析</w:t>
            </w:r>
          </w:p>
          <w:p w14:paraId="462CC241">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相关条文：</w:t>
            </w:r>
          </w:p>
          <w:p w14:paraId="3C36635B">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第四章“加强水利基础设施建设”中提出：推进叶尔羌河流域综合治理，加强防洪工程建设，保护沿岸农田和居民生命财产安全。</w:t>
            </w:r>
          </w:p>
          <w:p w14:paraId="7323228E">
            <w:pPr>
              <w:pStyle w:val="33"/>
              <w:spacing w:after="0" w:line="360" w:lineRule="auto"/>
              <w:ind w:left="0" w:leftChars="0" w:firstLine="48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符合性分析：本工程位于莎车县阿扎特巴格镇叶尔羌河右岸，建设护岸6.22km，直接服务于莎车县防洪安全保障，符合《莎车县“十四五”规划》中关于叶尔羌河防洪治理的相关要求。</w:t>
            </w:r>
          </w:p>
          <w:p w14:paraId="161D42FE">
            <w:pPr>
              <w:pStyle w:val="116"/>
              <w:ind w:firstLine="480"/>
              <w:rPr>
                <w:rFonts w:hint="default" w:ascii="Times New Roman" w:hAnsi="Times New Roman" w:eastAsia="宋体" w:cs="Times New Roman"/>
                <w:b/>
                <w:bCs w:val="0"/>
                <w:color w:val="000000" w:themeColor="text1"/>
                <w:kern w:val="0"/>
                <w:sz w:val="24"/>
                <w:lang w:val="en-US" w:eastAsia="zh-CN"/>
                <w14:textFill>
                  <w14:solidFill>
                    <w14:schemeClr w14:val="tx1"/>
                  </w14:solidFill>
                </w14:textFill>
              </w:rPr>
            </w:pPr>
            <w:r>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t>10</w:t>
            </w:r>
            <w:r>
              <w:rPr>
                <w:rFonts w:hint="default" w:ascii="Times New Roman" w:hAnsi="Times New Roman" w:eastAsia="宋体" w:cs="Times New Roman"/>
                <w:b/>
                <w:bCs w:val="0"/>
                <w:color w:val="000000" w:themeColor="text1"/>
                <w:kern w:val="2"/>
                <w:sz w:val="24"/>
                <w:szCs w:val="24"/>
                <w:highlight w:val="none"/>
                <w:lang w:val="en-US" w:eastAsia="zh-CN" w:bidi="ar-SA"/>
                <w14:textFill>
                  <w14:solidFill>
                    <w14:schemeClr w14:val="tx1"/>
                  </w14:solidFill>
                </w14:textFill>
              </w:rPr>
              <w:t>与</w:t>
            </w:r>
            <w:r>
              <w:rPr>
                <w:rFonts w:hint="default" w:ascii="Times New Roman" w:hAnsi="Times New Roman" w:eastAsia="宋体" w:cs="Times New Roman"/>
                <w:b/>
                <w:bCs w:val="0"/>
                <w:color w:val="000000" w:themeColor="text1"/>
                <w:kern w:val="0"/>
                <w:sz w:val="24"/>
                <w:lang w:val="en-US" w:eastAsia="zh-CN"/>
                <w14:textFill>
                  <w14:solidFill>
                    <w14:schemeClr w14:val="tx1"/>
                  </w14:solidFill>
                </w14:textFill>
              </w:rPr>
              <w:t>《</w:t>
            </w:r>
            <w:r>
              <w:rPr>
                <w:rFonts w:hint="default" w:ascii="Times New Roman" w:hAnsi="Times New Roman" w:eastAsia="宋体" w:cs="Times New Roman"/>
                <w:b/>
                <w:bCs w:val="0"/>
                <w:color w:val="000000" w:themeColor="text1"/>
                <w:kern w:val="0"/>
                <w:sz w:val="24"/>
                <w14:textFill>
                  <w14:solidFill>
                    <w14:schemeClr w14:val="tx1"/>
                  </w14:solidFill>
                </w14:textFill>
              </w:rPr>
              <w:t>新疆维吾尔自治区主体功能区规划</w:t>
            </w:r>
            <w:r>
              <w:rPr>
                <w:rFonts w:hint="default" w:ascii="Times New Roman" w:hAnsi="Times New Roman" w:eastAsia="宋体" w:cs="Times New Roman"/>
                <w:b/>
                <w:bCs w:val="0"/>
                <w:color w:val="000000" w:themeColor="text1"/>
                <w:kern w:val="0"/>
                <w:sz w:val="24"/>
                <w:lang w:val="en-US" w:eastAsia="zh-CN"/>
                <w14:textFill>
                  <w14:solidFill>
                    <w14:schemeClr w14:val="tx1"/>
                  </w14:solidFill>
                </w14:textFill>
              </w:rPr>
              <w:t>》符合性分析</w:t>
            </w:r>
          </w:p>
          <w:p w14:paraId="14C92723">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根据《新疆维吾尔自治区主体功能区规划》，喀什地区麦盖提县全域（包括其下辖的尕孜库勒乡）被划入限制开发区域中的“重点生态功能区”，具体位于国家级“塔里木河荒漠化防治生态功能区”内，发展活动需以生态保护与修复、防治土地沙漠化为核心，严格控制开发强度；而莎车县阿扎特巴格镇则属于限制开发区域中的“国家级农产品主产区”，并在县域国土空间规划中被进一步定位为“农旅型乡镇”，其发展以保障粮食安全和特色农业为基础，同时依托河流生态景观适度发展生态观光旅游，实现农业与旅游业的融合。</w:t>
            </w:r>
          </w:p>
          <w:p w14:paraId="573CCB33">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本工程新建护岸6.22km，可有效减少河岸冲刷、防止水土流失、保护沿岸农田，符合农产品主产区的发展方向。</w:t>
            </w:r>
          </w:p>
          <w:p w14:paraId="4309488D">
            <w:pPr>
              <w:pStyle w:val="116"/>
              <w:numPr>
                <w:ilvl w:val="0"/>
                <w:numId w:val="0"/>
              </w:numPr>
              <w:ind w:left="630" w:leftChars="0"/>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t>11与《新疆维吾尔自治区生态功能区划》符合性分析</w:t>
            </w:r>
          </w:p>
          <w:p w14:paraId="60946B80">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相关条文：</w:t>
            </w:r>
          </w:p>
          <w:p w14:paraId="5D549BD2">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项目区位于“叶尔羌河平原绿洲农业及荒漠河岸林保护生态功能区”，主要保护目标为：保护荒漠植被、保护荒漠河岸林、保护农田土壤环境质量。</w:t>
            </w:r>
          </w:p>
          <w:p w14:paraId="3CE65BB3">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符合性分析：本项目为防洪护岸工程，通过建设护岸稳定河岸、减少水土流失，间接保护河岸带荒漠植被和农田土壤，有利于维护该生态功能区的保护目标，与《新疆维吾尔自治区生态功能区划》要求相符。</w:t>
            </w:r>
          </w:p>
          <w:p w14:paraId="1D1518E1">
            <w:pPr>
              <w:keepNext w:val="0"/>
              <w:keepLines w:val="0"/>
              <w:numPr>
                <w:ilvl w:val="0"/>
                <w:numId w:val="0"/>
              </w:numPr>
              <w:suppressLineNumbers w:val="0"/>
              <w:autoSpaceDE w:val="0"/>
              <w:autoSpaceDN w:val="0"/>
              <w:spacing w:before="0" w:beforeAutospacing="0" w:after="0" w:afterAutospacing="0" w:line="360" w:lineRule="auto"/>
              <w:ind w:left="0" w:right="0" w:rightChars="0" w:firstLine="482" w:firstLineChars="200"/>
              <w:rPr>
                <w:rFonts w:hint="default" w:ascii="Times New Roman" w:hAnsi="Times New Roman" w:eastAsia="宋体" w:cs="Times New Roman"/>
                <w:b/>
                <w:bCs/>
                <w:color w:val="000000" w:themeColor="text1"/>
                <w:kern w:val="0"/>
                <w:sz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kern w:val="0"/>
                <w:sz w:val="24"/>
                <w:highlight w:val="none"/>
                <w:lang w:val="en-US" w:eastAsia="zh-CN"/>
                <w14:textFill>
                  <w14:solidFill>
                    <w14:schemeClr w14:val="tx1"/>
                  </w14:solidFill>
                </w14:textFill>
              </w:rPr>
              <w:t>12</w:t>
            </w:r>
            <w:r>
              <w:rPr>
                <w:rFonts w:hint="default" w:ascii="Times New Roman" w:hAnsi="Times New Roman" w:eastAsia="宋体" w:cs="Times New Roman"/>
                <w:b/>
                <w:bCs/>
                <w:color w:val="000000" w:themeColor="text1"/>
                <w:kern w:val="0"/>
                <w:sz w:val="24"/>
                <w:highlight w:val="none"/>
                <w14:textFill>
                  <w14:solidFill>
                    <w14:schemeClr w14:val="tx1"/>
                  </w14:solidFill>
                </w14:textFill>
              </w:rPr>
              <w:t>《</w:t>
            </w:r>
            <w:r>
              <w:rPr>
                <w:rFonts w:hint="default" w:ascii="Times New Roman" w:hAnsi="Times New Roman" w:eastAsia="宋体" w:cs="Times New Roman"/>
                <w:b/>
                <w:bCs/>
                <w:color w:val="000000" w:themeColor="text1"/>
                <w:kern w:val="0"/>
                <w:sz w:val="24"/>
                <w:highlight w:val="none"/>
                <w:lang w:eastAsia="zh-CN"/>
                <w14:textFill>
                  <w14:solidFill>
                    <w14:schemeClr w14:val="tx1"/>
                  </w14:solidFill>
                </w14:textFill>
              </w:rPr>
              <w:t>工业料堆场扬尘整治规范</w:t>
            </w:r>
            <w:r>
              <w:rPr>
                <w:rFonts w:hint="default" w:ascii="Times New Roman" w:hAnsi="Times New Roman" w:eastAsia="宋体" w:cs="Times New Roman"/>
                <w:b/>
                <w:bCs/>
                <w:color w:val="000000" w:themeColor="text1"/>
                <w:kern w:val="0"/>
                <w:sz w:val="24"/>
                <w:highlight w:val="none"/>
                <w14:textFill>
                  <w14:solidFill>
                    <w14:schemeClr w14:val="tx1"/>
                  </w14:solidFill>
                </w14:textFill>
              </w:rPr>
              <w:t>》</w:t>
            </w:r>
            <w:r>
              <w:rPr>
                <w:rFonts w:hint="default" w:ascii="Times New Roman" w:hAnsi="Times New Roman" w:eastAsia="宋体" w:cs="Times New Roman"/>
                <w:b/>
                <w:bCs/>
                <w:color w:val="000000" w:themeColor="text1"/>
                <w:kern w:val="0"/>
                <w:sz w:val="24"/>
                <w:highlight w:val="none"/>
                <w:lang w:eastAsia="zh-CN"/>
                <w14:textFill>
                  <w14:solidFill>
                    <w14:schemeClr w14:val="tx1"/>
                  </w14:solidFill>
                </w14:textFill>
              </w:rPr>
              <w:t>（</w:t>
            </w:r>
            <w:r>
              <w:rPr>
                <w:rFonts w:hint="default" w:ascii="Times New Roman" w:hAnsi="Times New Roman" w:eastAsia="宋体" w:cs="Times New Roman"/>
                <w:b/>
                <w:bCs/>
                <w:color w:val="000000" w:themeColor="text1"/>
                <w:kern w:val="0"/>
                <w:sz w:val="24"/>
                <w:highlight w:val="none"/>
                <w:lang w:val="en-US" w:eastAsia="zh-CN"/>
                <w14:textFill>
                  <w14:solidFill>
                    <w14:schemeClr w14:val="tx1"/>
                  </w14:solidFill>
                </w14:textFill>
              </w:rPr>
              <w:t>DB65/T4061-2017</w:t>
            </w:r>
            <w:r>
              <w:rPr>
                <w:rFonts w:hint="default" w:ascii="Times New Roman" w:hAnsi="Times New Roman" w:eastAsia="宋体" w:cs="Times New Roman"/>
                <w:b/>
                <w:bCs/>
                <w:color w:val="000000" w:themeColor="text1"/>
                <w:kern w:val="0"/>
                <w:sz w:val="24"/>
                <w:highlight w:val="none"/>
                <w:lang w:eastAsia="zh-CN"/>
                <w14:textFill>
                  <w14:solidFill>
                    <w14:schemeClr w14:val="tx1"/>
                  </w14:solidFill>
                </w14:textFill>
              </w:rPr>
              <w:t>）</w:t>
            </w:r>
            <w:r>
              <w:rPr>
                <w:rFonts w:hint="default" w:ascii="Times New Roman" w:hAnsi="Times New Roman" w:eastAsia="宋体" w:cs="Times New Roman"/>
                <w:b/>
                <w:bCs/>
                <w:color w:val="000000" w:themeColor="text1"/>
                <w:kern w:val="0"/>
                <w:sz w:val="24"/>
                <w:highlight w:val="none"/>
                <w:lang w:val="en-US" w:eastAsia="zh-CN"/>
                <w14:textFill>
                  <w14:solidFill>
                    <w14:schemeClr w14:val="tx1"/>
                  </w14:solidFill>
                </w14:textFill>
              </w:rPr>
              <w:t>符合性分析</w:t>
            </w:r>
          </w:p>
          <w:p w14:paraId="5A1ADBED">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b w:val="0"/>
                <w:bCs/>
                <w:color w:val="000000" w:themeColor="text1"/>
                <w:kern w:val="0"/>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本项目</w:t>
            </w:r>
            <w:r>
              <w:rPr>
                <w:rFonts w:hint="default" w:ascii="Times New Roman" w:hAnsi="Times New Roman" w:eastAsia="宋体" w:cs="Times New Roman"/>
                <w:b w:val="0"/>
                <w:bCs/>
                <w:color w:val="000000" w:themeColor="text1"/>
                <w:kern w:val="0"/>
                <w:sz w:val="24"/>
                <w:szCs w:val="24"/>
                <w:highlight w:val="none"/>
                <w:lang w:eastAsia="zh-CN"/>
                <w14:textFill>
                  <w14:solidFill>
                    <w14:schemeClr w14:val="tx1"/>
                  </w14:solidFill>
                </w14:textFill>
              </w:rPr>
              <w:t>《工业料堆场扬尘整治规范</w:t>
            </w:r>
            <w:r>
              <w:rPr>
                <w:rFonts w:hint="default" w:ascii="Times New Roman" w:hAnsi="Times New Roman" w:eastAsia="宋体" w:cs="Times New Roman"/>
                <w:b w:val="0"/>
                <w:bCs/>
                <w:color w:val="000000" w:themeColor="text1"/>
                <w:kern w:val="0"/>
                <w:sz w:val="24"/>
                <w:szCs w:val="24"/>
                <w:highlight w:val="none"/>
                <w14:textFill>
                  <w14:solidFill>
                    <w14:schemeClr w14:val="tx1"/>
                  </w14:solidFill>
                </w14:textFill>
              </w:rPr>
              <w:t>》</w:t>
            </w:r>
            <w:r>
              <w:rPr>
                <w:rFonts w:hint="default" w:ascii="Times New Roman" w:hAnsi="Times New Roman" w:eastAsia="宋体" w:cs="Times New Roman"/>
                <w:b w:val="0"/>
                <w:bCs/>
                <w:color w:val="000000" w:themeColor="text1"/>
                <w:kern w:val="0"/>
                <w:sz w:val="24"/>
                <w:szCs w:val="24"/>
                <w:highlight w:val="none"/>
                <w:lang w:eastAsia="zh-CN"/>
                <w14:textFill>
                  <w14:solidFill>
                    <w14:schemeClr w14:val="tx1"/>
                  </w14:solidFill>
                </w14:textFill>
              </w:rPr>
              <w:t>（</w:t>
            </w:r>
            <w:r>
              <w:rPr>
                <w:rFonts w:hint="default" w:ascii="Times New Roman" w:hAnsi="Times New Roman" w:eastAsia="宋体" w:cs="Times New Roman"/>
                <w:b w:val="0"/>
                <w:bCs/>
                <w:color w:val="000000" w:themeColor="text1"/>
                <w:kern w:val="0"/>
                <w:sz w:val="24"/>
                <w:szCs w:val="24"/>
                <w:highlight w:val="none"/>
                <w:lang w:val="en-US" w:eastAsia="zh-CN"/>
                <w14:textFill>
                  <w14:solidFill>
                    <w14:schemeClr w14:val="tx1"/>
                  </w14:solidFill>
                </w14:textFill>
              </w:rPr>
              <w:t>DB65/T4061-2017</w:t>
            </w:r>
            <w:r>
              <w:rPr>
                <w:rFonts w:hint="default" w:ascii="Times New Roman" w:hAnsi="Times New Roman" w:eastAsia="宋体" w:cs="Times New Roman"/>
                <w:b w:val="0"/>
                <w:bCs/>
                <w:color w:val="000000" w:themeColor="text1"/>
                <w:kern w:val="0"/>
                <w:sz w:val="24"/>
                <w:szCs w:val="24"/>
                <w:highlight w:val="none"/>
                <w:lang w:eastAsia="zh-CN"/>
                <w14:textFill>
                  <w14:solidFill>
                    <w14:schemeClr w14:val="tx1"/>
                  </w14:solidFill>
                </w14:textFill>
              </w:rPr>
              <w:t>）</w:t>
            </w:r>
            <w:r>
              <w:rPr>
                <w:rFonts w:hint="default" w:ascii="Times New Roman" w:hAnsi="Times New Roman" w:eastAsia="宋体" w:cs="Times New Roman"/>
                <w:b w:val="0"/>
                <w:bCs/>
                <w:color w:val="000000" w:themeColor="text1"/>
                <w:kern w:val="0"/>
                <w:sz w:val="24"/>
                <w:szCs w:val="24"/>
                <w:highlight w:val="none"/>
                <w:lang w:val="en-US" w:eastAsia="zh-CN"/>
                <w14:textFill>
                  <w14:solidFill>
                    <w14:schemeClr w14:val="tx1"/>
                  </w14:solidFill>
                </w14:textFill>
              </w:rPr>
              <w:t>符合性分析见下表。</w:t>
            </w:r>
          </w:p>
          <w:p w14:paraId="57E1411A">
            <w:pPr>
              <w:pStyle w:val="93"/>
              <w:keepNext w:val="0"/>
              <w:keepLines w:val="0"/>
              <w:numPr>
                <w:ilvl w:val="0"/>
                <w:numId w:val="0"/>
              </w:numPr>
              <w:suppressLineNumbers w:val="0"/>
              <w:spacing w:before="56" w:beforeAutospacing="0" w:after="0" w:afterAutospacing="0" w:line="364" w:lineRule="auto"/>
              <w:ind w:left="523" w:leftChars="0" w:right="136" w:rightChars="0"/>
              <w:rPr>
                <w:rFonts w:hint="default" w:ascii="Times New Roman" w:hAnsi="Times New Roman" w:eastAsia="宋体" w:cs="Times New Roman"/>
                <w:b/>
                <w:color w:val="000000" w:themeColor="text1"/>
                <w:sz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1"/>
                <w:highlight w:val="none"/>
                <w14:textFill>
                  <w14:solidFill>
                    <w14:schemeClr w14:val="tx1"/>
                  </w14:solidFill>
                </w14:textFill>
              </w:rPr>
              <w:t>表1-</w:t>
            </w:r>
            <w:r>
              <w:rPr>
                <w:rFonts w:hint="default" w:ascii="Times New Roman" w:hAnsi="Times New Roman" w:eastAsia="宋体" w:cs="Times New Roman"/>
                <w:b/>
                <w:color w:val="000000" w:themeColor="text1"/>
                <w:sz w:val="21"/>
                <w:highlight w:val="none"/>
                <w:lang w:val="en-US" w:eastAsia="zh-CN"/>
                <w14:textFill>
                  <w14:solidFill>
                    <w14:schemeClr w14:val="tx1"/>
                  </w14:solidFill>
                </w14:textFill>
              </w:rPr>
              <w:t>6</w:t>
            </w:r>
            <w:r>
              <w:rPr>
                <w:rFonts w:hint="default" w:ascii="Times New Roman" w:hAnsi="Times New Roman" w:eastAsia="宋体" w:cs="Times New Roman"/>
                <w:b/>
                <w:color w:val="000000" w:themeColor="text1"/>
                <w:sz w:val="21"/>
                <w:highlight w:val="none"/>
                <w14:textFill>
                  <w14:solidFill>
                    <w14:schemeClr w14:val="tx1"/>
                  </w14:solidFill>
                </w14:textFill>
              </w:rPr>
              <w:t>与《</w:t>
            </w:r>
            <w:r>
              <w:rPr>
                <w:rFonts w:hint="default" w:ascii="Times New Roman" w:hAnsi="Times New Roman" w:eastAsia="宋体" w:cs="Times New Roman"/>
                <w:b/>
                <w:color w:val="000000" w:themeColor="text1"/>
                <w:sz w:val="21"/>
                <w:highlight w:val="none"/>
                <w:lang w:eastAsia="zh-CN"/>
                <w14:textFill>
                  <w14:solidFill>
                    <w14:schemeClr w14:val="tx1"/>
                  </w14:solidFill>
                </w14:textFill>
              </w:rPr>
              <w:t>工业料堆场扬尘整治规范</w:t>
            </w:r>
            <w:r>
              <w:rPr>
                <w:rFonts w:hint="default" w:ascii="Times New Roman" w:hAnsi="Times New Roman" w:eastAsia="宋体" w:cs="Times New Roman"/>
                <w:b/>
                <w:color w:val="000000" w:themeColor="text1"/>
                <w:sz w:val="21"/>
                <w:highlight w:val="none"/>
                <w14:textFill>
                  <w14:solidFill>
                    <w14:schemeClr w14:val="tx1"/>
                  </w14:solidFill>
                </w14:textFill>
              </w:rPr>
              <w:t>》</w:t>
            </w:r>
            <w:r>
              <w:rPr>
                <w:rFonts w:hint="default" w:ascii="Times New Roman" w:hAnsi="Times New Roman" w:eastAsia="宋体" w:cs="Times New Roman"/>
                <w:b/>
                <w:color w:val="000000" w:themeColor="text1"/>
                <w:sz w:val="21"/>
                <w:highlight w:val="none"/>
                <w:lang w:eastAsia="zh-CN"/>
                <w14:textFill>
                  <w14:solidFill>
                    <w14:schemeClr w14:val="tx1"/>
                  </w14:solidFill>
                </w14:textFill>
              </w:rPr>
              <w:t>（</w:t>
            </w:r>
            <w:r>
              <w:rPr>
                <w:rFonts w:hint="default" w:ascii="Times New Roman" w:hAnsi="Times New Roman" w:eastAsia="宋体" w:cs="Times New Roman"/>
                <w:b/>
                <w:color w:val="000000" w:themeColor="text1"/>
                <w:sz w:val="21"/>
                <w:highlight w:val="none"/>
                <w:lang w:val="en-US" w:eastAsia="zh-CN"/>
                <w14:textFill>
                  <w14:solidFill>
                    <w14:schemeClr w14:val="tx1"/>
                  </w14:solidFill>
                </w14:textFill>
              </w:rPr>
              <w:t>DB65/T4061-2017</w:t>
            </w:r>
            <w:r>
              <w:rPr>
                <w:rFonts w:hint="default" w:ascii="Times New Roman" w:hAnsi="Times New Roman" w:eastAsia="宋体" w:cs="Times New Roman"/>
                <w:b/>
                <w:color w:val="000000" w:themeColor="text1"/>
                <w:sz w:val="21"/>
                <w:highlight w:val="none"/>
                <w:lang w:eastAsia="zh-CN"/>
                <w14:textFill>
                  <w14:solidFill>
                    <w14:schemeClr w14:val="tx1"/>
                  </w14:solidFill>
                </w14:textFill>
              </w:rPr>
              <w:t>）</w:t>
            </w:r>
            <w:r>
              <w:rPr>
                <w:rFonts w:hint="default" w:ascii="Times New Roman" w:hAnsi="Times New Roman" w:eastAsia="宋体" w:cs="Times New Roman"/>
                <w:b/>
                <w:color w:val="000000" w:themeColor="text1"/>
                <w:sz w:val="21"/>
                <w:highlight w:val="none"/>
                <w14:textFill>
                  <w14:solidFill>
                    <w14:schemeClr w14:val="tx1"/>
                  </w14:solidFill>
                </w14:textFill>
              </w:rPr>
              <w:t>相符性</w:t>
            </w:r>
            <w:r>
              <w:rPr>
                <w:rFonts w:hint="default" w:ascii="Times New Roman" w:hAnsi="Times New Roman" w:eastAsia="宋体" w:cs="Times New Roman"/>
                <w:b/>
                <w:color w:val="000000" w:themeColor="text1"/>
                <w:sz w:val="21"/>
                <w:highlight w:val="none"/>
                <w:lang w:val="en-US" w:eastAsia="zh-CN"/>
                <w14:textFill>
                  <w14:solidFill>
                    <w14:schemeClr w14:val="tx1"/>
                  </w14:solidFill>
                </w14:textFill>
              </w:rPr>
              <w:t>分析</w:t>
            </w:r>
          </w:p>
          <w:tbl>
            <w:tblPr>
              <w:tblStyle w:val="35"/>
              <w:tblW w:w="73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4"/>
              <w:gridCol w:w="2607"/>
              <w:gridCol w:w="3699"/>
              <w:gridCol w:w="462"/>
            </w:tblGrid>
            <w:tr w14:paraId="2A013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1" w:type="dxa"/>
                  <w:vAlign w:val="center"/>
                </w:tcPr>
                <w:p w14:paraId="00565E9B">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类别</w:t>
                  </w:r>
                </w:p>
              </w:tc>
              <w:tc>
                <w:tcPr>
                  <w:tcW w:w="2630" w:type="dxa"/>
                  <w:vAlign w:val="center"/>
                </w:tcPr>
                <w:p w14:paraId="39D3A3B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相关要求</w:t>
                  </w:r>
                </w:p>
              </w:tc>
              <w:tc>
                <w:tcPr>
                  <w:tcW w:w="3719" w:type="dxa"/>
                  <w:vAlign w:val="center"/>
                </w:tcPr>
                <w:p w14:paraId="18625F5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本项目情况</w:t>
                  </w:r>
                </w:p>
              </w:tc>
              <w:tc>
                <w:tcPr>
                  <w:tcW w:w="462" w:type="dxa"/>
                  <w:vAlign w:val="center"/>
                </w:tcPr>
                <w:p w14:paraId="7B64C698">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相符性</w:t>
                  </w:r>
                </w:p>
              </w:tc>
            </w:tr>
            <w:tr w14:paraId="2DA68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1" w:type="dxa"/>
                  <w:vAlign w:val="center"/>
                </w:tcPr>
                <w:p w14:paraId="6FF67C4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5.1</w:t>
                  </w:r>
                </w:p>
              </w:tc>
              <w:tc>
                <w:tcPr>
                  <w:tcW w:w="2630" w:type="dxa"/>
                  <w:vAlign w:val="center"/>
                </w:tcPr>
                <w:p w14:paraId="60BBEF6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各企业应建立工业料堆场扬尘污染控制管理制度和工业料堆场作业相关操作规程，落实专人负责本单位的工业料堆场扬尘污染控制工作。</w:t>
                  </w:r>
                </w:p>
              </w:tc>
              <w:tc>
                <w:tcPr>
                  <w:tcW w:w="3719" w:type="dxa"/>
                  <w:vAlign w:val="center"/>
                </w:tcPr>
                <w:p w14:paraId="25FDF42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施工单位在开工前制定《料堆场扬尘污染控制管理制度》及《料堆场作业操作规程》，明确责任人（环保专员），建立台账记录每日洒水、覆盖、冲洗等情况，台账保存至工程竣工。</w:t>
                  </w:r>
                </w:p>
              </w:tc>
              <w:tc>
                <w:tcPr>
                  <w:tcW w:w="462" w:type="dxa"/>
                  <w:vAlign w:val="center"/>
                </w:tcPr>
                <w:p w14:paraId="3E52DA9C">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3A95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1" w:type="dxa"/>
                  <w:vAlign w:val="center"/>
                </w:tcPr>
                <w:p w14:paraId="789769F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5.2</w:t>
                  </w:r>
                </w:p>
              </w:tc>
              <w:tc>
                <w:tcPr>
                  <w:tcW w:w="2630" w:type="dxa"/>
                  <w:vAlign w:val="center"/>
                </w:tcPr>
                <w:p w14:paraId="5EA61CC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工业料堆场及其扬尘污染防治工程的设计应符合相关规定要求。</w:t>
                  </w:r>
                </w:p>
              </w:tc>
              <w:tc>
                <w:tcPr>
                  <w:tcW w:w="3719" w:type="dxa"/>
                  <w:vAlign w:val="center"/>
                </w:tcPr>
                <w:p w14:paraId="3EEF8FC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堆场四周设置不低于2m的硬质封闭围挡，围挡下部设防溢座；堆体采用防尘网（网目≥2000目/100cm²）全覆盖，边缘压实固定；出入口设置车辆冲洗设施（冲洗压力≥0.3MPa，冲洗时间≥1min）。设计符合《建设工程施工现场环境与卫生标准》（JGJ146）要求。</w:t>
                  </w:r>
                </w:p>
              </w:tc>
              <w:tc>
                <w:tcPr>
                  <w:tcW w:w="462" w:type="dxa"/>
                  <w:vAlign w:val="center"/>
                </w:tcPr>
                <w:p w14:paraId="6F5AF646">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6134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1" w:type="dxa"/>
                  <w:vAlign w:val="center"/>
                </w:tcPr>
                <w:p w14:paraId="282D9EB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5.3</w:t>
                  </w:r>
                </w:p>
              </w:tc>
              <w:tc>
                <w:tcPr>
                  <w:tcW w:w="2630" w:type="dxa"/>
                  <w:vAlign w:val="center"/>
                </w:tcPr>
                <w:p w14:paraId="0A0CD8E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选择工业料堆场位置应结合当地的自然环境、气象条件及水文地质条件。</w:t>
                  </w:r>
                </w:p>
              </w:tc>
              <w:tc>
                <w:tcPr>
                  <w:tcW w:w="3719" w:type="dxa"/>
                  <w:vAlign w:val="center"/>
                </w:tcPr>
                <w:p w14:paraId="4B37218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堆场位于工程区河段右岸堤后空地，地质稳定，无滑坡、崩塌等不良地质现象；不位于居民区、学校等环境敏感点的上风向（喀什地区主导风向为西北风，堆场位于敏感点下风向或侧风向）。</w:t>
                  </w:r>
                </w:p>
              </w:tc>
              <w:tc>
                <w:tcPr>
                  <w:tcW w:w="462" w:type="dxa"/>
                  <w:vAlign w:val="center"/>
                </w:tcPr>
                <w:p w14:paraId="1B147C1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0AA5F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1" w:type="dxa"/>
                  <w:vAlign w:val="center"/>
                </w:tcPr>
                <w:p w14:paraId="5A179A4E">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5.5</w:t>
                  </w:r>
                </w:p>
              </w:tc>
              <w:tc>
                <w:tcPr>
                  <w:tcW w:w="2630" w:type="dxa"/>
                  <w:vAlign w:val="center"/>
                </w:tcPr>
                <w:p w14:paraId="5B776645">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工业料堆场应布置在厂区的最小风频方向上，其长边应平行于厂区的主导风向。</w:t>
                  </w:r>
                </w:p>
              </w:tc>
              <w:tc>
                <w:tcPr>
                  <w:tcW w:w="3719" w:type="dxa"/>
                  <w:vAlign w:val="center"/>
                </w:tcPr>
                <w:p w14:paraId="55FFB3D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根据喀什地区气象资料，主导风向为西北风（频率约18%），堆场位于施工区最小风频方向（东南侧），堆场长边平行于主导风向（西北-东南走向），减少横向受风面积，降低扬尘产生量。</w:t>
                  </w:r>
                </w:p>
              </w:tc>
              <w:tc>
                <w:tcPr>
                  <w:tcW w:w="462" w:type="dxa"/>
                  <w:vAlign w:val="center"/>
                </w:tcPr>
                <w:p w14:paraId="2EB0E4F1">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3275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1" w:type="dxa"/>
                  <w:vAlign w:val="center"/>
                </w:tcPr>
                <w:p w14:paraId="5D76610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5.6</w:t>
                  </w:r>
                </w:p>
              </w:tc>
              <w:tc>
                <w:tcPr>
                  <w:tcW w:w="2630" w:type="dxa"/>
                  <w:vAlign w:val="center"/>
                </w:tcPr>
                <w:p w14:paraId="55D1A719">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工业料堆场的污染防治应从源头控制，减少堆存量，通过优化生产原料配置、厂区布置，提高管理水平、改善污染防治技术工艺、加强综合利用等措施减少环境污染，各工业大气污染物排放应符合相关规定。</w:t>
                  </w:r>
                </w:p>
              </w:tc>
              <w:tc>
                <w:tcPr>
                  <w:tcW w:w="3719" w:type="dxa"/>
                  <w:vAlign w:val="center"/>
                </w:tcPr>
                <w:p w14:paraId="35BA309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施工材料按“周用量”分批进场，堆存周期不超过7天，减少堆存量；②砂石料、水泥等分类分区堆放，避免交叉污染；③采用“先覆盖后作业、随用随掀、用后即盖”管理模式；④混凝土拌和采用工棚内半封闭作业，上料口设喷淋装置；⑤颗粒物无组织排放满足《大气污染物综合排放标准》（GB16297-1996）表2限值（≤1.0mg/m³）。</w:t>
                  </w:r>
                </w:p>
              </w:tc>
              <w:tc>
                <w:tcPr>
                  <w:tcW w:w="462" w:type="dxa"/>
                  <w:vAlign w:val="center"/>
                </w:tcPr>
                <w:p w14:paraId="25668C3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5E80D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1" w:type="dxa"/>
                  <w:vAlign w:val="center"/>
                </w:tcPr>
                <w:p w14:paraId="64FC4DCD">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5.8</w:t>
                  </w:r>
                </w:p>
              </w:tc>
              <w:tc>
                <w:tcPr>
                  <w:tcW w:w="2630" w:type="dxa"/>
                  <w:vAlign w:val="center"/>
                </w:tcPr>
                <w:p w14:paraId="3B5CB327">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对工业料堆场内装卸、运输等作业过程中，易产生扬尘污染的物料必须采取封闭、遮盖、洒水降尘措施，密闭输送物料必须在装料、卸料处配备吸尘、喷淋防尘措施。</w:t>
                  </w:r>
                </w:p>
              </w:tc>
              <w:tc>
                <w:tcPr>
                  <w:tcW w:w="3719" w:type="dxa"/>
                  <w:vAlign w:val="center"/>
                </w:tcPr>
                <w:p w14:paraId="67CC39E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装卸作业时采用雾炮（2台）对准装卸点喷淋降尘，洒水车（3辆）同步洒水；②运输车辆采用篷布密闭覆盖，装载高度不超过车厢上沿，边缘遮盖≥15cm；③铲车装料时控制落差≤0.5m，减少扬尘；④场内输送皮带设置防尘罩，上料口、落料口各设1组喷淋装置（水雾粒径≤50μm）。</w:t>
                  </w:r>
                </w:p>
              </w:tc>
              <w:tc>
                <w:tcPr>
                  <w:tcW w:w="462" w:type="dxa"/>
                  <w:vAlign w:val="center"/>
                </w:tcPr>
                <w:p w14:paraId="52FF063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2F8C3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1" w:type="dxa"/>
                  <w:vAlign w:val="center"/>
                </w:tcPr>
                <w:p w14:paraId="5E94CAA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5.9</w:t>
                  </w:r>
                </w:p>
              </w:tc>
              <w:tc>
                <w:tcPr>
                  <w:tcW w:w="2630" w:type="dxa"/>
                  <w:vAlign w:val="center"/>
                </w:tcPr>
                <w:p w14:paraId="7FF67324">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露天工业料堆场存放袋装、桶装及箱装件物品时，应加盖篷布遮护。</w:t>
                  </w:r>
                </w:p>
              </w:tc>
              <w:tc>
                <w:tcPr>
                  <w:tcW w:w="3719" w:type="dxa"/>
                  <w:vAlign w:val="center"/>
                </w:tcPr>
                <w:p w14:paraId="03A5DD90">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水泥、外加剂等袋装材料堆放于原料堆场内，堆放高度不超过1.5m，采用防水篷布整体遮盖，篷布边缘用袋装土或砖块压实，防止风掀；袋装材料随用随拆，拆除后及时覆盖。</w:t>
                  </w:r>
                </w:p>
              </w:tc>
              <w:tc>
                <w:tcPr>
                  <w:tcW w:w="462" w:type="dxa"/>
                  <w:vAlign w:val="center"/>
                </w:tcPr>
                <w:p w14:paraId="000BEB4A">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r w14:paraId="10634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1" w:type="dxa"/>
                  <w:vAlign w:val="center"/>
                </w:tcPr>
                <w:p w14:paraId="713E00F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5.13</w:t>
                  </w:r>
                </w:p>
              </w:tc>
              <w:tc>
                <w:tcPr>
                  <w:tcW w:w="2630" w:type="dxa"/>
                  <w:vAlign w:val="center"/>
                </w:tcPr>
                <w:p w14:paraId="324A9CBF">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应管理和维护好料堆场堆存、装卸、输送和扬尘污染防治的设施、设备和场所，保证其正常运行和使用，并设立图形标志牌。</w:t>
                  </w:r>
                </w:p>
              </w:tc>
              <w:tc>
                <w:tcPr>
                  <w:tcW w:w="3719" w:type="dxa"/>
                  <w:vAlign w:val="center"/>
                </w:tcPr>
                <w:p w14:paraId="2DC4D232">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建立设备维护台账，洒水车、雾炮、冲洗设施每日检查1次，防尘网每周检查破损情况并及时修补；②在堆场出入口显著位置设置扬尘污染防治责任牌（尺寸0.8m×1.2m），标明责任人、措施内容、监督电话；③环保专员每日巡查，监理单位每周抽查，确保设施完好率100%。</w:t>
                  </w:r>
                </w:p>
              </w:tc>
              <w:tc>
                <w:tcPr>
                  <w:tcW w:w="462" w:type="dxa"/>
                  <w:vAlign w:val="center"/>
                </w:tcPr>
                <w:p w14:paraId="25C55803">
                  <w:pPr>
                    <w:pStyle w:val="2"/>
                    <w:spacing w:before="0" w:after="0" w:line="240" w:lineRule="auto"/>
                    <w:ind w:right="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符合</w:t>
                  </w:r>
                </w:p>
              </w:tc>
            </w:tr>
          </w:tbl>
          <w:p w14:paraId="63A93B8B">
            <w:pPr>
              <w:keepNext w:val="0"/>
              <w:keepLines w:val="0"/>
              <w:numPr>
                <w:ilvl w:val="0"/>
                <w:numId w:val="0"/>
              </w:numPr>
              <w:suppressLineNumbers w:val="0"/>
              <w:autoSpaceDE w:val="0"/>
              <w:autoSpaceDN w:val="0"/>
              <w:spacing w:before="0" w:beforeAutospacing="0" w:after="0" w:afterAutospacing="0" w:line="360" w:lineRule="auto"/>
              <w:ind w:left="0" w:right="0" w:rightChars="0" w:firstLine="482" w:firstLineChars="200"/>
              <w:rPr>
                <w:rFonts w:hint="default" w:ascii="Times New Roman" w:hAnsi="Times New Roman" w:eastAsia="宋体" w:cs="Times New Roman"/>
                <w:b/>
                <w:bCs/>
                <w:color w:val="000000" w:themeColor="text1"/>
                <w:kern w:val="0"/>
                <w:sz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kern w:val="0"/>
                <w:sz w:val="24"/>
                <w:highlight w:val="none"/>
                <w:lang w:val="en-US" w:eastAsia="zh-CN"/>
                <w14:textFill>
                  <w14:solidFill>
                    <w14:schemeClr w14:val="tx1"/>
                  </w14:solidFill>
                </w14:textFill>
              </w:rPr>
              <w:t>13与《新疆维吾尔自治区大气污染防治条例》符合性</w:t>
            </w:r>
          </w:p>
          <w:p w14:paraId="13AD3C2D">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相关条文：</w:t>
            </w:r>
          </w:p>
          <w:p w14:paraId="56E666ED">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第四十三条：贮存易产生扬尘的煤炭、煤矸石、煤渣、煤灰、水泥、石灰、石膏、砂土等物料的堆场应当密闭；不能密闭的，贮存单位或者个人应当采取下列防尘措施：</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br w:type="textWrapping"/>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（一）堆场的场坪、路面应当进行硬化处理，并保持路面整洁；</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br w:type="textWrapping"/>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（二）堆场周边应当配备高于堆存物料的围挡、防风抑尘网等设施；</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br w:type="textWrapping"/>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（三）按照物料类别采取相应的覆盖、喷淋和围挡等防风抑尘措施。</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br w:type="textWrapping"/>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露天装卸物料应当采取密闭或者喷淋等抑尘措施；输送的物料应当在装料、卸料处配备吸尘、喷淋等防尘设施。</w:t>
            </w:r>
          </w:p>
          <w:p w14:paraId="4617038F">
            <w:pPr>
              <w:keepNext w:val="0"/>
              <w:keepLines w:val="0"/>
              <w:numPr>
                <w:ilvl w:val="0"/>
                <w:numId w:val="0"/>
              </w:numPr>
              <w:suppressLineNumbers w:val="0"/>
              <w:autoSpaceDE w:val="0"/>
              <w:autoSpaceDN w:val="0"/>
              <w:spacing w:before="0" w:beforeAutospacing="0" w:after="0" w:afterAutospacing="0" w:line="360" w:lineRule="auto"/>
              <w:ind w:left="0" w:right="0" w:rightChars="0" w:firstLine="480" w:firstLineChars="200"/>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符合性分析：本项目施工期原料堆场和临时弃土弃渣场采取覆盖防尘网、洒水喷淋、设置围挡等防风抑尘措施，露天装卸物料采取喷淋抑尘，符合《新疆维吾尔自治区大气污染防治条例》第四十三条的相关要求。</w:t>
            </w:r>
          </w:p>
        </w:tc>
      </w:tr>
    </w:tbl>
    <w:p w14:paraId="15E512DF">
      <w:pPr>
        <w:pStyle w:val="3"/>
        <w:rPr>
          <w:rFonts w:hint="default" w:ascii="Times New Roman" w:hAnsi="Times New Roman" w:eastAsia="宋体" w:cs="Times New Roman"/>
          <w:snapToGrid w:val="0"/>
          <w:color w:val="000000" w:themeColor="text1"/>
          <w:kern w:val="0"/>
          <w14:textFill>
            <w14:solidFill>
              <w14:schemeClr w14:val="tx1"/>
            </w14:solidFill>
          </w14:textFill>
        </w:rPr>
      </w:pPr>
      <w:r>
        <w:rPr>
          <w:rFonts w:hint="default" w:ascii="Times New Roman" w:hAnsi="Times New Roman" w:eastAsia="宋体" w:cs="Times New Roman"/>
          <w:snapToGrid w:val="0"/>
          <w:color w:val="000000" w:themeColor="text1"/>
          <w14:textFill>
            <w14:solidFill>
              <w14:schemeClr w14:val="tx1"/>
            </w14:solidFill>
          </w14:textFill>
        </w:rPr>
        <w:br w:type="page"/>
      </w:r>
    </w:p>
    <w:p w14:paraId="4562BE79">
      <w:pPr>
        <w:pStyle w:val="29"/>
        <w:jc w:val="center"/>
        <w:outlineLvl w:val="0"/>
        <w:rPr>
          <w:rFonts w:hint="default" w:ascii="Times New Roman" w:hAnsi="Times New Roman" w:eastAsia="宋体" w:cs="Times New Roman"/>
          <w:b/>
          <w:bCs/>
          <w:snapToGrid w:val="0"/>
          <w:color w:val="000000" w:themeColor="text1"/>
          <w:sz w:val="30"/>
          <w:szCs w:val="30"/>
          <w14:textFill>
            <w14:solidFill>
              <w14:schemeClr w14:val="tx1"/>
            </w14:solidFill>
          </w14:textFill>
        </w:rPr>
      </w:pPr>
      <w:r>
        <w:rPr>
          <w:rFonts w:hint="default" w:ascii="Times New Roman" w:hAnsi="Times New Roman" w:eastAsia="宋体" w:cs="Times New Roman"/>
          <w:b/>
          <w:bCs/>
          <w:snapToGrid w:val="0"/>
          <w:color w:val="000000" w:themeColor="text1"/>
          <w:sz w:val="30"/>
          <w:szCs w:val="30"/>
          <w14:textFill>
            <w14:solidFill>
              <w14:schemeClr w14:val="tx1"/>
            </w14:solidFill>
          </w14:textFill>
        </w:rPr>
        <w:t>二、建设内容</w:t>
      </w:r>
    </w:p>
    <w:tbl>
      <w:tblPr>
        <w:tblStyle w:val="34"/>
        <w:tblW w:w="909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43"/>
        <w:gridCol w:w="8843"/>
      </w:tblGrid>
      <w:tr w14:paraId="6265CB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97" w:hRule="atLeast"/>
          <w:jc w:val="center"/>
        </w:trPr>
        <w:tc>
          <w:tcPr>
            <w:tcW w:w="728" w:type="dxa"/>
            <w:vAlign w:val="center"/>
          </w:tcPr>
          <w:p w14:paraId="4717790D">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地理位置</w:t>
            </w:r>
          </w:p>
        </w:tc>
        <w:tc>
          <w:tcPr>
            <w:tcW w:w="8362" w:type="dxa"/>
            <w:vAlign w:val="center"/>
          </w:tcPr>
          <w:p w14:paraId="08A5C57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themeColor="text1"/>
                <w:lang w:val="en-US"/>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工程位于新疆喀什地区莎车县阿扎特巴格镇叶尔羌河右岸。上段起点接阿扎特巴格防洪一期末点，桩号为K131+231，终点接现状土堤，桩号为K131+771；下段起点接大寨渠退水口，桩号为K137+680，终点与亚洪旦渠首引水龙口相接，桩号为K143+360。工程全长6.22km，段起点（K131+231）：东经77°26′45.121″，北纬38°41′55.303″，上段终点（K131+771）：东经77°27′4.542″，北纬38°42′3.782″；下段起点（K137+680）：东经77°28′44.464″，北纬38°44′27.101″，下段终点（K143+360）：东经77°30′42.332″，北纬38°42′39.182″。</w:t>
            </w:r>
          </w:p>
        </w:tc>
      </w:tr>
      <w:tr w14:paraId="550775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38" w:hRule="atLeast"/>
          <w:jc w:val="center"/>
        </w:trPr>
        <w:tc>
          <w:tcPr>
            <w:tcW w:w="728" w:type="dxa"/>
            <w:vAlign w:val="center"/>
          </w:tcPr>
          <w:p w14:paraId="5135D0E0">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项目组成及规模</w:t>
            </w:r>
          </w:p>
        </w:tc>
        <w:tc>
          <w:tcPr>
            <w:tcW w:w="8362" w:type="dxa"/>
            <w:vAlign w:val="center"/>
          </w:tcPr>
          <w:p w14:paraId="7A1D795A">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叶尔羌河是塔里木河的主要源流之一，流域面积约10.8万km²，多年平均径流量约77.6亿m³。叶尔羌河莎车县阿扎特巴格镇段河道弯曲，河岸土质疏松，受洪水冲刷影响，河岸塌陷、水土流失严重，直接威胁沿岸农田、村庄及基础设施安全。近年来，该河段已发生多次较大洪水，造成堤防损毁、农田淹没等灾害，防洪形势十分严峻。</w:t>
            </w:r>
          </w:p>
          <w:p w14:paraId="7538CAF5">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为保障沿岸人民生命财产安全，莎车县已分期实施阿扎特巴格防洪工程。一期工程建于2018-2019年，建设护岸4.2km（桩号K127+000～K131+231），已依法办理环评手续并完成竣工环保验收。一期工程建成后，有效保护了上游段农田和村庄，但下游段（K131+231～K143+360）仍为无防护状态，河岸冲刷加剧，</w:t>
            </w:r>
            <w: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t>亟须</w:t>
            </w: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续建二期工程。在此背景下，莎车县水管总站拟投资8811.97万元建设“叶尔羌河莎车县阿扎特巴格镇防洪工程（二期）”，新建护岸6.22km，配套退水口1座。工程建成后，将与一期工程形成完整的防洪体系，保护阿扎特巴格镇及周边农田1.2万亩、人口0.8万人，防洪标准提升至10年一遇，同时减少河岸冲刷和水土流失，改善区域生态环境。</w:t>
            </w:r>
          </w:p>
          <w:p w14:paraId="15B9DD4D">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根据《水利水电工程等级划分及洪水标准》（SL252-2017），本工程防洪保护对象为农田及乡村，保护人口＜5万人，保护农田面积＜30万亩，确定工程等别为Ⅴ等，主要建筑物级别为5级，工程规模为小（2）型。对照《建设项目环境影响评价分类管理名录（2021年版）》，本项目属于“五十一、水利”中的“127防洪除涝工程”，其中“其他（小型沟渠的护坡除外；城镇排涝河流水闸、排涝泵站除外）”，应当编制环境影响报告表。</w:t>
            </w:r>
          </w:p>
          <w:p w14:paraId="7A30CA4D">
            <w:pPr>
              <w:pStyle w:val="99"/>
              <w:numPr>
                <w:ilvl w:val="0"/>
                <w:numId w:val="0"/>
              </w:numPr>
              <w:ind w:firstLine="480" w:firstLineChars="200"/>
              <w:rPr>
                <w:rFonts w:hint="default" w:ascii="Times New Roman" w:hAnsi="Times New Roman" w:eastAsia="宋体" w:cs="Times New Roman"/>
                <w:b/>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因此莎车县水管总站特委托新疆博严环保科技有限公司承担本项目环境影响评价工作。接受委托后，新疆博严环保科技有限公司立即组织有关技术人员对建设项目场地进行了现场踏勘，收集了相关资料。同时结合建设项目环境影响评价的有关规定和相关环保政策、技术规范，编制完成了项目环境影响报告表。</w:t>
            </w:r>
          </w:p>
          <w:p w14:paraId="1F7C0010">
            <w:pPr>
              <w:pStyle w:val="99"/>
              <w:numPr>
                <w:ilvl w:val="0"/>
                <w:numId w:val="0"/>
              </w:numPr>
              <w:ind w:left="420" w:leftChars="0"/>
              <w:rPr>
                <w:rFonts w:hint="default" w:ascii="Times New Roman" w:hAnsi="Times New Roman" w:eastAsia="宋体" w:cs="Times New Roman"/>
                <w:b/>
                <w:color w:val="000000" w:themeColor="text1"/>
                <w:lang w:val="en-US" w:eastAsia="zh-CN"/>
                <w14:textFill>
                  <w14:solidFill>
                    <w14:schemeClr w14:val="tx1"/>
                  </w14:solidFill>
                </w14:textFill>
              </w:rPr>
            </w:pPr>
            <w:r>
              <w:rPr>
                <w:rFonts w:hint="default" w:ascii="Times New Roman" w:hAnsi="Times New Roman" w:eastAsia="宋体" w:cs="Times New Roman"/>
                <w:b/>
                <w:color w:val="000000" w:themeColor="text1"/>
                <w:lang w:val="en-US" w:eastAsia="zh-CN"/>
                <w14:textFill>
                  <w14:solidFill>
                    <w14:schemeClr w14:val="tx1"/>
                  </w14:solidFill>
                </w14:textFill>
              </w:rPr>
              <w:t>1、项目建设内容</w:t>
            </w:r>
          </w:p>
          <w:p w14:paraId="405B99B3">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kern w:val="2"/>
                <w:sz w:val="24"/>
                <w:szCs w:val="24"/>
                <w:highlight w:val="none"/>
                <w:lang w:val="en-US" w:eastAsia="zh-CN" w:bidi="ar-SA"/>
                <w14:textFill>
                  <w14:solidFill>
                    <w14:schemeClr w14:val="tx1"/>
                  </w14:solidFill>
                </w14:textFill>
              </w:rPr>
              <w:t>本项目新建护岸总长6.22km，其中上段0.54km，下段5.68km。在下段K142+650处新建退水口1座（该位置原无退水设施，非加固），设计退水流量67m³/s。不涉及清淤工程。</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工程等别Ⅴ等，护岸工程级别为5级，主要建筑物为5级，次要建筑物及临时工程均为5级。</w:t>
            </w:r>
            <w:r>
              <w:rPr>
                <w:rFonts w:hint="default" w:ascii="Times New Roman" w:hAnsi="Times New Roman" w:eastAsia="宋体" w:cs="Times New Roman"/>
                <w:b w:val="0"/>
                <w:color w:val="000000" w:themeColor="text1"/>
                <w:kern w:val="2"/>
                <w:sz w:val="24"/>
                <w:szCs w:val="24"/>
                <w:highlight w:val="none"/>
                <w:lang w:val="en-US" w:eastAsia="zh-CN" w:bidi="ar-SA"/>
                <w14:textFill>
                  <w14:solidFill>
                    <w14:schemeClr w14:val="tx1"/>
                  </w14:solidFill>
                </w14:textFill>
              </w:rPr>
              <w:t>防洪标准为10年一遇，设计洪峰流量1443.95m</w:t>
            </w:r>
            <w:r>
              <w:rPr>
                <w:rFonts w:hint="default" w:ascii="Times New Roman" w:hAnsi="Times New Roman" w:eastAsia="宋体" w:cs="Times New Roman"/>
                <w:b w:val="0"/>
                <w:color w:val="000000" w:themeColor="text1"/>
                <w:kern w:val="2"/>
                <w:sz w:val="24"/>
                <w:szCs w:val="24"/>
                <w:highlight w:val="none"/>
                <w:vertAlign w:val="superscript"/>
                <w:lang w:val="en-US" w:eastAsia="zh-CN" w:bidi="ar-SA"/>
                <w14:textFill>
                  <w14:solidFill>
                    <w14:schemeClr w14:val="tx1"/>
                  </w14:solidFill>
                </w14:textFill>
              </w:rPr>
              <w:t>3</w:t>
            </w:r>
            <w:r>
              <w:rPr>
                <w:rFonts w:hint="default" w:ascii="Times New Roman" w:hAnsi="Times New Roman" w:eastAsia="宋体" w:cs="Times New Roman"/>
                <w:b w:val="0"/>
                <w:color w:val="000000" w:themeColor="text1"/>
                <w:kern w:val="2"/>
                <w:sz w:val="24"/>
                <w:szCs w:val="24"/>
                <w:highlight w:val="none"/>
                <w:lang w:val="en-US" w:eastAsia="zh-CN" w:bidi="ar-SA"/>
                <w14:textFill>
                  <w14:solidFill>
                    <w14:schemeClr w14:val="tx1"/>
                  </w14:solidFill>
                </w14:textFill>
              </w:rPr>
              <w:t>/s。项目组成一览表见表2-1。</w:t>
            </w:r>
          </w:p>
          <w:p w14:paraId="441C56A5">
            <w:pPr>
              <w:pStyle w:val="114"/>
              <w:rPr>
                <w:rStyle w:val="82"/>
                <w:rFonts w:hint="default" w:ascii="Times New Roman" w:hAnsi="Times New Roman" w:eastAsia="宋体" w:cs="Times New Roman"/>
                <w:b/>
                <w:bCs/>
                <w:color w:val="000000" w:themeColor="text1"/>
                <w:sz w:val="21"/>
                <w:szCs w:val="21"/>
                <w14:textFill>
                  <w14:solidFill>
                    <w14:schemeClr w14:val="tx1"/>
                  </w14:solidFill>
                </w14:textFill>
              </w:rPr>
            </w:pPr>
            <w:r>
              <w:rPr>
                <w:rStyle w:val="82"/>
                <w:rFonts w:hint="default" w:ascii="Times New Roman" w:hAnsi="Times New Roman" w:eastAsia="宋体" w:cs="Times New Roman"/>
                <w:b/>
                <w:bCs/>
                <w:color w:val="000000" w:themeColor="text1"/>
                <w:sz w:val="21"/>
                <w:szCs w:val="21"/>
                <w14:textFill>
                  <w14:solidFill>
                    <w14:schemeClr w14:val="tx1"/>
                  </w14:solidFill>
                </w14:textFill>
              </w:rPr>
              <w:t>表</w:t>
            </w:r>
            <w:r>
              <w:rPr>
                <w:rStyle w:val="82"/>
                <w:rFonts w:hint="default" w:ascii="Times New Roman" w:hAnsi="Times New Roman" w:eastAsia="宋体" w:cs="Times New Roman"/>
                <w:b/>
                <w:bCs/>
                <w:color w:val="000000" w:themeColor="text1"/>
                <w:sz w:val="21"/>
                <w:szCs w:val="21"/>
                <w:lang w:val="en-US" w:eastAsia="zh-CN"/>
                <w14:textFill>
                  <w14:solidFill>
                    <w14:schemeClr w14:val="tx1"/>
                  </w14:solidFill>
                </w14:textFill>
              </w:rPr>
              <w:t>2-1</w:t>
            </w:r>
            <w:r>
              <w:rPr>
                <w:rStyle w:val="82"/>
                <w:rFonts w:hint="default" w:ascii="Times New Roman" w:hAnsi="Times New Roman" w:eastAsia="宋体" w:cs="Times New Roman"/>
                <w:b/>
                <w:bCs/>
                <w:color w:val="000000" w:themeColor="text1"/>
                <w:sz w:val="21"/>
                <w:szCs w:val="21"/>
                <w14:textFill>
                  <w14:solidFill>
                    <w14:schemeClr w14:val="tx1"/>
                  </w14:solidFill>
                </w14:textFill>
              </w:rPr>
              <w:t>项目组成表</w:t>
            </w:r>
          </w:p>
          <w:tbl>
            <w:tblPr>
              <w:tblStyle w:val="3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1"/>
              <w:gridCol w:w="1238"/>
              <w:gridCol w:w="6678"/>
            </w:tblGrid>
            <w:tr w14:paraId="7FA7D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shd w:val="clear" w:color="auto" w:fill="auto"/>
                  <w:vAlign w:val="center"/>
                </w:tcPr>
                <w:p w14:paraId="1926E78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类别</w:t>
                  </w:r>
                </w:p>
              </w:tc>
              <w:tc>
                <w:tcPr>
                  <w:tcW w:w="1192" w:type="dxa"/>
                  <w:shd w:val="clear" w:color="auto" w:fill="auto"/>
                  <w:vAlign w:val="center"/>
                </w:tcPr>
                <w:p w14:paraId="31660DF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工程名称</w:t>
                  </w:r>
                </w:p>
              </w:tc>
              <w:tc>
                <w:tcPr>
                  <w:tcW w:w="6432" w:type="dxa"/>
                  <w:shd w:val="clear" w:color="auto" w:fill="auto"/>
                  <w:vAlign w:val="center"/>
                </w:tcPr>
                <w:p w14:paraId="65696D0E">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建设内容</w:t>
                  </w:r>
                </w:p>
              </w:tc>
            </w:tr>
            <w:tr w14:paraId="4AE9E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restart"/>
                  <w:vAlign w:val="center"/>
                </w:tcPr>
                <w:p w14:paraId="0E9BF12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主体工程</w:t>
                  </w:r>
                </w:p>
              </w:tc>
              <w:tc>
                <w:tcPr>
                  <w:tcW w:w="1192" w:type="dxa"/>
                  <w:vAlign w:val="center"/>
                </w:tcPr>
                <w:p w14:paraId="74A2AE6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护岸工程</w:t>
                  </w:r>
                </w:p>
              </w:tc>
              <w:tc>
                <w:tcPr>
                  <w:tcW w:w="6432" w:type="dxa"/>
                  <w:shd w:val="clear" w:color="auto" w:fill="auto"/>
                  <w:vAlign w:val="center"/>
                </w:tcPr>
                <w:p w14:paraId="17DD1BC5">
                  <w:pPr>
                    <w:pStyle w:val="114"/>
                    <w:jc w:val="both"/>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新建护岸6.22km，采用梯形均质土堤，岸顶宽4.0m，设0.3m厚砂砾石路面，下设无纺布SNG/PET-8-4。迎水面边坡1:3，背水面边坡1:2。迎水面采用30cm厚雷诺护垫护坡，下设10cm砂砾石垫层+无纺布SNG/PET-20-6。护坡每隔100m设一道1m宽、0.5m深的格宾石笼隔墙。坡脚设1m×1m格宾石笼阻滑墙，阻滑墙前缘铺设两层格宾石笼防冲（每层厚0.5m），其中上段及下段前1.52km上层宽6m、下层宽8m，下段后4.16km上层宽4m、下层宽6m。格宾石笼下铺设无纺布SNG/PET-20-6，并结合四面六边混凝土透水框架（宽5m）。</w:t>
                  </w:r>
                </w:p>
              </w:tc>
            </w:tr>
            <w:tr w14:paraId="464B1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10299ED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vAlign w:val="center"/>
                </w:tcPr>
                <w:p w14:paraId="17FB81B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退水口工程</w:t>
                  </w:r>
                </w:p>
              </w:tc>
              <w:tc>
                <w:tcPr>
                  <w:tcW w:w="6432" w:type="dxa"/>
                  <w:shd w:val="clear" w:color="auto" w:fill="auto"/>
                  <w:vAlign w:val="center"/>
                </w:tcPr>
                <w:p w14:paraId="79167A78">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在下段K142+650处新建退水口1座，设计退水流量67m³/s。采用30cm雷诺护垫+50cm格宾石笼防护，底宽50m，渠深2.0m，边坡1:3.0。</w:t>
                  </w:r>
                </w:p>
              </w:tc>
            </w:tr>
            <w:tr w14:paraId="7E633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0C85D1B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vAlign w:val="center"/>
                </w:tcPr>
                <w:p w14:paraId="4A5D488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附属建筑物</w:t>
                  </w:r>
                </w:p>
              </w:tc>
              <w:tc>
                <w:tcPr>
                  <w:tcW w:w="6432" w:type="dxa"/>
                  <w:shd w:val="clear" w:color="auto" w:fill="auto"/>
                  <w:vAlign w:val="center"/>
                </w:tcPr>
                <w:p w14:paraId="09983F7E">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设置上坝道路4处（K131+771、K137+680、K140+900、K143+360），错车平台8处；设置里程碑（公里桩4座、百米桩44座）；上段起点及下段起终点设置裹头与现状土堤平顺连接。</w:t>
                  </w:r>
                </w:p>
              </w:tc>
            </w:tr>
            <w:tr w14:paraId="20C04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restart"/>
                  <w:vAlign w:val="center"/>
                </w:tcPr>
                <w:p w14:paraId="6522F71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临时工程</w:t>
                  </w:r>
                </w:p>
              </w:tc>
              <w:tc>
                <w:tcPr>
                  <w:tcW w:w="1192" w:type="dxa"/>
                  <w:shd w:val="clear" w:color="auto" w:fill="auto"/>
                  <w:vAlign w:val="center"/>
                </w:tcPr>
                <w:p w14:paraId="2E70901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施工导流</w:t>
                  </w:r>
                </w:p>
              </w:tc>
              <w:tc>
                <w:tcPr>
                  <w:tcW w:w="6432" w:type="dxa"/>
                  <w:shd w:val="clear" w:color="auto" w:fill="auto"/>
                  <w:vAlign w:val="center"/>
                </w:tcPr>
                <w:p w14:paraId="072B75A3">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下段K137+680～K143+360设置临时围堰，长5.812km。围堰顶宽5.0m，高2.0m，边坡1:2.0，采用0.3mm厚塑膜防渗+30cm厚袋装土护面。</w:t>
                  </w:r>
                </w:p>
              </w:tc>
            </w:tr>
            <w:tr w14:paraId="571E2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1DE1B0F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shd w:val="clear" w:color="auto" w:fill="auto"/>
                  <w:vAlign w:val="center"/>
                </w:tcPr>
                <w:p w14:paraId="4D755C2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施工排水</w:t>
                  </w:r>
                </w:p>
              </w:tc>
              <w:tc>
                <w:tcPr>
                  <w:tcW w:w="6432" w:type="dxa"/>
                  <w:shd w:val="clear" w:color="auto" w:fill="auto"/>
                  <w:vAlign w:val="center"/>
                </w:tcPr>
                <w:p w14:paraId="28FFDC01">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下段施工需进行施工排水，在基坑外5m处布置降水井，井间距27m，单井深度20m，共设降水井212眼（含2眼备用井），占地面积约3.36hm²。同时布置明沟排水系统。</w:t>
                  </w:r>
                </w:p>
              </w:tc>
            </w:tr>
            <w:tr w14:paraId="1DABF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2D8342B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shd w:val="clear" w:color="auto" w:fill="auto"/>
                  <w:vAlign w:val="center"/>
                </w:tcPr>
                <w:p w14:paraId="05218C6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施工生产生活区</w:t>
                  </w:r>
                </w:p>
              </w:tc>
              <w:tc>
                <w:tcPr>
                  <w:tcW w:w="6432" w:type="dxa"/>
                  <w:shd w:val="clear" w:color="auto" w:fill="auto"/>
                  <w:vAlign w:val="center"/>
                </w:tcPr>
                <w:p w14:paraId="4147B8BB">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设置2处，分别位于K131+771和K140+800堤后空地，占地面积0.15hm²，布置施工仓库、临时生活区、机械修配保养场及停车场等。</w:t>
                  </w:r>
                </w:p>
              </w:tc>
            </w:tr>
            <w:tr w14:paraId="7E3FD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38F1CFB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shd w:val="clear" w:color="auto" w:fill="auto"/>
                  <w:vAlign w:val="center"/>
                </w:tcPr>
                <w:p w14:paraId="771355E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原料堆场</w:t>
                  </w:r>
                </w:p>
              </w:tc>
              <w:tc>
                <w:tcPr>
                  <w:tcW w:w="6432" w:type="dxa"/>
                  <w:shd w:val="clear" w:color="auto" w:fill="auto"/>
                  <w:vAlign w:val="center"/>
                </w:tcPr>
                <w:p w14:paraId="5210198F">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设置2处，与施工作业区合建，面积3.09hm²，用于储存砂石料、水泥等。</w:t>
                  </w:r>
                </w:p>
              </w:tc>
            </w:tr>
            <w:tr w14:paraId="4B85E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14605BA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shd w:val="clear" w:color="auto" w:fill="auto"/>
                  <w:vAlign w:val="center"/>
                </w:tcPr>
                <w:p w14:paraId="6454E7A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取（弃）土场区</w:t>
                  </w:r>
                </w:p>
              </w:tc>
              <w:tc>
                <w:tcPr>
                  <w:tcW w:w="6432" w:type="dxa"/>
                  <w:shd w:val="clear" w:color="auto" w:fill="auto"/>
                  <w:vAlign w:val="center"/>
                </w:tcPr>
                <w:p w14:paraId="19055E75">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设置1处，取（弃）土料场工程区河段右岸未利用地块处，料场坐标东经77°30'41"，北纬38°42'14"。工程规划土料场开采深度1.5m，开采边坡1:1.5，占地面积3.06hm²。</w:t>
                  </w:r>
                </w:p>
              </w:tc>
            </w:tr>
            <w:tr w14:paraId="1D266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508ED0E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shd w:val="clear" w:color="auto" w:fill="auto"/>
                  <w:vAlign w:val="center"/>
                </w:tcPr>
                <w:p w14:paraId="73B91B1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施工便道</w:t>
                  </w:r>
                </w:p>
              </w:tc>
              <w:tc>
                <w:tcPr>
                  <w:tcW w:w="6432" w:type="dxa"/>
                  <w:shd w:val="clear" w:color="auto" w:fill="auto"/>
                  <w:vAlign w:val="center"/>
                </w:tcPr>
                <w:p w14:paraId="483E3872">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沿护岸背水侧布置临时道路，长6.22km，路基宽7m，路面宽4m，泥结碎石硬化，占地面积</w:t>
                  </w:r>
                  <w:r>
                    <w:rPr>
                      <w:rFonts w:hint="eastAsia" w:hAnsi="Times New Roman" w:cs="Times New Roman"/>
                      <w:color w:val="000000" w:themeColor="text1"/>
                      <w:lang w:val="en-US" w:eastAsia="zh-CN"/>
                      <w14:textFill>
                        <w14:solidFill>
                          <w14:schemeClr w14:val="tx1"/>
                        </w14:solidFill>
                      </w14:textFill>
                    </w:rPr>
                    <w:t>4.351</w:t>
                  </w:r>
                  <w:r>
                    <w:rPr>
                      <w:rFonts w:hint="default" w:ascii="Times New Roman" w:hAnsi="Times New Roman" w:eastAsia="宋体" w:cs="Times New Roman"/>
                      <w:color w:val="000000" w:themeColor="text1"/>
                      <w:lang w:val="en-US" w:eastAsia="zh-CN"/>
                      <w14:textFill>
                        <w14:solidFill>
                          <w14:schemeClr w14:val="tx1"/>
                        </w14:solidFill>
                      </w14:textFill>
                    </w:rPr>
                    <w:t>hm²，施工结束后部分作为永久管理道路。</w:t>
                  </w:r>
                </w:p>
              </w:tc>
            </w:tr>
            <w:tr w14:paraId="24DBE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restart"/>
                  <w:vAlign w:val="center"/>
                </w:tcPr>
                <w:p w14:paraId="56CB738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公用工程</w:t>
                  </w:r>
                </w:p>
              </w:tc>
              <w:tc>
                <w:tcPr>
                  <w:tcW w:w="1192" w:type="dxa"/>
                  <w:shd w:val="clear" w:color="auto" w:fill="auto"/>
                  <w:vAlign w:val="center"/>
                </w:tcPr>
                <w:p w14:paraId="00C8D3D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供水</w:t>
                  </w:r>
                </w:p>
              </w:tc>
              <w:tc>
                <w:tcPr>
                  <w:tcW w:w="6432" w:type="dxa"/>
                  <w:shd w:val="clear" w:color="auto" w:fill="auto"/>
                  <w:vAlign w:val="center"/>
                </w:tcPr>
                <w:p w14:paraId="782D523A">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施工期总用水量约2183m³。生产用水优先抽取河水，生活用水及部分生产用水从附近居民点拉运。</w:t>
                  </w:r>
                </w:p>
              </w:tc>
            </w:tr>
            <w:tr w14:paraId="50747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66137CE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shd w:val="clear" w:color="auto" w:fill="auto"/>
                  <w:vAlign w:val="center"/>
                </w:tcPr>
                <w:p w14:paraId="262C717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排水</w:t>
                  </w:r>
                </w:p>
              </w:tc>
              <w:tc>
                <w:tcPr>
                  <w:tcW w:w="6432" w:type="dxa"/>
                  <w:shd w:val="clear" w:color="auto" w:fill="auto"/>
                  <w:vAlign w:val="center"/>
                </w:tcPr>
                <w:p w14:paraId="66E15719">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生活区设置防渗化粪池，定期由吸污车清运至莎车县污水处理厂，不外排地表水体。施工区设置2座隔油沉淀池（单座容积3m³，钢混结构，工艺：隔油+沉淀），冲洗废水经隔油沉淀处理后，上清液回用于砼拌和养护或施工场地洒水降尘，不外排。</w:t>
                  </w:r>
                </w:p>
              </w:tc>
            </w:tr>
            <w:tr w14:paraId="2861C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4BCACF0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shd w:val="clear" w:color="auto" w:fill="auto"/>
                  <w:vAlign w:val="center"/>
                </w:tcPr>
                <w:p w14:paraId="5FDAAB2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供电</w:t>
                  </w:r>
                </w:p>
              </w:tc>
              <w:tc>
                <w:tcPr>
                  <w:tcW w:w="6432" w:type="dxa"/>
                  <w:shd w:val="clear" w:color="auto" w:fill="auto"/>
                  <w:vAlign w:val="center"/>
                </w:tcPr>
                <w:p w14:paraId="065B2847">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施工用电主要由沿线村庄电网接入，同时配备柴油发电机组作为备用电源和远离电网施工点的自备电源。</w:t>
                  </w:r>
                </w:p>
              </w:tc>
            </w:tr>
            <w:tr w14:paraId="772B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restart"/>
                  <w:vAlign w:val="center"/>
                </w:tcPr>
                <w:p w14:paraId="47461A6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环保工程</w:t>
                  </w:r>
                </w:p>
              </w:tc>
              <w:tc>
                <w:tcPr>
                  <w:tcW w:w="1192" w:type="dxa"/>
                  <w:vAlign w:val="center"/>
                </w:tcPr>
                <w:p w14:paraId="7BFBDFC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废气处理</w:t>
                  </w:r>
                </w:p>
              </w:tc>
              <w:tc>
                <w:tcPr>
                  <w:tcW w:w="6432" w:type="dxa"/>
                  <w:shd w:val="clear" w:color="auto" w:fill="auto"/>
                  <w:vAlign w:val="center"/>
                </w:tcPr>
                <w:p w14:paraId="693CD6BD">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施工期采取施工区洒水、设置围挡、堆料区覆盖防尘网等措施防止扬尘；运输车辆限速行驶、密闭运输；混凝土搅拌机设在工棚内，上料口采取喷淋降尘。</w:t>
                  </w:r>
                </w:p>
              </w:tc>
            </w:tr>
            <w:tr w14:paraId="5AE41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6CC7E1B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vAlign w:val="center"/>
                </w:tcPr>
                <w:p w14:paraId="65336D8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废水处理</w:t>
                  </w:r>
                </w:p>
              </w:tc>
              <w:tc>
                <w:tcPr>
                  <w:tcW w:w="6432" w:type="dxa"/>
                  <w:shd w:val="clear" w:color="auto" w:fill="auto"/>
                  <w:vAlign w:val="center"/>
                </w:tcPr>
                <w:p w14:paraId="6E750B67">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生活区设置防渗化粪池，定期由吸污车清运至莎车县污水处理厂，不外排地表水体。施工区设置2座隔油沉淀池（单座容积3m³，钢混结构，工艺：隔油+沉淀），冲洗废水经隔油沉淀处理后，上清液回用于砼拌和养护或施工场地洒水降尘，不外排。</w:t>
                  </w:r>
                </w:p>
              </w:tc>
            </w:tr>
            <w:tr w14:paraId="3750E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5C2F4A0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vAlign w:val="center"/>
                </w:tcPr>
                <w:p w14:paraId="62D03A4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噪声处理</w:t>
                  </w:r>
                </w:p>
              </w:tc>
              <w:tc>
                <w:tcPr>
                  <w:tcW w:w="6432" w:type="dxa"/>
                  <w:shd w:val="clear" w:color="auto" w:fill="auto"/>
                  <w:vAlign w:val="center"/>
                </w:tcPr>
                <w:p w14:paraId="2462B220">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合理布置施工机械，避免高噪声设备集中作业，将噪声源置于场地中部；优先选用低噪声、低振动设备并加强维护保养；严格管控施工时间，高噪声作业安排在昼间非休息时段，如需夜间连续施工须征得主管部门同意并公告周边居民；加强运输车辆管理，途经居民点减速、禁鸣，采用低声级喇叭。</w:t>
                  </w:r>
                </w:p>
              </w:tc>
            </w:tr>
            <w:tr w14:paraId="26CF4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54D0787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vAlign w:val="center"/>
                </w:tcPr>
                <w:p w14:paraId="08595B2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固废处理</w:t>
                  </w:r>
                </w:p>
              </w:tc>
              <w:tc>
                <w:tcPr>
                  <w:tcW w:w="6432" w:type="dxa"/>
                  <w:shd w:val="clear" w:color="auto" w:fill="auto"/>
                  <w:vAlign w:val="center"/>
                </w:tcPr>
                <w:p w14:paraId="0F9755F0">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固体废物按照“分类收集、优先利用、规范处置”的原则处理：剥离的表土单独堆存并防护，施工开挖产生的土方优先用于坡脚回填及堤身填筑，剩余弃渣用于两侧河堤道路平整；建筑垃圾分类回收，可利用部分综合利用，不可利用部分集中暂存后运至莎车县建筑垃圾填埋场处置；生活垃圾设垃圾桶分类收集，定期清运至当地生活垃圾填埋场。</w:t>
                  </w:r>
                </w:p>
              </w:tc>
            </w:tr>
            <w:tr w14:paraId="586E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6" w:type="dxa"/>
                  <w:vMerge w:val="continue"/>
                  <w:vAlign w:val="center"/>
                </w:tcPr>
                <w:p w14:paraId="6F3BC66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92" w:type="dxa"/>
                  <w:vAlign w:val="center"/>
                </w:tcPr>
                <w:p w14:paraId="593DF4B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生态保护</w:t>
                  </w:r>
                </w:p>
              </w:tc>
              <w:tc>
                <w:tcPr>
                  <w:tcW w:w="6432" w:type="dxa"/>
                  <w:shd w:val="clear" w:color="auto" w:fill="auto"/>
                  <w:vAlign w:val="center"/>
                </w:tcPr>
                <w:p w14:paraId="778298D0">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表土剥离30cm，按土层原状分层堆放于临时堆土场，堆高不超过3米，边坡1:1.5，表面采用防尘网（网目≥2000目/100cm²）全覆盖，四周用袋装土压脚，并设置临时排水沟，定期洒水保湿，防止风蚀和水土流失；施工结束后对临时占地进行土地平整、表土回覆、自然恢复植被；砍伐树木按标准补偿，补植树木；设置警示牌、限行彩旗。</w:t>
                  </w:r>
                </w:p>
              </w:tc>
            </w:tr>
          </w:tbl>
          <w:p w14:paraId="14391F72">
            <w:pPr>
              <w:pStyle w:val="114"/>
              <w:rPr>
                <w:rStyle w:val="82"/>
                <w:rFonts w:hint="default" w:ascii="Times New Roman" w:hAnsi="Times New Roman" w:eastAsia="宋体" w:cs="Times New Roman"/>
                <w:b/>
                <w:bCs/>
                <w:color w:val="000000" w:themeColor="text1"/>
                <w:sz w:val="21"/>
                <w:szCs w:val="21"/>
                <w14:textFill>
                  <w14:solidFill>
                    <w14:schemeClr w14:val="tx1"/>
                  </w14:solidFill>
                </w14:textFill>
              </w:rPr>
            </w:pPr>
          </w:p>
          <w:p w14:paraId="008D4B88">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2工程等级和标准</w:t>
            </w:r>
          </w:p>
          <w:p w14:paraId="2643BF2E">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防洪标准：10年一遇，设计洪峰流量1443.95m³/s。</w:t>
            </w:r>
          </w:p>
          <w:p w14:paraId="635F70BA">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工程等别：Ⅴ等。</w:t>
            </w:r>
          </w:p>
          <w:p w14:paraId="2090C56F">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建筑物级别：护岸工程级别为5级，主要建筑物为5级，次要建筑物及临时工程均为5级。</w:t>
            </w:r>
          </w:p>
          <w:p w14:paraId="6D41FBD5">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地震设防：根据《中国地震动参数区划图》（GB18306-2015），工程区地震动峰值加速度为0.10g，地震动反应谱特征周期0.65s，对应地震基本烈度Ⅶ度，设计地震分组为第二组，场地类别为Ⅲ类。</w:t>
            </w:r>
          </w:p>
          <w:p w14:paraId="6E796128">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合理使用年限：依据《水利水电工程合理使用年限及耐久性设计规范》（SL654-2014），护岸工程合理使用年限为20年。</w:t>
            </w:r>
          </w:p>
          <w:p w14:paraId="1AA92672">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岸顶安全加高值：根据《河道整治设计规范》（GB50707-2011），护岸顶高程取设计洪水位+0.5m。</w:t>
            </w:r>
          </w:p>
          <w:p w14:paraId="45DE37BF">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抗滑稳定安全系数：正常运用条件下土堤边坡抗滑安全系数≥1.2；非常运用条件Ⅰ（施工期）≥1.1；非常运用条件Ⅱ（地震工况）≥1.05。</w:t>
            </w:r>
          </w:p>
          <w:p w14:paraId="1C6E4AF7">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3护岸工程设计</w:t>
            </w:r>
          </w:p>
          <w:p w14:paraId="017E14E8">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3.1护岸断面</w:t>
            </w:r>
          </w:p>
          <w:p w14:paraId="16967436">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护岸采用梯形均质土堤，填筑材料为低液限粉土和细砂，低液限粉土压实度≥0.91，细砂相对密度≥0.70。</w:t>
            </w:r>
          </w:p>
          <w:p w14:paraId="447CE6AB">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岸顶：宽度4.0m，设0.3m厚砂砾石路面，下设无纺布SNG/PET-8-4，左侧铺设C30预制路沿石（0.15m×0.35m×0.75m）。</w:t>
            </w:r>
          </w:p>
          <w:p w14:paraId="437ED6CC">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迎水面边坡：1:3.0，采用30cm厚雷诺护垫（90%锌-10%铝-混合稀土合金镀层钢丝，网孔60×80mm），下设10cm砂砾石垫层+无纺布SNG/PET-20-6。护坡每隔100m设一道1m宽、0.5m深格宾石笼隔墙。</w:t>
            </w:r>
          </w:p>
          <w:p w14:paraId="6BED1BE8">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背水面边坡：1:2.0，素土夯实。</w:t>
            </w:r>
          </w:p>
          <w:p w14:paraId="0389E91F">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护脚：坡脚设1m高、1m宽格宾石笼阻滑墙，阻滑墙前缘铺设两层格宾石笼（每层厚0.5m），格宾石笼下铺设无纺布SNG/PET-20-6。上、下格宾石笼错缝布置。</w:t>
            </w:r>
          </w:p>
          <w:p w14:paraId="4C7DC275">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上段（K131+231～131+771）及下段前1.52km（K137+680～139+200）：上层格宾石笼宽6m，下层宽8m，堤高5.5m。</w:t>
            </w:r>
          </w:p>
          <w:p w14:paraId="5138B81E">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下段后4.16km（K139+200～143+360）：上层格宾石笼宽4m，下层宽6m，堤高4.5m。</w:t>
            </w:r>
          </w:p>
          <w:p w14:paraId="5AD504A6">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透水框架：格宾石笼前缘结合四面六边混凝土透水框架，宽5m，用于降低流速、促进落淤。</w:t>
            </w:r>
          </w:p>
          <w:p w14:paraId="6AD5EF16">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4450080" cy="1769745"/>
                  <wp:effectExtent l="0" t="0" r="7620" b="19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tretch>
                            <a:fillRect/>
                          </a:stretch>
                        </pic:blipFill>
                        <pic:spPr>
                          <a:xfrm>
                            <a:off x="0" y="0"/>
                            <a:ext cx="4450080" cy="1769745"/>
                          </a:xfrm>
                          <a:prstGeom prst="rect">
                            <a:avLst/>
                          </a:prstGeom>
                          <a:noFill/>
                          <a:ln>
                            <a:noFill/>
                          </a:ln>
                        </pic:spPr>
                      </pic:pic>
                    </a:graphicData>
                  </a:graphic>
                </wp:inline>
              </w:drawing>
            </w:r>
          </w:p>
          <w:p w14:paraId="3141F490">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4588510" cy="2388235"/>
                  <wp:effectExtent l="0" t="0" r="2540" b="1206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4588510" cy="2388235"/>
                          </a:xfrm>
                          <a:prstGeom prst="rect">
                            <a:avLst/>
                          </a:prstGeom>
                          <a:noFill/>
                          <a:ln>
                            <a:noFill/>
                          </a:ln>
                        </pic:spPr>
                      </pic:pic>
                    </a:graphicData>
                  </a:graphic>
                </wp:inline>
              </w:drawing>
            </w:r>
          </w:p>
          <w:p w14:paraId="768CD408">
            <w:pPr>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4729480" cy="2606040"/>
                  <wp:effectExtent l="0" t="0" r="13970" b="381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4729480" cy="2606040"/>
                          </a:xfrm>
                          <a:prstGeom prst="rect">
                            <a:avLst/>
                          </a:prstGeom>
                          <a:noFill/>
                          <a:ln>
                            <a:noFill/>
                          </a:ln>
                        </pic:spPr>
                      </pic:pic>
                    </a:graphicData>
                  </a:graphic>
                </wp:inline>
              </w:drawing>
            </w:r>
          </w:p>
          <w:p w14:paraId="4CBBE3AC">
            <w:pPr>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4642485" cy="2312670"/>
                  <wp:effectExtent l="0" t="0" r="5715" b="1143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8"/>
                          <a:stretch>
                            <a:fillRect/>
                          </a:stretch>
                        </pic:blipFill>
                        <pic:spPr>
                          <a:xfrm>
                            <a:off x="0" y="0"/>
                            <a:ext cx="4642485" cy="2312670"/>
                          </a:xfrm>
                          <a:prstGeom prst="rect">
                            <a:avLst/>
                          </a:prstGeom>
                          <a:noFill/>
                          <a:ln>
                            <a:noFill/>
                          </a:ln>
                        </pic:spPr>
                      </pic:pic>
                    </a:graphicData>
                  </a:graphic>
                </wp:inline>
              </w:drawing>
            </w:r>
          </w:p>
          <w:p w14:paraId="679B1F15">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3.2退水口设计</w:t>
            </w:r>
          </w:p>
          <w:p w14:paraId="4F417EAA">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位置：下段K142+650。</w:t>
            </w:r>
          </w:p>
          <w:p w14:paraId="531717DC">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设计退水流量：67m³/s。</w:t>
            </w:r>
          </w:p>
          <w:p w14:paraId="3C7B8B7D">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结构：30cm雷诺护垫+50cm格宾石笼防护，与护岸顺接。</w:t>
            </w:r>
          </w:p>
          <w:p w14:paraId="1DE12F6B">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尺寸：底宽50m，渠深2.0m，边坡1:3.0。</w:t>
            </w:r>
          </w:p>
          <w:p w14:paraId="555D3CD0">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防护长度：121m，退水口与护岸夹角51°。</w:t>
            </w:r>
          </w:p>
          <w:p w14:paraId="6034DED4">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渠底：50cm格宾石笼+无纺布SNG/PET。</w:t>
            </w:r>
          </w:p>
          <w:p w14:paraId="0F60F541">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边坡：30cm雷诺卵石护垫+10cm砂砾石垫层+无纺布SNG/PET。</w:t>
            </w:r>
          </w:p>
          <w:p w14:paraId="1C5CA09E">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连接段：退水口与规划退水渠通过10m连接段连接，连接处各设一道隔墙（宽1m、深0.5m），隔墙采用50cm格宾石笼+10cm砂砾石垫层+无纺布。</w:t>
            </w:r>
          </w:p>
          <w:p w14:paraId="1E7A1AAC">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5031105" cy="1183640"/>
                  <wp:effectExtent l="0" t="0" r="17145" b="1651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9"/>
                          <a:stretch>
                            <a:fillRect/>
                          </a:stretch>
                        </pic:blipFill>
                        <pic:spPr>
                          <a:xfrm>
                            <a:off x="0" y="0"/>
                            <a:ext cx="5031105" cy="1183640"/>
                          </a:xfrm>
                          <a:prstGeom prst="rect">
                            <a:avLst/>
                          </a:prstGeom>
                          <a:noFill/>
                          <a:ln>
                            <a:noFill/>
                          </a:ln>
                        </pic:spPr>
                      </pic:pic>
                    </a:graphicData>
                  </a:graphic>
                </wp:inline>
              </w:drawing>
            </w:r>
          </w:p>
          <w:p w14:paraId="132B6981">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4627880" cy="3264535"/>
                  <wp:effectExtent l="0" t="0" r="1270" b="1206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
                          <a:stretch>
                            <a:fillRect/>
                          </a:stretch>
                        </pic:blipFill>
                        <pic:spPr>
                          <a:xfrm>
                            <a:off x="0" y="0"/>
                            <a:ext cx="4627880" cy="3264535"/>
                          </a:xfrm>
                          <a:prstGeom prst="rect">
                            <a:avLst/>
                          </a:prstGeom>
                          <a:noFill/>
                          <a:ln>
                            <a:noFill/>
                          </a:ln>
                        </pic:spPr>
                      </pic:pic>
                    </a:graphicData>
                  </a:graphic>
                </wp:inline>
              </w:drawing>
            </w:r>
          </w:p>
          <w:p w14:paraId="1BDDD0FB">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3.3附属建筑物设计</w:t>
            </w:r>
          </w:p>
          <w:p w14:paraId="3E795883">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上坝道路：共4处（K131+771、K137+680、K140+900、K143+360），宽4.0m，坡度1:20，与岸顶平顺连接。</w:t>
            </w:r>
          </w:p>
          <w:p w14:paraId="4721FCEE">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错车平台：共8处，宽8m，长20m，铺设30cm砂砾石。</w:t>
            </w:r>
          </w:p>
          <w:p w14:paraId="4A1AFD0B">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里程碑：每100m设一处里程桩，高83cm、宽40cm、厚15cm，采用C30F200W6预制砼。</w:t>
            </w:r>
          </w:p>
          <w:p w14:paraId="28AC6EC6">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643" w:firstLineChars="200"/>
              <w:jc w:val="center"/>
              <w:textAlignment w:val="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4991735" cy="2557780"/>
                  <wp:effectExtent l="0" t="0" r="18415" b="1397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a:stretch>
                            <a:fillRect/>
                          </a:stretch>
                        </pic:blipFill>
                        <pic:spPr>
                          <a:xfrm>
                            <a:off x="0" y="0"/>
                            <a:ext cx="4991735" cy="2557780"/>
                          </a:xfrm>
                          <a:prstGeom prst="rect">
                            <a:avLst/>
                          </a:prstGeom>
                          <a:noFill/>
                          <a:ln>
                            <a:noFill/>
                          </a:ln>
                        </pic:spPr>
                      </pic:pic>
                    </a:graphicData>
                  </a:graphic>
                </wp:inline>
              </w:drawing>
            </w: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4634865" cy="2539365"/>
                  <wp:effectExtent l="0" t="0" r="13335" b="1333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4634865" cy="2539365"/>
                          </a:xfrm>
                          <a:prstGeom prst="rect">
                            <a:avLst/>
                          </a:prstGeom>
                          <a:noFill/>
                          <a:ln>
                            <a:noFill/>
                          </a:ln>
                        </pic:spPr>
                      </pic:pic>
                    </a:graphicData>
                  </a:graphic>
                </wp:inline>
              </w:drawing>
            </w:r>
          </w:p>
          <w:p w14:paraId="0903F13B">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4、施工导流</w:t>
            </w:r>
          </w:p>
          <w:p w14:paraId="257A4116">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导流标准：5年一遇。</w:t>
            </w:r>
          </w:p>
          <w:p w14:paraId="6639D078">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导流时段：9～11月。</w:t>
            </w:r>
          </w:p>
          <w:p w14:paraId="4F93FB7C">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导流流量：205m³/s。</w:t>
            </w:r>
          </w:p>
          <w:p w14:paraId="7D1E9DFD">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导流方式：下段K137+680～K143+360设置临时围堰，其余段施工期水位低于河滩高程，不需导流。</w:t>
            </w:r>
          </w:p>
          <w:p w14:paraId="7A602C68">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围堰设计：</w:t>
            </w:r>
          </w:p>
          <w:p w14:paraId="2A34D831">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长度5.812km，顶宽5.0m，高2.0m，两侧边坡1:2.0。</w:t>
            </w:r>
          </w:p>
          <w:p w14:paraId="1625EE75">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填筑料：河道开挖覆土土料，压实度≥0.91。</w:t>
            </w:r>
          </w:p>
          <w:p w14:paraId="4620FFA8">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防渗：迎水面铺设0.3mm厚塑膜，塑膜上铺设30cm厚袋装土防冲。</w:t>
            </w:r>
          </w:p>
          <w:p w14:paraId="5C17F34A">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围堰拆除：施工结束后拆除，土料平摊至河床低洼处，防渗塑膜及装土袋拉运至阿扎特巴格镇处理。</w:t>
            </w:r>
          </w:p>
          <w:p w14:paraId="2D4B6E71">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5022850" cy="2247265"/>
                  <wp:effectExtent l="0" t="0" r="6350" b="63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3"/>
                          <a:stretch>
                            <a:fillRect/>
                          </a:stretch>
                        </pic:blipFill>
                        <pic:spPr>
                          <a:xfrm>
                            <a:off x="0" y="0"/>
                            <a:ext cx="5022850" cy="2247265"/>
                          </a:xfrm>
                          <a:prstGeom prst="rect">
                            <a:avLst/>
                          </a:prstGeom>
                          <a:noFill/>
                          <a:ln>
                            <a:noFill/>
                          </a:ln>
                        </pic:spPr>
                      </pic:pic>
                    </a:graphicData>
                  </a:graphic>
                </wp:inline>
              </w:drawing>
            </w:r>
          </w:p>
          <w:p w14:paraId="4ABBE066">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5施工排水</w:t>
            </w:r>
          </w:p>
          <w:p w14:paraId="15955688">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上段：利用初期排水明沟进行排水。</w:t>
            </w:r>
          </w:p>
          <w:p w14:paraId="50A9B6C9">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下段：明沟排水+管井降水。降水井布置在距离开挖线5m处，井间距27m，单井深度20m。井管为外径420mm、内径340mm预制混凝土滤水管，滤料粒径1～2mm，外包80目尼龙网。选用100QW100潜水泵（流量100m³/h，扬程25m，功率11kW）。下段共计划分为11个工段，每工段20眼井同时抽水，降水时间8天。</w:t>
            </w:r>
          </w:p>
          <w:p w14:paraId="1DCBEAF9">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6工程占地</w:t>
            </w:r>
          </w:p>
          <w:p w14:paraId="78526EAF">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工程总占地面积41.481hm²，其中永久占地19.02hm²，临时占地22.461hm²。</w:t>
            </w:r>
          </w:p>
          <w:p w14:paraId="58C97924">
            <w:pPr>
              <w:ind w:firstLine="310" w:firstLineChars="147"/>
              <w:jc w:val="center"/>
              <w:rPr>
                <w:rFonts w:hint="default" w:ascii="Times New Roman" w:hAnsi="Times New Roman" w:eastAsia="宋体" w:cs="Times New Roman"/>
                <w:b/>
                <w:color w:val="000000" w:themeColor="text1"/>
                <w:szCs w:val="21"/>
                <w:lang w:bidi="ar"/>
                <w14:textFill>
                  <w14:solidFill>
                    <w14:schemeClr w14:val="tx1"/>
                  </w14:solidFill>
                </w14:textFill>
              </w:rPr>
            </w:pPr>
            <w:r>
              <w:rPr>
                <w:rFonts w:hint="default" w:ascii="Times New Roman" w:hAnsi="Times New Roman" w:eastAsia="宋体" w:cs="Times New Roman"/>
                <w:b/>
                <w:color w:val="000000" w:themeColor="text1"/>
                <w:szCs w:val="21"/>
                <w:lang w:bidi="ar"/>
                <w14:textFill>
                  <w14:solidFill>
                    <w14:schemeClr w14:val="tx1"/>
                  </w14:solidFill>
                </w14:textFill>
              </w:rPr>
              <w:t>表2-</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2工程占地</w:t>
            </w:r>
            <w:r>
              <w:rPr>
                <w:rFonts w:hint="default" w:ascii="Times New Roman" w:hAnsi="Times New Roman" w:eastAsia="宋体" w:cs="Times New Roman"/>
                <w:b/>
                <w:color w:val="000000" w:themeColor="text1"/>
                <w:szCs w:val="21"/>
                <w:lang w:bidi="ar"/>
                <w14:textFill>
                  <w14:solidFill>
                    <w14:schemeClr w14:val="tx1"/>
                  </w14:solidFill>
                </w14:textFill>
              </w:rPr>
              <w:t>一览表</w:t>
            </w:r>
          </w:p>
          <w:tbl>
            <w:tblPr>
              <w:tblStyle w:val="35"/>
              <w:tblW w:w="86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6"/>
              <w:gridCol w:w="2036"/>
              <w:gridCol w:w="2037"/>
              <w:gridCol w:w="2528"/>
            </w:tblGrid>
            <w:tr w14:paraId="2CA47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vAlign w:val="center"/>
                </w:tcPr>
                <w:p w14:paraId="56D9D3CA">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占地类型</w:t>
                  </w:r>
                </w:p>
              </w:tc>
              <w:tc>
                <w:tcPr>
                  <w:tcW w:w="2036" w:type="dxa"/>
                  <w:vAlign w:val="center"/>
                </w:tcPr>
                <w:p w14:paraId="49CEE5A3">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永久占地（hm²）</w:t>
                  </w:r>
                </w:p>
              </w:tc>
              <w:tc>
                <w:tcPr>
                  <w:tcW w:w="2037" w:type="dxa"/>
                  <w:vAlign w:val="center"/>
                </w:tcPr>
                <w:p w14:paraId="7432D1C4">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临时占地（hm²）</w:t>
                  </w:r>
                </w:p>
              </w:tc>
              <w:tc>
                <w:tcPr>
                  <w:tcW w:w="2528" w:type="dxa"/>
                  <w:vAlign w:val="center"/>
                </w:tcPr>
                <w:p w14:paraId="609D30C8">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合计（hm²）</w:t>
                  </w:r>
                </w:p>
              </w:tc>
            </w:tr>
            <w:tr w14:paraId="27292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vAlign w:val="center"/>
                </w:tcPr>
                <w:p w14:paraId="428A3A78">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耕地</w:t>
                  </w:r>
                </w:p>
              </w:tc>
              <w:tc>
                <w:tcPr>
                  <w:tcW w:w="2036" w:type="dxa"/>
                  <w:vAlign w:val="center"/>
                </w:tcPr>
                <w:p w14:paraId="67368A0F">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8.33</w:t>
                  </w:r>
                </w:p>
              </w:tc>
              <w:tc>
                <w:tcPr>
                  <w:tcW w:w="2037" w:type="dxa"/>
                  <w:vAlign w:val="center"/>
                </w:tcPr>
                <w:p w14:paraId="5BDBA338">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4.01</w:t>
                  </w:r>
                </w:p>
              </w:tc>
              <w:tc>
                <w:tcPr>
                  <w:tcW w:w="2528" w:type="dxa"/>
                  <w:vAlign w:val="center"/>
                </w:tcPr>
                <w:p w14:paraId="03F203B1">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12.34</w:t>
                  </w:r>
                </w:p>
              </w:tc>
            </w:tr>
            <w:tr w14:paraId="260A5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vAlign w:val="center"/>
                </w:tcPr>
                <w:p w14:paraId="033F807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林地</w:t>
                  </w:r>
                </w:p>
              </w:tc>
              <w:tc>
                <w:tcPr>
                  <w:tcW w:w="2036" w:type="dxa"/>
                  <w:vAlign w:val="center"/>
                </w:tcPr>
                <w:p w14:paraId="21AD647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w:t>
                  </w:r>
                </w:p>
              </w:tc>
              <w:tc>
                <w:tcPr>
                  <w:tcW w:w="2037" w:type="dxa"/>
                  <w:vAlign w:val="center"/>
                </w:tcPr>
                <w:p w14:paraId="7EB90BE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0.001</w:t>
                  </w:r>
                </w:p>
              </w:tc>
              <w:tc>
                <w:tcPr>
                  <w:tcW w:w="2528" w:type="dxa"/>
                  <w:vAlign w:val="center"/>
                </w:tcPr>
                <w:p w14:paraId="66E170D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0.001</w:t>
                  </w:r>
                </w:p>
              </w:tc>
            </w:tr>
            <w:tr w14:paraId="5F929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vAlign w:val="center"/>
                </w:tcPr>
                <w:p w14:paraId="3F2D29CC">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草地</w:t>
                  </w:r>
                </w:p>
              </w:tc>
              <w:tc>
                <w:tcPr>
                  <w:tcW w:w="2036" w:type="dxa"/>
                  <w:vAlign w:val="center"/>
                </w:tcPr>
                <w:p w14:paraId="042BBC9F">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1.47</w:t>
                  </w:r>
                </w:p>
              </w:tc>
              <w:tc>
                <w:tcPr>
                  <w:tcW w:w="2037" w:type="dxa"/>
                  <w:vAlign w:val="center"/>
                </w:tcPr>
                <w:p w14:paraId="406039C9">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0.30</w:t>
                  </w:r>
                </w:p>
              </w:tc>
              <w:tc>
                <w:tcPr>
                  <w:tcW w:w="2528" w:type="dxa"/>
                  <w:vAlign w:val="center"/>
                </w:tcPr>
                <w:p w14:paraId="4B400FD8">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1.77</w:t>
                  </w:r>
                </w:p>
              </w:tc>
            </w:tr>
            <w:tr w14:paraId="22DE6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vAlign w:val="center"/>
                </w:tcPr>
                <w:p w14:paraId="4FFFC659">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交通运输用地</w:t>
                  </w:r>
                </w:p>
              </w:tc>
              <w:tc>
                <w:tcPr>
                  <w:tcW w:w="2036" w:type="dxa"/>
                  <w:vAlign w:val="center"/>
                </w:tcPr>
                <w:p w14:paraId="18097919">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0.08</w:t>
                  </w:r>
                </w:p>
              </w:tc>
              <w:tc>
                <w:tcPr>
                  <w:tcW w:w="2037" w:type="dxa"/>
                  <w:vAlign w:val="center"/>
                </w:tcPr>
                <w:p w14:paraId="68ECABF7">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0.02</w:t>
                  </w:r>
                </w:p>
              </w:tc>
              <w:tc>
                <w:tcPr>
                  <w:tcW w:w="2528" w:type="dxa"/>
                  <w:vAlign w:val="center"/>
                </w:tcPr>
                <w:p w14:paraId="0C0B36D6">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0.10</w:t>
                  </w:r>
                </w:p>
              </w:tc>
            </w:tr>
            <w:tr w14:paraId="6371E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vAlign w:val="center"/>
                </w:tcPr>
                <w:p w14:paraId="38A806F6">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水域及水利设施用地</w:t>
                  </w:r>
                </w:p>
              </w:tc>
              <w:tc>
                <w:tcPr>
                  <w:tcW w:w="2036" w:type="dxa"/>
                  <w:vAlign w:val="center"/>
                </w:tcPr>
                <w:p w14:paraId="550E875B">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9.14</w:t>
                  </w:r>
                </w:p>
              </w:tc>
              <w:tc>
                <w:tcPr>
                  <w:tcW w:w="2037" w:type="dxa"/>
                  <w:vAlign w:val="center"/>
                </w:tcPr>
                <w:p w14:paraId="03114905">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14.65</w:t>
                  </w:r>
                </w:p>
              </w:tc>
              <w:tc>
                <w:tcPr>
                  <w:tcW w:w="2528" w:type="dxa"/>
                  <w:vAlign w:val="center"/>
                </w:tcPr>
                <w:p w14:paraId="5050010C">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23.79</w:t>
                  </w:r>
                </w:p>
              </w:tc>
            </w:tr>
            <w:tr w14:paraId="422F1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vAlign w:val="center"/>
                </w:tcPr>
                <w:p w14:paraId="425DE5B0">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其他土地</w:t>
                  </w:r>
                </w:p>
              </w:tc>
              <w:tc>
                <w:tcPr>
                  <w:tcW w:w="2036" w:type="dxa"/>
                  <w:vAlign w:val="center"/>
                </w:tcPr>
                <w:p w14:paraId="78FB44A6">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2037" w:type="dxa"/>
                  <w:vAlign w:val="center"/>
                </w:tcPr>
                <w:p w14:paraId="2E85084A">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3.48</w:t>
                  </w:r>
                </w:p>
              </w:tc>
              <w:tc>
                <w:tcPr>
                  <w:tcW w:w="2528" w:type="dxa"/>
                  <w:vAlign w:val="center"/>
                </w:tcPr>
                <w:p w14:paraId="53CB8638">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3.48</w:t>
                  </w:r>
                </w:p>
              </w:tc>
            </w:tr>
            <w:tr w14:paraId="42AAB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vAlign w:val="center"/>
                </w:tcPr>
                <w:p w14:paraId="78CAE469">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合计</w:t>
                  </w:r>
                </w:p>
              </w:tc>
              <w:tc>
                <w:tcPr>
                  <w:tcW w:w="2036" w:type="dxa"/>
                  <w:vAlign w:val="center"/>
                </w:tcPr>
                <w:p w14:paraId="33E89881">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19.02</w:t>
                  </w:r>
                </w:p>
              </w:tc>
              <w:tc>
                <w:tcPr>
                  <w:tcW w:w="2037" w:type="dxa"/>
                  <w:vAlign w:val="center"/>
                </w:tcPr>
                <w:p w14:paraId="6D0B4908">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22.461</w:t>
                  </w:r>
                </w:p>
              </w:tc>
              <w:tc>
                <w:tcPr>
                  <w:tcW w:w="2528" w:type="dxa"/>
                  <w:vAlign w:val="center"/>
                </w:tcPr>
                <w:p w14:paraId="1FD97024">
                  <w:pPr>
                    <w:pStyle w:val="114"/>
                    <w:jc w:val="center"/>
                    <w:rPr>
                      <w:rFonts w:hint="default" w:ascii="Times New Roman" w:hAnsi="Times New Roman" w:eastAsia="宋体" w:cs="Times New Roman"/>
                      <w:b/>
                      <w:color w:val="000000" w:themeColor="text1"/>
                      <w:szCs w:val="21"/>
                      <w:vertAlign w:val="baseline"/>
                      <w:lang w:bidi="ar"/>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41.481</w:t>
                  </w:r>
                </w:p>
              </w:tc>
            </w:tr>
          </w:tbl>
          <w:p w14:paraId="0BA677A9">
            <w:pPr>
              <w:ind w:firstLine="310" w:firstLineChars="147"/>
              <w:jc w:val="center"/>
              <w:rPr>
                <w:rFonts w:hint="default" w:ascii="Times New Roman" w:hAnsi="Times New Roman" w:eastAsia="宋体" w:cs="Times New Roman"/>
                <w:b/>
                <w:color w:val="000000" w:themeColor="text1"/>
                <w:szCs w:val="21"/>
                <w:lang w:val="en-US" w:eastAsia="zh-CN" w:bidi="ar"/>
                <w14:textFill>
                  <w14:solidFill>
                    <w14:schemeClr w14:val="tx1"/>
                  </w14:solidFill>
                </w14:textFill>
              </w:rPr>
            </w:pPr>
            <w:r>
              <w:rPr>
                <w:rFonts w:hint="default" w:ascii="Times New Roman" w:hAnsi="Times New Roman" w:eastAsia="宋体" w:cs="Times New Roman"/>
                <w:b/>
                <w:color w:val="000000" w:themeColor="text1"/>
                <w:szCs w:val="21"/>
                <w:lang w:bidi="ar"/>
                <w14:textFill>
                  <w14:solidFill>
                    <w14:schemeClr w14:val="tx1"/>
                  </w14:solidFill>
                </w14:textFill>
              </w:rPr>
              <w:t>表2-</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3</w:t>
            </w:r>
            <w:r>
              <w:rPr>
                <w:rFonts w:hint="default" w:ascii="Times New Roman" w:hAnsi="Times New Roman" w:eastAsia="宋体" w:cs="Times New Roman"/>
                <w:b/>
                <w:color w:val="000000" w:themeColor="text1"/>
                <w:szCs w:val="21"/>
                <w:lang w:bidi="ar"/>
                <w14:textFill>
                  <w14:solidFill>
                    <w14:schemeClr w14:val="tx1"/>
                  </w14:solidFill>
                </w14:textFill>
              </w:rPr>
              <w:t>永久占地统计表</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单位：hm²</w:t>
            </w:r>
          </w:p>
          <w:tbl>
            <w:tblPr>
              <w:tblStyle w:val="100"/>
              <w:tblW w:w="4999"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79"/>
              <w:gridCol w:w="540"/>
              <w:gridCol w:w="763"/>
              <w:gridCol w:w="620"/>
              <w:gridCol w:w="658"/>
              <w:gridCol w:w="744"/>
              <w:gridCol w:w="737"/>
              <w:gridCol w:w="623"/>
              <w:gridCol w:w="967"/>
              <w:gridCol w:w="797"/>
              <w:gridCol w:w="742"/>
              <w:gridCol w:w="750"/>
            </w:tblGrid>
            <w:tr w14:paraId="341334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 w:hRule="atLeast"/>
              </w:trPr>
              <w:tc>
                <w:tcPr>
                  <w:tcW w:w="1151" w:type="dxa"/>
                  <w:gridSpan w:val="2"/>
                  <w:vMerge w:val="restart"/>
                  <w:tcBorders>
                    <w:bottom w:val="nil"/>
                  </w:tcBorders>
                  <w:vAlign w:val="center"/>
                </w:tcPr>
                <w:p w14:paraId="6C308B7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分区</w:t>
                  </w:r>
                </w:p>
              </w:tc>
              <w:tc>
                <w:tcPr>
                  <w:tcW w:w="6990" w:type="dxa"/>
                  <w:gridSpan w:val="10"/>
                  <w:vAlign w:val="center"/>
                </w:tcPr>
                <w:p w14:paraId="41A7FBA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占地类型</w:t>
                  </w:r>
                </w:p>
              </w:tc>
            </w:tr>
            <w:tr w14:paraId="44DF19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4" w:hRule="atLeast"/>
              </w:trPr>
              <w:tc>
                <w:tcPr>
                  <w:tcW w:w="1151" w:type="dxa"/>
                  <w:gridSpan w:val="2"/>
                  <w:vMerge w:val="continue"/>
                  <w:tcBorders>
                    <w:top w:val="nil"/>
                    <w:bottom w:val="nil"/>
                  </w:tcBorders>
                  <w:vAlign w:val="center"/>
                </w:tcPr>
                <w:p w14:paraId="1F4592E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07" w:type="dxa"/>
                  <w:gridSpan w:val="2"/>
                  <w:vAlign w:val="center"/>
                </w:tcPr>
                <w:p w14:paraId="3754BCF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耕地</w:t>
                  </w:r>
                </w:p>
              </w:tc>
              <w:tc>
                <w:tcPr>
                  <w:tcW w:w="621" w:type="dxa"/>
                  <w:vAlign w:val="center"/>
                </w:tcPr>
                <w:p w14:paraId="347E4F0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林地</w:t>
                  </w:r>
                </w:p>
              </w:tc>
              <w:tc>
                <w:tcPr>
                  <w:tcW w:w="703" w:type="dxa"/>
                  <w:vAlign w:val="center"/>
                </w:tcPr>
                <w:p w14:paraId="446FD68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草地</w:t>
                  </w:r>
                </w:p>
              </w:tc>
              <w:tc>
                <w:tcPr>
                  <w:tcW w:w="696" w:type="dxa"/>
                  <w:vAlign w:val="center"/>
                </w:tcPr>
                <w:p w14:paraId="181CFD6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交通运输用地</w:t>
                  </w:r>
                </w:p>
              </w:tc>
              <w:tc>
                <w:tcPr>
                  <w:tcW w:w="2955" w:type="dxa"/>
                  <w:gridSpan w:val="4"/>
                  <w:vAlign w:val="center"/>
                </w:tcPr>
                <w:p w14:paraId="2DA50CD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水域及水利设施用地</w:t>
                  </w:r>
                </w:p>
              </w:tc>
              <w:tc>
                <w:tcPr>
                  <w:tcW w:w="708" w:type="dxa"/>
                  <w:vMerge w:val="restart"/>
                  <w:tcBorders>
                    <w:bottom w:val="nil"/>
                  </w:tcBorders>
                  <w:vAlign w:val="center"/>
                </w:tcPr>
                <w:p w14:paraId="5D82DCF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合计</w:t>
                  </w:r>
                </w:p>
              </w:tc>
            </w:tr>
            <w:tr w14:paraId="0CE2C8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8" w:hRule="atLeast"/>
              </w:trPr>
              <w:tc>
                <w:tcPr>
                  <w:tcW w:w="1151" w:type="dxa"/>
                  <w:gridSpan w:val="2"/>
                  <w:vMerge w:val="continue"/>
                  <w:tcBorders>
                    <w:top w:val="nil"/>
                  </w:tcBorders>
                  <w:vAlign w:val="center"/>
                </w:tcPr>
                <w:p w14:paraId="5409EBF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721" w:type="dxa"/>
                  <w:vAlign w:val="center"/>
                </w:tcPr>
                <w:p w14:paraId="0557D18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水浇地</w:t>
                  </w:r>
                </w:p>
              </w:tc>
              <w:tc>
                <w:tcPr>
                  <w:tcW w:w="586" w:type="dxa"/>
                  <w:vAlign w:val="center"/>
                </w:tcPr>
                <w:p w14:paraId="6DCAFA3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基本农田</w:t>
                  </w:r>
                </w:p>
              </w:tc>
              <w:tc>
                <w:tcPr>
                  <w:tcW w:w="621" w:type="dxa"/>
                  <w:vAlign w:val="center"/>
                </w:tcPr>
                <w:p w14:paraId="65C8E55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灌木林地</w:t>
                  </w:r>
                </w:p>
              </w:tc>
              <w:tc>
                <w:tcPr>
                  <w:tcW w:w="703" w:type="dxa"/>
                  <w:vAlign w:val="center"/>
                </w:tcPr>
                <w:p w14:paraId="59FDE24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其他草地</w:t>
                  </w:r>
                </w:p>
              </w:tc>
              <w:tc>
                <w:tcPr>
                  <w:tcW w:w="696" w:type="dxa"/>
                  <w:vAlign w:val="center"/>
                </w:tcPr>
                <w:p w14:paraId="532CC02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农村道路</w:t>
                  </w:r>
                </w:p>
              </w:tc>
              <w:tc>
                <w:tcPr>
                  <w:tcW w:w="588" w:type="dxa"/>
                  <w:vAlign w:val="center"/>
                </w:tcPr>
                <w:p w14:paraId="411CF66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河流</w:t>
                  </w:r>
                </w:p>
                <w:p w14:paraId="1A61607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水面</w:t>
                  </w:r>
                </w:p>
              </w:tc>
              <w:tc>
                <w:tcPr>
                  <w:tcW w:w="913" w:type="dxa"/>
                  <w:vAlign w:val="center"/>
                </w:tcPr>
                <w:p w14:paraId="6FCCFB1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内陆滩涂</w:t>
                  </w:r>
                </w:p>
              </w:tc>
              <w:tc>
                <w:tcPr>
                  <w:tcW w:w="753" w:type="dxa"/>
                  <w:vAlign w:val="center"/>
                </w:tcPr>
                <w:p w14:paraId="1DEDA2A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沟渠</w:t>
                  </w:r>
                </w:p>
              </w:tc>
              <w:tc>
                <w:tcPr>
                  <w:tcW w:w="701" w:type="dxa"/>
                  <w:vAlign w:val="center"/>
                </w:tcPr>
                <w:p w14:paraId="27FC74C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干渠</w:t>
                  </w:r>
                </w:p>
              </w:tc>
              <w:tc>
                <w:tcPr>
                  <w:tcW w:w="708" w:type="dxa"/>
                  <w:vMerge w:val="continue"/>
                  <w:tcBorders>
                    <w:top w:val="nil"/>
                  </w:tcBorders>
                  <w:vAlign w:val="center"/>
                </w:tcPr>
                <w:p w14:paraId="62DCB24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r>
            <w:tr w14:paraId="2CA1D9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0" w:hRule="atLeast"/>
              </w:trPr>
              <w:tc>
                <w:tcPr>
                  <w:tcW w:w="641" w:type="dxa"/>
                  <w:vAlign w:val="center"/>
                </w:tcPr>
                <w:p w14:paraId="6C6BA2E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冲洪积平原</w:t>
                  </w:r>
                </w:p>
              </w:tc>
              <w:tc>
                <w:tcPr>
                  <w:tcW w:w="510" w:type="dxa"/>
                  <w:vAlign w:val="center"/>
                </w:tcPr>
                <w:p w14:paraId="1EEAF09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护岸工程区</w:t>
                  </w:r>
                </w:p>
              </w:tc>
              <w:tc>
                <w:tcPr>
                  <w:tcW w:w="721" w:type="dxa"/>
                  <w:vAlign w:val="center"/>
                </w:tcPr>
                <w:p w14:paraId="57B41E5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8.33</w:t>
                  </w:r>
                </w:p>
              </w:tc>
              <w:tc>
                <w:tcPr>
                  <w:tcW w:w="586" w:type="dxa"/>
                  <w:vAlign w:val="center"/>
                </w:tcPr>
                <w:p w14:paraId="1F1FCC4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1" w:type="dxa"/>
                  <w:vAlign w:val="center"/>
                </w:tcPr>
                <w:p w14:paraId="25F9B3D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03" w:type="dxa"/>
                  <w:vAlign w:val="center"/>
                </w:tcPr>
                <w:p w14:paraId="2D934D3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1.47</w:t>
                  </w:r>
                </w:p>
              </w:tc>
              <w:tc>
                <w:tcPr>
                  <w:tcW w:w="696" w:type="dxa"/>
                  <w:vAlign w:val="center"/>
                </w:tcPr>
                <w:p w14:paraId="51DADCC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0.08</w:t>
                  </w:r>
                </w:p>
              </w:tc>
              <w:tc>
                <w:tcPr>
                  <w:tcW w:w="588" w:type="dxa"/>
                  <w:vAlign w:val="center"/>
                </w:tcPr>
                <w:p w14:paraId="27F03E4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6.10</w:t>
                  </w:r>
                </w:p>
              </w:tc>
              <w:tc>
                <w:tcPr>
                  <w:tcW w:w="913" w:type="dxa"/>
                  <w:vAlign w:val="center"/>
                </w:tcPr>
                <w:p w14:paraId="215884B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2.39</w:t>
                  </w:r>
                </w:p>
              </w:tc>
              <w:tc>
                <w:tcPr>
                  <w:tcW w:w="753" w:type="dxa"/>
                  <w:vAlign w:val="center"/>
                </w:tcPr>
                <w:p w14:paraId="02260C6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0.65</w:t>
                  </w:r>
                </w:p>
              </w:tc>
              <w:tc>
                <w:tcPr>
                  <w:tcW w:w="701" w:type="dxa"/>
                  <w:vAlign w:val="center"/>
                </w:tcPr>
                <w:p w14:paraId="1E966ED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w:t>
                  </w:r>
                </w:p>
              </w:tc>
              <w:tc>
                <w:tcPr>
                  <w:tcW w:w="708" w:type="dxa"/>
                  <w:vAlign w:val="center"/>
                </w:tcPr>
                <w:p w14:paraId="648214C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19.02</w:t>
                  </w:r>
                </w:p>
              </w:tc>
            </w:tr>
          </w:tbl>
          <w:p w14:paraId="5F9BCF4A">
            <w:pPr>
              <w:spacing w:before="48" w:line="221" w:lineRule="auto"/>
              <w:ind w:left="3697"/>
              <w:rPr>
                <w:rFonts w:hint="default" w:ascii="Times New Roman" w:hAnsi="Times New Roman" w:eastAsia="宋体" w:cs="Times New Roman"/>
                <w:b/>
                <w:color w:val="000000" w:themeColor="text1"/>
                <w:szCs w:val="21"/>
                <w:lang w:bidi="ar"/>
                <w14:textFill>
                  <w14:solidFill>
                    <w14:schemeClr w14:val="tx1"/>
                  </w14:solidFill>
                </w14:textFill>
              </w:rPr>
            </w:pPr>
          </w:p>
          <w:p w14:paraId="4DB6BE58">
            <w:pPr>
              <w:pStyle w:val="2"/>
              <w:rPr>
                <w:rFonts w:hint="default"/>
                <w:color w:val="000000" w:themeColor="text1"/>
                <w14:textFill>
                  <w14:solidFill>
                    <w14:schemeClr w14:val="tx1"/>
                  </w14:solidFill>
                </w14:textFill>
              </w:rPr>
            </w:pPr>
          </w:p>
          <w:p w14:paraId="2CDBE5EC">
            <w:pPr>
              <w:ind w:firstLine="310" w:firstLineChars="147"/>
              <w:jc w:val="center"/>
              <w:rPr>
                <w:rFonts w:hint="default" w:ascii="Times New Roman" w:hAnsi="Times New Roman" w:eastAsia="宋体" w:cs="Times New Roman"/>
                <w:b/>
                <w:color w:val="000000" w:themeColor="text1"/>
                <w:szCs w:val="21"/>
                <w:lang w:bidi="ar"/>
                <w14:textFill>
                  <w14:solidFill>
                    <w14:schemeClr w14:val="tx1"/>
                  </w14:solidFill>
                </w14:textFill>
              </w:rPr>
            </w:pPr>
          </w:p>
          <w:p w14:paraId="1176C06D">
            <w:pPr>
              <w:ind w:firstLine="310" w:firstLineChars="147"/>
              <w:jc w:val="center"/>
              <w:rPr>
                <w:rFonts w:hint="default" w:ascii="Times New Roman" w:hAnsi="Times New Roman" w:eastAsia="宋体" w:cs="Times New Roman"/>
                <w:b/>
                <w:color w:val="000000" w:themeColor="text1"/>
                <w:szCs w:val="21"/>
                <w:lang w:val="en-US" w:eastAsia="zh-CN" w:bidi="ar"/>
                <w14:textFill>
                  <w14:solidFill>
                    <w14:schemeClr w14:val="tx1"/>
                  </w14:solidFill>
                </w14:textFill>
              </w:rPr>
            </w:pPr>
            <w:r>
              <w:rPr>
                <w:rFonts w:hint="default" w:ascii="Times New Roman" w:hAnsi="Times New Roman" w:eastAsia="宋体" w:cs="Times New Roman"/>
                <w:b/>
                <w:color w:val="000000" w:themeColor="text1"/>
                <w:szCs w:val="21"/>
                <w:lang w:bidi="ar"/>
                <w14:textFill>
                  <w14:solidFill>
                    <w14:schemeClr w14:val="tx1"/>
                  </w14:solidFill>
                </w14:textFill>
              </w:rPr>
              <w:t>表2-</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4临时</w:t>
            </w:r>
            <w:r>
              <w:rPr>
                <w:rFonts w:hint="default" w:ascii="Times New Roman" w:hAnsi="Times New Roman" w:eastAsia="宋体" w:cs="Times New Roman"/>
                <w:b/>
                <w:color w:val="000000" w:themeColor="text1"/>
                <w:szCs w:val="21"/>
                <w:lang w:bidi="ar"/>
                <w14:textFill>
                  <w14:solidFill>
                    <w14:schemeClr w14:val="tx1"/>
                  </w14:solidFill>
                </w14:textFill>
              </w:rPr>
              <w:t>占地统计表</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单位：hm²</w:t>
            </w:r>
          </w:p>
          <w:p w14:paraId="43221019">
            <w:pPr>
              <w:spacing w:line="22" w:lineRule="exact"/>
              <w:rPr>
                <w:rFonts w:hint="default" w:ascii="Times New Roman" w:hAnsi="Times New Roman" w:eastAsia="宋体" w:cs="Times New Roman"/>
                <w:color w:val="000000" w:themeColor="text1"/>
                <w14:textFill>
                  <w14:solidFill>
                    <w14:schemeClr w14:val="tx1"/>
                  </w14:solidFill>
                </w14:textFill>
              </w:rPr>
            </w:pPr>
          </w:p>
          <w:tbl>
            <w:tblPr>
              <w:tblStyle w:val="100"/>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399"/>
              <w:gridCol w:w="751"/>
              <w:gridCol w:w="916"/>
              <w:gridCol w:w="618"/>
              <w:gridCol w:w="530"/>
              <w:gridCol w:w="575"/>
              <w:gridCol w:w="575"/>
              <w:gridCol w:w="529"/>
              <w:gridCol w:w="623"/>
              <w:gridCol w:w="708"/>
              <w:gridCol w:w="529"/>
              <w:gridCol w:w="623"/>
              <w:gridCol w:w="530"/>
              <w:gridCol w:w="716"/>
            </w:tblGrid>
            <w:tr w14:paraId="42F631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 w:hRule="atLeast"/>
              </w:trPr>
              <w:tc>
                <w:tcPr>
                  <w:tcW w:w="2072" w:type="dxa"/>
                  <w:gridSpan w:val="3"/>
                  <w:vMerge w:val="restart"/>
                  <w:tcBorders>
                    <w:bottom w:val="nil"/>
                  </w:tcBorders>
                  <w:vAlign w:val="center"/>
                </w:tcPr>
                <w:p w14:paraId="72F3F0E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分区</w:t>
                  </w:r>
                </w:p>
              </w:tc>
              <w:tc>
                <w:tcPr>
                  <w:tcW w:w="6569" w:type="dxa"/>
                  <w:gridSpan w:val="11"/>
                  <w:vAlign w:val="center"/>
                </w:tcPr>
                <w:p w14:paraId="579F47B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占地类型</w:t>
                  </w:r>
                </w:p>
              </w:tc>
            </w:tr>
            <w:tr w14:paraId="430780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6" w:hRule="atLeast"/>
              </w:trPr>
              <w:tc>
                <w:tcPr>
                  <w:tcW w:w="2072" w:type="dxa"/>
                  <w:gridSpan w:val="3"/>
                  <w:vMerge w:val="continue"/>
                  <w:tcBorders>
                    <w:top w:val="nil"/>
                    <w:bottom w:val="nil"/>
                  </w:tcBorders>
                  <w:vAlign w:val="center"/>
                </w:tcPr>
                <w:p w14:paraId="6F83C63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727" w:type="dxa"/>
                  <w:gridSpan w:val="3"/>
                  <w:vAlign w:val="center"/>
                </w:tcPr>
                <w:p w14:paraId="3FAEDE7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耕地、林地</w:t>
                  </w:r>
                </w:p>
              </w:tc>
              <w:tc>
                <w:tcPr>
                  <w:tcW w:w="576" w:type="dxa"/>
                  <w:vAlign w:val="center"/>
                </w:tcPr>
                <w:p w14:paraId="39368FE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草地</w:t>
                  </w:r>
                </w:p>
              </w:tc>
              <w:tc>
                <w:tcPr>
                  <w:tcW w:w="530" w:type="dxa"/>
                  <w:vAlign w:val="center"/>
                </w:tcPr>
                <w:p w14:paraId="7E65A3F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交通运输用地</w:t>
                  </w:r>
                </w:p>
              </w:tc>
              <w:tc>
                <w:tcPr>
                  <w:tcW w:w="1864" w:type="dxa"/>
                  <w:gridSpan w:val="3"/>
                  <w:vAlign w:val="center"/>
                </w:tcPr>
                <w:p w14:paraId="2AB3D97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水域及水利设施用地</w:t>
                  </w:r>
                </w:p>
              </w:tc>
              <w:tc>
                <w:tcPr>
                  <w:tcW w:w="1155" w:type="dxa"/>
                  <w:gridSpan w:val="2"/>
                  <w:vAlign w:val="center"/>
                </w:tcPr>
                <w:p w14:paraId="061ACB2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其他土地</w:t>
                  </w:r>
                </w:p>
              </w:tc>
              <w:tc>
                <w:tcPr>
                  <w:tcW w:w="717" w:type="dxa"/>
                  <w:vMerge w:val="restart"/>
                  <w:tcBorders>
                    <w:bottom w:val="nil"/>
                  </w:tcBorders>
                  <w:vAlign w:val="center"/>
                </w:tcPr>
                <w:p w14:paraId="02A2913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小计</w:t>
                  </w:r>
                </w:p>
              </w:tc>
            </w:tr>
            <w:tr w14:paraId="52798E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2072" w:type="dxa"/>
                  <w:gridSpan w:val="3"/>
                  <w:vMerge w:val="continue"/>
                  <w:tcBorders>
                    <w:top w:val="nil"/>
                  </w:tcBorders>
                  <w:vAlign w:val="center"/>
                </w:tcPr>
                <w:p w14:paraId="355D341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619" w:type="dxa"/>
                  <w:vAlign w:val="center"/>
                </w:tcPr>
                <w:p w14:paraId="52EFC15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水浇地</w:t>
                  </w:r>
                </w:p>
              </w:tc>
              <w:tc>
                <w:tcPr>
                  <w:tcW w:w="532" w:type="dxa"/>
                  <w:vAlign w:val="center"/>
                </w:tcPr>
                <w:p w14:paraId="561C3A7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基本农田</w:t>
                  </w:r>
                </w:p>
              </w:tc>
              <w:tc>
                <w:tcPr>
                  <w:tcW w:w="576" w:type="dxa"/>
                  <w:vAlign w:val="center"/>
                </w:tcPr>
                <w:p w14:paraId="638E087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其他林地</w:t>
                  </w:r>
                </w:p>
              </w:tc>
              <w:tc>
                <w:tcPr>
                  <w:tcW w:w="576" w:type="dxa"/>
                  <w:vAlign w:val="center"/>
                </w:tcPr>
                <w:p w14:paraId="3ECEE85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其他草地</w:t>
                  </w:r>
                </w:p>
              </w:tc>
              <w:tc>
                <w:tcPr>
                  <w:tcW w:w="530" w:type="dxa"/>
                  <w:vAlign w:val="center"/>
                </w:tcPr>
                <w:p w14:paraId="377E5C0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农村道路</w:t>
                  </w:r>
                </w:p>
              </w:tc>
              <w:tc>
                <w:tcPr>
                  <w:tcW w:w="624" w:type="dxa"/>
                  <w:vAlign w:val="center"/>
                </w:tcPr>
                <w:p w14:paraId="3D30509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河流水面</w:t>
                  </w:r>
                </w:p>
              </w:tc>
              <w:tc>
                <w:tcPr>
                  <w:tcW w:w="710" w:type="dxa"/>
                  <w:vAlign w:val="center"/>
                </w:tcPr>
                <w:p w14:paraId="1FF73B2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内陆滩涂</w:t>
                  </w:r>
                </w:p>
              </w:tc>
              <w:tc>
                <w:tcPr>
                  <w:tcW w:w="530" w:type="dxa"/>
                  <w:vAlign w:val="center"/>
                </w:tcPr>
                <w:p w14:paraId="1CF3946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沟渠</w:t>
                  </w:r>
                </w:p>
              </w:tc>
              <w:tc>
                <w:tcPr>
                  <w:tcW w:w="624" w:type="dxa"/>
                  <w:vAlign w:val="center"/>
                </w:tcPr>
                <w:p w14:paraId="3FD2A3B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沙地</w:t>
                  </w:r>
                </w:p>
              </w:tc>
              <w:tc>
                <w:tcPr>
                  <w:tcW w:w="531" w:type="dxa"/>
                  <w:vAlign w:val="center"/>
                </w:tcPr>
                <w:p w14:paraId="7913C79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裸土地</w:t>
                  </w:r>
                </w:p>
              </w:tc>
              <w:tc>
                <w:tcPr>
                  <w:tcW w:w="717" w:type="dxa"/>
                  <w:vMerge w:val="continue"/>
                  <w:tcBorders>
                    <w:top w:val="nil"/>
                  </w:tcBorders>
                  <w:vAlign w:val="center"/>
                </w:tcPr>
                <w:p w14:paraId="1B5AC6C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r>
            <w:tr w14:paraId="26DF94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00" w:type="dxa"/>
                  <w:vMerge w:val="restart"/>
                  <w:tcBorders>
                    <w:bottom w:val="nil"/>
                  </w:tcBorders>
                  <w:vAlign w:val="center"/>
                </w:tcPr>
                <w:p w14:paraId="5EAEB4F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冲洪积平原</w:t>
                  </w:r>
                </w:p>
              </w:tc>
              <w:tc>
                <w:tcPr>
                  <w:tcW w:w="753" w:type="dxa"/>
                  <w:vMerge w:val="restart"/>
                  <w:tcBorders>
                    <w:bottom w:val="nil"/>
                  </w:tcBorders>
                  <w:vAlign w:val="center"/>
                </w:tcPr>
                <w:p w14:paraId="277C7D1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施工排水区</w:t>
                  </w:r>
                </w:p>
              </w:tc>
              <w:tc>
                <w:tcPr>
                  <w:tcW w:w="919" w:type="dxa"/>
                  <w:vAlign w:val="center"/>
                </w:tcPr>
                <w:p w14:paraId="33A1EAD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护岸排水区</w:t>
                  </w:r>
                </w:p>
              </w:tc>
              <w:tc>
                <w:tcPr>
                  <w:tcW w:w="619" w:type="dxa"/>
                  <w:vAlign w:val="center"/>
                </w:tcPr>
                <w:p w14:paraId="722FCDB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0.71</w:t>
                  </w:r>
                </w:p>
              </w:tc>
              <w:tc>
                <w:tcPr>
                  <w:tcW w:w="532" w:type="dxa"/>
                  <w:vAlign w:val="center"/>
                </w:tcPr>
                <w:p w14:paraId="32C26AC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42760AF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220FD46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0.02</w:t>
                  </w:r>
                </w:p>
              </w:tc>
              <w:tc>
                <w:tcPr>
                  <w:tcW w:w="530" w:type="dxa"/>
                  <w:vAlign w:val="center"/>
                </w:tcPr>
                <w:p w14:paraId="2D0815D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5ADE4BF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1.03</w:t>
                  </w:r>
                </w:p>
              </w:tc>
              <w:tc>
                <w:tcPr>
                  <w:tcW w:w="710" w:type="dxa"/>
                  <w:vAlign w:val="center"/>
                </w:tcPr>
                <w:p w14:paraId="199D53F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1.34</w:t>
                  </w:r>
                </w:p>
              </w:tc>
              <w:tc>
                <w:tcPr>
                  <w:tcW w:w="530" w:type="dxa"/>
                  <w:vAlign w:val="center"/>
                </w:tcPr>
                <w:p w14:paraId="6D070C0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32E3217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1" w:type="dxa"/>
                  <w:vAlign w:val="center"/>
                </w:tcPr>
                <w:p w14:paraId="0BFE299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7" w:type="dxa"/>
                  <w:vAlign w:val="center"/>
                </w:tcPr>
                <w:p w14:paraId="0566F5E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3.10</w:t>
                  </w:r>
                </w:p>
              </w:tc>
            </w:tr>
            <w:tr w14:paraId="30550F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00" w:type="dxa"/>
                  <w:vMerge w:val="continue"/>
                  <w:tcBorders>
                    <w:top w:val="nil"/>
                    <w:bottom w:val="nil"/>
                  </w:tcBorders>
                  <w:textDirection w:val="tbRlV"/>
                  <w:vAlign w:val="center"/>
                </w:tcPr>
                <w:p w14:paraId="3A5A04A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753" w:type="dxa"/>
                  <w:vMerge w:val="continue"/>
                  <w:tcBorders>
                    <w:top w:val="nil"/>
                    <w:bottom w:val="nil"/>
                  </w:tcBorders>
                  <w:vAlign w:val="center"/>
                </w:tcPr>
                <w:p w14:paraId="4C5BDD4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919" w:type="dxa"/>
                  <w:vAlign w:val="center"/>
                </w:tcPr>
                <w:p w14:paraId="29F4910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土料场排水沟</w:t>
                  </w:r>
                </w:p>
              </w:tc>
              <w:tc>
                <w:tcPr>
                  <w:tcW w:w="619" w:type="dxa"/>
                  <w:vAlign w:val="center"/>
                </w:tcPr>
                <w:p w14:paraId="1F01EC1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2" w:type="dxa"/>
                  <w:vAlign w:val="center"/>
                </w:tcPr>
                <w:p w14:paraId="55373EA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50C6707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5BBD16E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0" w:type="dxa"/>
                  <w:vAlign w:val="center"/>
                </w:tcPr>
                <w:p w14:paraId="71646C3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069B67E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0" w:type="dxa"/>
                  <w:vAlign w:val="center"/>
                </w:tcPr>
                <w:p w14:paraId="5C94BA1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0" w:type="dxa"/>
                  <w:vAlign w:val="center"/>
                </w:tcPr>
                <w:p w14:paraId="3C56F49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2997974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0.27</w:t>
                  </w:r>
                </w:p>
              </w:tc>
              <w:tc>
                <w:tcPr>
                  <w:tcW w:w="531" w:type="dxa"/>
                  <w:vAlign w:val="center"/>
                </w:tcPr>
                <w:p w14:paraId="1E219E5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7" w:type="dxa"/>
                  <w:vAlign w:val="center"/>
                </w:tcPr>
                <w:p w14:paraId="4837346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0.27</w:t>
                  </w:r>
                </w:p>
              </w:tc>
            </w:tr>
            <w:tr w14:paraId="70B9E8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00" w:type="dxa"/>
                  <w:vMerge w:val="continue"/>
                  <w:tcBorders>
                    <w:top w:val="nil"/>
                    <w:bottom w:val="nil"/>
                  </w:tcBorders>
                  <w:textDirection w:val="tbRlV"/>
                  <w:vAlign w:val="center"/>
                </w:tcPr>
                <w:p w14:paraId="4B8E29D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753" w:type="dxa"/>
                  <w:vMerge w:val="continue"/>
                  <w:tcBorders>
                    <w:top w:val="nil"/>
                  </w:tcBorders>
                  <w:vAlign w:val="center"/>
                </w:tcPr>
                <w:p w14:paraId="454F5D2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919" w:type="dxa"/>
                  <w:vAlign w:val="center"/>
                </w:tcPr>
                <w:p w14:paraId="109771E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小计</w:t>
                  </w:r>
                </w:p>
              </w:tc>
              <w:tc>
                <w:tcPr>
                  <w:tcW w:w="619" w:type="dxa"/>
                  <w:vAlign w:val="center"/>
                </w:tcPr>
                <w:p w14:paraId="5891D60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0.71</w:t>
                  </w:r>
                </w:p>
              </w:tc>
              <w:tc>
                <w:tcPr>
                  <w:tcW w:w="532" w:type="dxa"/>
                  <w:vAlign w:val="center"/>
                </w:tcPr>
                <w:p w14:paraId="1095104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08DA28B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5997CD2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0.02</w:t>
                  </w:r>
                </w:p>
              </w:tc>
              <w:tc>
                <w:tcPr>
                  <w:tcW w:w="530" w:type="dxa"/>
                  <w:vAlign w:val="center"/>
                </w:tcPr>
                <w:p w14:paraId="03EA363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624" w:type="dxa"/>
                  <w:vAlign w:val="center"/>
                </w:tcPr>
                <w:p w14:paraId="1D33DF1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1.03</w:t>
                  </w:r>
                </w:p>
              </w:tc>
              <w:tc>
                <w:tcPr>
                  <w:tcW w:w="710" w:type="dxa"/>
                  <w:vAlign w:val="center"/>
                </w:tcPr>
                <w:p w14:paraId="0B4CBFE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1.34</w:t>
                  </w:r>
                </w:p>
              </w:tc>
              <w:tc>
                <w:tcPr>
                  <w:tcW w:w="530" w:type="dxa"/>
                  <w:vAlign w:val="center"/>
                </w:tcPr>
                <w:p w14:paraId="6AC385F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534299B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0.27</w:t>
                  </w:r>
                </w:p>
              </w:tc>
              <w:tc>
                <w:tcPr>
                  <w:tcW w:w="531" w:type="dxa"/>
                  <w:vAlign w:val="center"/>
                </w:tcPr>
                <w:p w14:paraId="1EBF897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7" w:type="dxa"/>
                  <w:vAlign w:val="center"/>
                </w:tcPr>
                <w:p w14:paraId="6915D34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3.37</w:t>
                  </w:r>
                </w:p>
              </w:tc>
            </w:tr>
            <w:tr w14:paraId="30703D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trPr>
              <w:tc>
                <w:tcPr>
                  <w:tcW w:w="400" w:type="dxa"/>
                  <w:vMerge w:val="continue"/>
                  <w:tcBorders>
                    <w:top w:val="nil"/>
                    <w:bottom w:val="nil"/>
                  </w:tcBorders>
                  <w:textDirection w:val="tbRlV"/>
                  <w:vAlign w:val="center"/>
                </w:tcPr>
                <w:p w14:paraId="7A954F5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72" w:type="dxa"/>
                  <w:gridSpan w:val="2"/>
                  <w:vAlign w:val="center"/>
                </w:tcPr>
                <w:p w14:paraId="7DA59F0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围堰工程区</w:t>
                  </w:r>
                </w:p>
              </w:tc>
              <w:tc>
                <w:tcPr>
                  <w:tcW w:w="619" w:type="dxa"/>
                  <w:vAlign w:val="center"/>
                </w:tcPr>
                <w:p w14:paraId="0D67E42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0.02</w:t>
                  </w:r>
                </w:p>
              </w:tc>
              <w:tc>
                <w:tcPr>
                  <w:tcW w:w="532" w:type="dxa"/>
                  <w:vAlign w:val="center"/>
                </w:tcPr>
                <w:p w14:paraId="7D3D59C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4FEADA8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0E0C77A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0.13</w:t>
                  </w:r>
                </w:p>
              </w:tc>
              <w:tc>
                <w:tcPr>
                  <w:tcW w:w="530" w:type="dxa"/>
                  <w:vAlign w:val="center"/>
                </w:tcPr>
                <w:p w14:paraId="48031AE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0.01</w:t>
                  </w:r>
                </w:p>
              </w:tc>
              <w:tc>
                <w:tcPr>
                  <w:tcW w:w="624" w:type="dxa"/>
                  <w:vAlign w:val="center"/>
                </w:tcPr>
                <w:p w14:paraId="6E2BE2E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1.75</w:t>
                  </w:r>
                </w:p>
              </w:tc>
              <w:tc>
                <w:tcPr>
                  <w:tcW w:w="710" w:type="dxa"/>
                  <w:vAlign w:val="center"/>
                </w:tcPr>
                <w:p w14:paraId="2DDCA00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6.52</w:t>
                  </w:r>
                </w:p>
              </w:tc>
              <w:tc>
                <w:tcPr>
                  <w:tcW w:w="530" w:type="dxa"/>
                  <w:vAlign w:val="center"/>
                </w:tcPr>
                <w:p w14:paraId="0F2CC82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0.01</w:t>
                  </w:r>
                </w:p>
              </w:tc>
              <w:tc>
                <w:tcPr>
                  <w:tcW w:w="624" w:type="dxa"/>
                  <w:vAlign w:val="center"/>
                </w:tcPr>
                <w:p w14:paraId="6EAD26E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1" w:type="dxa"/>
                  <w:vAlign w:val="center"/>
                </w:tcPr>
                <w:p w14:paraId="5F51F10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7" w:type="dxa"/>
                  <w:vAlign w:val="center"/>
                </w:tcPr>
                <w:p w14:paraId="11E87BB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8.44</w:t>
                  </w:r>
                </w:p>
              </w:tc>
            </w:tr>
            <w:tr w14:paraId="1483D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trPr>
              <w:tc>
                <w:tcPr>
                  <w:tcW w:w="400" w:type="dxa"/>
                  <w:vMerge w:val="continue"/>
                  <w:tcBorders>
                    <w:top w:val="nil"/>
                    <w:bottom w:val="nil"/>
                  </w:tcBorders>
                  <w:textDirection w:val="tbRlV"/>
                  <w:vAlign w:val="center"/>
                </w:tcPr>
                <w:p w14:paraId="6AD2DCC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72" w:type="dxa"/>
                  <w:gridSpan w:val="2"/>
                  <w:vAlign w:val="center"/>
                </w:tcPr>
                <w:p w14:paraId="3679DC8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取（弃）土场区</w:t>
                  </w:r>
                </w:p>
              </w:tc>
              <w:tc>
                <w:tcPr>
                  <w:tcW w:w="619" w:type="dxa"/>
                  <w:vAlign w:val="center"/>
                </w:tcPr>
                <w:p w14:paraId="347B7AFE">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2" w:type="dxa"/>
                  <w:vAlign w:val="center"/>
                </w:tcPr>
                <w:p w14:paraId="07FBDE54">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267F01AD">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3C71967D">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0" w:type="dxa"/>
                  <w:vAlign w:val="center"/>
                </w:tcPr>
                <w:p w14:paraId="11A9F59B">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04AE6D5A">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0" w:type="dxa"/>
                  <w:vAlign w:val="center"/>
                </w:tcPr>
                <w:p w14:paraId="6EBF6035">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0" w:type="dxa"/>
                  <w:vAlign w:val="center"/>
                </w:tcPr>
                <w:p w14:paraId="293A401C">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68D5CFE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3.06</w:t>
                  </w:r>
                </w:p>
              </w:tc>
              <w:tc>
                <w:tcPr>
                  <w:tcW w:w="531" w:type="dxa"/>
                  <w:vAlign w:val="center"/>
                </w:tcPr>
                <w:p w14:paraId="2A788A7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7" w:type="dxa"/>
                  <w:vAlign w:val="center"/>
                </w:tcPr>
                <w:p w14:paraId="402B408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3.06</w:t>
                  </w:r>
                </w:p>
              </w:tc>
            </w:tr>
            <w:tr w14:paraId="208CE1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00" w:type="dxa"/>
                  <w:vMerge w:val="continue"/>
                  <w:tcBorders>
                    <w:top w:val="nil"/>
                    <w:bottom w:val="nil"/>
                  </w:tcBorders>
                  <w:textDirection w:val="tbRlV"/>
                  <w:vAlign w:val="center"/>
                </w:tcPr>
                <w:p w14:paraId="1B2C214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72" w:type="dxa"/>
                  <w:gridSpan w:val="2"/>
                  <w:vAlign w:val="center"/>
                </w:tcPr>
                <w:p w14:paraId="4FC406C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原料堆放场</w:t>
                  </w:r>
                </w:p>
              </w:tc>
              <w:tc>
                <w:tcPr>
                  <w:tcW w:w="619" w:type="dxa"/>
                  <w:vAlign w:val="center"/>
                </w:tcPr>
                <w:p w14:paraId="4EFD256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0.59</w:t>
                  </w:r>
                </w:p>
              </w:tc>
              <w:tc>
                <w:tcPr>
                  <w:tcW w:w="532" w:type="dxa"/>
                  <w:vAlign w:val="center"/>
                </w:tcPr>
                <w:p w14:paraId="235E320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2D18B20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1E8B1F4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0.01</w:t>
                  </w:r>
                </w:p>
              </w:tc>
              <w:tc>
                <w:tcPr>
                  <w:tcW w:w="530" w:type="dxa"/>
                  <w:vAlign w:val="center"/>
                </w:tcPr>
                <w:p w14:paraId="1BE7C1C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624" w:type="dxa"/>
                  <w:vAlign w:val="center"/>
                </w:tcPr>
                <w:p w14:paraId="6081900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0.95</w:t>
                  </w:r>
                </w:p>
              </w:tc>
              <w:tc>
                <w:tcPr>
                  <w:tcW w:w="710" w:type="dxa"/>
                  <w:vAlign w:val="center"/>
                </w:tcPr>
                <w:p w14:paraId="28F1BC6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1.54</w:t>
                  </w:r>
                </w:p>
              </w:tc>
              <w:tc>
                <w:tcPr>
                  <w:tcW w:w="530" w:type="dxa"/>
                  <w:vAlign w:val="center"/>
                </w:tcPr>
                <w:p w14:paraId="422FA9B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0B80E41B">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1" w:type="dxa"/>
                  <w:vAlign w:val="center"/>
                </w:tcPr>
                <w:p w14:paraId="6B1E56C1">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7" w:type="dxa"/>
                  <w:vAlign w:val="center"/>
                </w:tcPr>
                <w:p w14:paraId="4DCC792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3.09</w:t>
                  </w:r>
                </w:p>
              </w:tc>
            </w:tr>
            <w:tr w14:paraId="1B099E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trPr>
              <w:tc>
                <w:tcPr>
                  <w:tcW w:w="400" w:type="dxa"/>
                  <w:vMerge w:val="continue"/>
                  <w:tcBorders>
                    <w:top w:val="nil"/>
                    <w:bottom w:val="nil"/>
                  </w:tcBorders>
                  <w:textDirection w:val="tbRlV"/>
                  <w:vAlign w:val="center"/>
                </w:tcPr>
                <w:p w14:paraId="195A53C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72" w:type="dxa"/>
                  <w:gridSpan w:val="2"/>
                  <w:vAlign w:val="center"/>
                </w:tcPr>
                <w:p w14:paraId="30AB5DD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临时道路</w:t>
                  </w:r>
                </w:p>
              </w:tc>
              <w:tc>
                <w:tcPr>
                  <w:tcW w:w="619" w:type="dxa"/>
                  <w:vAlign w:val="center"/>
                </w:tcPr>
                <w:p w14:paraId="0A701B2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2.6</w:t>
                  </w:r>
                  <w:r>
                    <w:rPr>
                      <w:rFonts w:hint="eastAsia" w:hAnsi="Times New Roman" w:cs="Times New Roman"/>
                      <w:color w:val="000000" w:themeColor="text1"/>
                      <w:lang w:val="en-US" w:eastAsia="zh-CN"/>
                      <w14:textFill>
                        <w14:solidFill>
                          <w14:schemeClr w14:val="tx1"/>
                        </w14:solidFill>
                      </w14:textFill>
                    </w:rPr>
                    <w:t>9</w:t>
                  </w:r>
                </w:p>
              </w:tc>
              <w:tc>
                <w:tcPr>
                  <w:tcW w:w="532" w:type="dxa"/>
                  <w:vAlign w:val="center"/>
                </w:tcPr>
                <w:p w14:paraId="04B700E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65D906D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0.001</w:t>
                  </w:r>
                </w:p>
              </w:tc>
              <w:tc>
                <w:tcPr>
                  <w:tcW w:w="576" w:type="dxa"/>
                  <w:vAlign w:val="center"/>
                </w:tcPr>
                <w:p w14:paraId="53A6FD5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0.14</w:t>
                  </w:r>
                </w:p>
              </w:tc>
              <w:tc>
                <w:tcPr>
                  <w:tcW w:w="530" w:type="dxa"/>
                  <w:vAlign w:val="center"/>
                </w:tcPr>
                <w:p w14:paraId="5BF64ED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0.01</w:t>
                  </w:r>
                </w:p>
              </w:tc>
              <w:tc>
                <w:tcPr>
                  <w:tcW w:w="624" w:type="dxa"/>
                  <w:vAlign w:val="center"/>
                </w:tcPr>
                <w:p w14:paraId="76B86AD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0.91</w:t>
                  </w:r>
                </w:p>
              </w:tc>
              <w:tc>
                <w:tcPr>
                  <w:tcW w:w="710" w:type="dxa"/>
                  <w:vAlign w:val="center"/>
                </w:tcPr>
                <w:p w14:paraId="2A81F67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0.10</w:t>
                  </w:r>
                </w:p>
              </w:tc>
              <w:tc>
                <w:tcPr>
                  <w:tcW w:w="530" w:type="dxa"/>
                  <w:vAlign w:val="center"/>
                </w:tcPr>
                <w:p w14:paraId="2675913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0.50</w:t>
                  </w:r>
                </w:p>
              </w:tc>
              <w:tc>
                <w:tcPr>
                  <w:tcW w:w="624" w:type="dxa"/>
                  <w:vAlign w:val="center"/>
                </w:tcPr>
                <w:p w14:paraId="2C491D8E">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1" w:type="dxa"/>
                  <w:vAlign w:val="center"/>
                </w:tcPr>
                <w:p w14:paraId="0232CC24">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7" w:type="dxa"/>
                  <w:vAlign w:val="center"/>
                </w:tcPr>
                <w:p w14:paraId="5683D8C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4.3</w:t>
                  </w:r>
                  <w:r>
                    <w:rPr>
                      <w:rFonts w:hint="eastAsia" w:hAnsi="Times New Roman" w:cs="Times New Roman"/>
                      <w:color w:val="000000" w:themeColor="text1"/>
                      <w:lang w:val="en-US" w:eastAsia="zh-CN"/>
                      <w14:textFill>
                        <w14:solidFill>
                          <w14:schemeClr w14:val="tx1"/>
                        </w14:solidFill>
                      </w14:textFill>
                    </w:rPr>
                    <w:t>51</w:t>
                  </w:r>
                </w:p>
              </w:tc>
            </w:tr>
            <w:tr w14:paraId="3CFAE8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trPr>
              <w:tc>
                <w:tcPr>
                  <w:tcW w:w="400" w:type="dxa"/>
                  <w:vMerge w:val="continue"/>
                  <w:tcBorders>
                    <w:top w:val="nil"/>
                    <w:bottom w:val="nil"/>
                  </w:tcBorders>
                  <w:textDirection w:val="tbRlV"/>
                  <w:vAlign w:val="center"/>
                </w:tcPr>
                <w:p w14:paraId="61C1F48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72" w:type="dxa"/>
                  <w:gridSpan w:val="2"/>
                  <w:vAlign w:val="center"/>
                </w:tcPr>
                <w:p w14:paraId="282A1C2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施工生产生活区</w:t>
                  </w:r>
                </w:p>
              </w:tc>
              <w:tc>
                <w:tcPr>
                  <w:tcW w:w="619" w:type="dxa"/>
                  <w:vAlign w:val="center"/>
                </w:tcPr>
                <w:p w14:paraId="7891884F">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2" w:type="dxa"/>
                  <w:vAlign w:val="center"/>
                </w:tcPr>
                <w:p w14:paraId="7E534897">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4C36439D">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46D8D49C">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0" w:type="dxa"/>
                  <w:vAlign w:val="center"/>
                </w:tcPr>
                <w:p w14:paraId="1757DE0B">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0734ACD9">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710" w:type="dxa"/>
                  <w:vAlign w:val="center"/>
                </w:tcPr>
                <w:p w14:paraId="4082B9AC">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0" w:type="dxa"/>
                  <w:vAlign w:val="center"/>
                </w:tcPr>
                <w:p w14:paraId="11129CD9">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624" w:type="dxa"/>
                  <w:vAlign w:val="center"/>
                </w:tcPr>
                <w:p w14:paraId="60EF5906">
                  <w:pPr>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31" w:type="dxa"/>
                  <w:vAlign w:val="center"/>
                </w:tcPr>
                <w:p w14:paraId="39C008F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0.15</w:t>
                  </w:r>
                </w:p>
              </w:tc>
              <w:tc>
                <w:tcPr>
                  <w:tcW w:w="717" w:type="dxa"/>
                  <w:vAlign w:val="center"/>
                </w:tcPr>
                <w:p w14:paraId="549FC9B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0.15</w:t>
                  </w:r>
                </w:p>
              </w:tc>
            </w:tr>
            <w:tr w14:paraId="61CF2F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2" w:hRule="atLeast"/>
              </w:trPr>
              <w:tc>
                <w:tcPr>
                  <w:tcW w:w="400" w:type="dxa"/>
                  <w:vMerge w:val="continue"/>
                  <w:tcBorders>
                    <w:top w:val="nil"/>
                  </w:tcBorders>
                  <w:textDirection w:val="tbRlV"/>
                  <w:vAlign w:val="center"/>
                </w:tcPr>
                <w:p w14:paraId="762AA75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72" w:type="dxa"/>
                  <w:gridSpan w:val="2"/>
                  <w:vAlign w:val="center"/>
                </w:tcPr>
                <w:p w14:paraId="45937E2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小计</w:t>
                  </w:r>
                </w:p>
              </w:tc>
              <w:tc>
                <w:tcPr>
                  <w:tcW w:w="619" w:type="dxa"/>
                  <w:vAlign w:val="center"/>
                </w:tcPr>
                <w:p w14:paraId="6359B28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4.01</w:t>
                  </w:r>
                </w:p>
              </w:tc>
              <w:tc>
                <w:tcPr>
                  <w:tcW w:w="532" w:type="dxa"/>
                  <w:vAlign w:val="center"/>
                </w:tcPr>
                <w:p w14:paraId="2A7E3D5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576" w:type="dxa"/>
                  <w:vAlign w:val="center"/>
                </w:tcPr>
                <w:p w14:paraId="2C3AC5B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0.001</w:t>
                  </w:r>
                </w:p>
              </w:tc>
              <w:tc>
                <w:tcPr>
                  <w:tcW w:w="576" w:type="dxa"/>
                  <w:vAlign w:val="center"/>
                </w:tcPr>
                <w:p w14:paraId="5526BA9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0.3</w:t>
                  </w:r>
                </w:p>
              </w:tc>
              <w:tc>
                <w:tcPr>
                  <w:tcW w:w="530" w:type="dxa"/>
                  <w:vAlign w:val="center"/>
                </w:tcPr>
                <w:p w14:paraId="1B23392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0.02</w:t>
                  </w:r>
                </w:p>
              </w:tc>
              <w:tc>
                <w:tcPr>
                  <w:tcW w:w="624" w:type="dxa"/>
                  <w:vAlign w:val="center"/>
                </w:tcPr>
                <w:p w14:paraId="53B54BF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4.64</w:t>
                  </w:r>
                </w:p>
              </w:tc>
              <w:tc>
                <w:tcPr>
                  <w:tcW w:w="710" w:type="dxa"/>
                  <w:vAlign w:val="center"/>
                </w:tcPr>
                <w:p w14:paraId="63E5DEA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9.5</w:t>
                  </w:r>
                </w:p>
              </w:tc>
              <w:tc>
                <w:tcPr>
                  <w:tcW w:w="530" w:type="dxa"/>
                  <w:vAlign w:val="center"/>
                </w:tcPr>
                <w:p w14:paraId="2F09A6A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0.51</w:t>
                  </w:r>
                </w:p>
              </w:tc>
              <w:tc>
                <w:tcPr>
                  <w:tcW w:w="624" w:type="dxa"/>
                  <w:vAlign w:val="center"/>
                </w:tcPr>
                <w:p w14:paraId="2D27C5E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3.33</w:t>
                  </w:r>
                </w:p>
              </w:tc>
              <w:tc>
                <w:tcPr>
                  <w:tcW w:w="531" w:type="dxa"/>
                  <w:vAlign w:val="center"/>
                </w:tcPr>
                <w:p w14:paraId="5E251E0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0.15</w:t>
                  </w:r>
                </w:p>
              </w:tc>
              <w:tc>
                <w:tcPr>
                  <w:tcW w:w="717" w:type="dxa"/>
                  <w:vAlign w:val="center"/>
                </w:tcPr>
                <w:p w14:paraId="7B40391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22.461</w:t>
                  </w:r>
                </w:p>
              </w:tc>
            </w:tr>
          </w:tbl>
          <w:p w14:paraId="6FCAF475">
            <w:pPr>
              <w:widowControl w:val="0"/>
              <w:numPr>
                <w:ilvl w:val="0"/>
                <w:numId w:val="0"/>
              </w:numPr>
              <w:jc w:val="both"/>
              <w:rPr>
                <w:rFonts w:hint="default" w:ascii="Times New Roman" w:hAnsi="Times New Roman" w:eastAsia="宋体" w:cs="Times New Roman"/>
                <w:b w:val="0"/>
                <w:bCs w:val="0"/>
                <w:color w:val="000000" w:themeColor="text1"/>
                <w:lang w:val="en-US" w:eastAsia="zh-CN"/>
                <w14:textFill>
                  <w14:solidFill>
                    <w14:schemeClr w14:val="tx1"/>
                  </w14:solidFill>
                </w14:textFill>
              </w:rPr>
            </w:pPr>
          </w:p>
          <w:p w14:paraId="245475B4">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sz w:val="24"/>
                <w:szCs w:val="24"/>
                <w:shd w:val="clear" w:fill="FFFFFF"/>
                <w14:textFill>
                  <w14:solidFill>
                    <w14:schemeClr w14:val="tx1"/>
                  </w14:solidFill>
                </w14:textFill>
              </w:rPr>
              <w:t>本工程征地补偿总费用为1035.40万元，其中农村部分征地补偿费602.72万元，主要涉及永久占地（含耕地、草地）和临时占地（含耕地、</w:t>
            </w:r>
            <w:r>
              <w:rPr>
                <w:rFonts w:hint="default" w:ascii="Times New Roman" w:hAnsi="Times New Roman" w:eastAsia="宋体" w:cs="Times New Roman"/>
                <w:b w:val="0"/>
                <w:bCs w:val="0"/>
                <w:i w:val="0"/>
                <w:iCs w:val="0"/>
                <w:caps w:val="0"/>
                <w:color w:val="000000" w:themeColor="text1"/>
                <w:spacing w:val="0"/>
                <w:sz w:val="24"/>
                <w:szCs w:val="24"/>
                <w:shd w:val="clear" w:fill="FFFFFF"/>
                <w:lang w:val="en-US" w:eastAsia="zh-CN"/>
                <w14:textFill>
                  <w14:solidFill>
                    <w14:schemeClr w14:val="tx1"/>
                  </w14:solidFill>
                </w14:textFill>
              </w:rPr>
              <w:t>林地、</w:t>
            </w:r>
            <w:r>
              <w:rPr>
                <w:rFonts w:hint="default" w:ascii="Times New Roman" w:hAnsi="Times New Roman" w:eastAsia="宋体" w:cs="Times New Roman"/>
                <w:b w:val="0"/>
                <w:bCs w:val="0"/>
                <w:i w:val="0"/>
                <w:iCs w:val="0"/>
                <w:caps w:val="0"/>
                <w:color w:val="000000" w:themeColor="text1"/>
                <w:spacing w:val="0"/>
                <w:sz w:val="24"/>
                <w:szCs w:val="24"/>
                <w:shd w:val="clear" w:fill="FFFFFF"/>
                <w14:textFill>
                  <w14:solidFill>
                    <w14:schemeClr w14:val="tx1"/>
                  </w14:solidFill>
                </w14:textFill>
              </w:rPr>
              <w:t>草地），并按莎车县和麦盖提县的区片综合地价及调节系数进行补偿；林地专项补偿194.81万元（含林地补偿费、安置补助费、林木补偿费及森林植被恢复费），草原专项补偿12.08万元（其中莎车县10.81万元、麦盖提县1.27万元），另需缴纳耕地开垦费62.47万元等税费。本工程不涉及生产安置人口和搬迁安置人口，无需移民搬迁。</w:t>
            </w:r>
          </w:p>
          <w:p w14:paraId="6896E75F">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7施工设备</w:t>
            </w:r>
          </w:p>
          <w:p w14:paraId="00404A29">
            <w:pPr>
              <w:ind w:firstLine="310" w:firstLineChars="147"/>
              <w:jc w:val="center"/>
              <w:rPr>
                <w:rFonts w:hint="default" w:ascii="Times New Roman" w:hAnsi="Times New Roman" w:eastAsia="宋体" w:cs="Times New Roman"/>
                <w:b/>
                <w:color w:val="000000" w:themeColor="text1"/>
                <w:szCs w:val="21"/>
                <w:lang w:bidi="ar"/>
                <w14:textFill>
                  <w14:solidFill>
                    <w14:schemeClr w14:val="tx1"/>
                  </w14:solidFill>
                </w14:textFill>
              </w:rPr>
            </w:pPr>
            <w:r>
              <w:rPr>
                <w:rFonts w:hint="default" w:ascii="Times New Roman" w:hAnsi="Times New Roman" w:eastAsia="宋体" w:cs="Times New Roman"/>
                <w:b/>
                <w:color w:val="000000" w:themeColor="text1"/>
                <w:szCs w:val="21"/>
                <w:lang w:bidi="ar"/>
                <w14:textFill>
                  <w14:solidFill>
                    <w14:schemeClr w14:val="tx1"/>
                  </w14:solidFill>
                </w14:textFill>
              </w:rPr>
              <w:t>表2-</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5施工设备</w:t>
            </w:r>
            <w:r>
              <w:rPr>
                <w:rFonts w:hint="default" w:ascii="Times New Roman" w:hAnsi="Times New Roman" w:eastAsia="宋体" w:cs="Times New Roman"/>
                <w:b/>
                <w:color w:val="000000" w:themeColor="text1"/>
                <w:szCs w:val="21"/>
                <w:lang w:bidi="ar"/>
                <w14:textFill>
                  <w14:solidFill>
                    <w14:schemeClr w14:val="tx1"/>
                  </w14:solidFill>
                </w14:textFill>
              </w:rPr>
              <w:t>一览表</w:t>
            </w:r>
          </w:p>
          <w:tbl>
            <w:tblPr>
              <w:tblStyle w:val="100"/>
              <w:tblW w:w="8129" w:type="dxa"/>
              <w:tblInd w:w="23"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0" w:type="dxa"/>
                <w:bottom w:w="0" w:type="dxa"/>
                <w:right w:w="0" w:type="dxa"/>
              </w:tblCellMar>
            </w:tblPr>
            <w:tblGrid>
              <w:gridCol w:w="3337"/>
              <w:gridCol w:w="2550"/>
              <w:gridCol w:w="1115"/>
              <w:gridCol w:w="1127"/>
            </w:tblGrid>
            <w:tr w14:paraId="4DE529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337" w:type="dxa"/>
                  <w:vAlign w:val="top"/>
                </w:tcPr>
                <w:p w14:paraId="137D2E3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设备名称</w:t>
                  </w:r>
                </w:p>
              </w:tc>
              <w:tc>
                <w:tcPr>
                  <w:tcW w:w="2550" w:type="dxa"/>
                  <w:vAlign w:val="top"/>
                </w:tcPr>
                <w:p w14:paraId="5B0CFF8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规格及符号</w:t>
                  </w:r>
                </w:p>
              </w:tc>
              <w:tc>
                <w:tcPr>
                  <w:tcW w:w="1115" w:type="dxa"/>
                  <w:vAlign w:val="top"/>
                </w:tcPr>
                <w:p w14:paraId="34843CD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单位</w:t>
                  </w:r>
                </w:p>
              </w:tc>
              <w:tc>
                <w:tcPr>
                  <w:tcW w:w="1127" w:type="dxa"/>
                  <w:vAlign w:val="top"/>
                </w:tcPr>
                <w:p w14:paraId="1450A21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数量</w:t>
                  </w:r>
                </w:p>
              </w:tc>
            </w:tr>
            <w:tr w14:paraId="365F0C6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9" w:hRule="atLeast"/>
              </w:trPr>
              <w:tc>
                <w:tcPr>
                  <w:tcW w:w="3337" w:type="dxa"/>
                  <w:vAlign w:val="top"/>
                </w:tcPr>
                <w:p w14:paraId="7E67767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挖掘机（履带式）</w:t>
                  </w:r>
                </w:p>
              </w:tc>
              <w:tc>
                <w:tcPr>
                  <w:tcW w:w="2550" w:type="dxa"/>
                  <w:vAlign w:val="top"/>
                </w:tcPr>
                <w:p w14:paraId="6AE80CC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1m³、2.75m³</w:t>
                  </w:r>
                </w:p>
              </w:tc>
              <w:tc>
                <w:tcPr>
                  <w:tcW w:w="1115" w:type="dxa"/>
                  <w:vAlign w:val="top"/>
                </w:tcPr>
                <w:p w14:paraId="6A480DE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台</w:t>
                  </w:r>
                </w:p>
              </w:tc>
              <w:tc>
                <w:tcPr>
                  <w:tcW w:w="1127" w:type="dxa"/>
                  <w:vAlign w:val="top"/>
                </w:tcPr>
                <w:p w14:paraId="28FCE7C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w:t>
                  </w:r>
                </w:p>
              </w:tc>
            </w:tr>
            <w:tr w14:paraId="4E96BF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9" w:hRule="atLeast"/>
              </w:trPr>
              <w:tc>
                <w:tcPr>
                  <w:tcW w:w="3337" w:type="dxa"/>
                  <w:vAlign w:val="top"/>
                </w:tcPr>
                <w:p w14:paraId="1E26761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装载机</w:t>
                  </w:r>
                </w:p>
              </w:tc>
              <w:tc>
                <w:tcPr>
                  <w:tcW w:w="2550" w:type="dxa"/>
                  <w:vAlign w:val="top"/>
                </w:tcPr>
                <w:p w14:paraId="7A8865A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2m³</w:t>
                  </w:r>
                </w:p>
              </w:tc>
              <w:tc>
                <w:tcPr>
                  <w:tcW w:w="1115" w:type="dxa"/>
                  <w:vAlign w:val="top"/>
                </w:tcPr>
                <w:p w14:paraId="4C6A927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台</w:t>
                  </w:r>
                </w:p>
              </w:tc>
              <w:tc>
                <w:tcPr>
                  <w:tcW w:w="1127" w:type="dxa"/>
                  <w:vAlign w:val="top"/>
                </w:tcPr>
                <w:p w14:paraId="05999F0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w:t>
                  </w:r>
                </w:p>
              </w:tc>
            </w:tr>
            <w:tr w14:paraId="7D7780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8" w:hRule="atLeast"/>
              </w:trPr>
              <w:tc>
                <w:tcPr>
                  <w:tcW w:w="3337" w:type="dxa"/>
                  <w:vAlign w:val="top"/>
                </w:tcPr>
                <w:p w14:paraId="69DE431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推土机</w:t>
                  </w:r>
                </w:p>
              </w:tc>
              <w:tc>
                <w:tcPr>
                  <w:tcW w:w="2550" w:type="dxa"/>
                  <w:vAlign w:val="top"/>
                </w:tcPr>
                <w:p w14:paraId="3C0B5B1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59kW、74kW</w:t>
                  </w:r>
                </w:p>
              </w:tc>
              <w:tc>
                <w:tcPr>
                  <w:tcW w:w="1115" w:type="dxa"/>
                  <w:vAlign w:val="top"/>
                </w:tcPr>
                <w:p w14:paraId="1EE673E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辆</w:t>
                  </w:r>
                </w:p>
              </w:tc>
              <w:tc>
                <w:tcPr>
                  <w:tcW w:w="1127" w:type="dxa"/>
                  <w:vAlign w:val="top"/>
                </w:tcPr>
                <w:p w14:paraId="04C554B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w:t>
                  </w:r>
                </w:p>
              </w:tc>
            </w:tr>
            <w:tr w14:paraId="55BE1B3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9" w:hRule="atLeast"/>
              </w:trPr>
              <w:tc>
                <w:tcPr>
                  <w:tcW w:w="3337" w:type="dxa"/>
                  <w:vAlign w:val="top"/>
                </w:tcPr>
                <w:p w14:paraId="67C6B45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拖拉机</w:t>
                  </w:r>
                </w:p>
              </w:tc>
              <w:tc>
                <w:tcPr>
                  <w:tcW w:w="2550" w:type="dxa"/>
                  <w:vAlign w:val="top"/>
                </w:tcPr>
                <w:p w14:paraId="2A7D060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74kW</w:t>
                  </w:r>
                </w:p>
              </w:tc>
              <w:tc>
                <w:tcPr>
                  <w:tcW w:w="1115" w:type="dxa"/>
                  <w:vAlign w:val="top"/>
                </w:tcPr>
                <w:p w14:paraId="43D2E7A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辆</w:t>
                  </w:r>
                </w:p>
              </w:tc>
              <w:tc>
                <w:tcPr>
                  <w:tcW w:w="1127" w:type="dxa"/>
                  <w:vAlign w:val="top"/>
                </w:tcPr>
                <w:p w14:paraId="11FDD55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w:t>
                  </w:r>
                </w:p>
              </w:tc>
            </w:tr>
            <w:tr w14:paraId="09528ED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9" w:hRule="atLeast"/>
              </w:trPr>
              <w:tc>
                <w:tcPr>
                  <w:tcW w:w="3337" w:type="dxa"/>
                  <w:vAlign w:val="top"/>
                </w:tcPr>
                <w:p w14:paraId="066A4D5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自卸汽车</w:t>
                  </w:r>
                </w:p>
              </w:tc>
              <w:tc>
                <w:tcPr>
                  <w:tcW w:w="2550" w:type="dxa"/>
                  <w:vAlign w:val="top"/>
                </w:tcPr>
                <w:p w14:paraId="0BD1F8D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8t</w:t>
                  </w:r>
                </w:p>
              </w:tc>
              <w:tc>
                <w:tcPr>
                  <w:tcW w:w="1115" w:type="dxa"/>
                  <w:vAlign w:val="top"/>
                </w:tcPr>
                <w:p w14:paraId="47727F2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辆</w:t>
                  </w:r>
                </w:p>
              </w:tc>
              <w:tc>
                <w:tcPr>
                  <w:tcW w:w="1127" w:type="dxa"/>
                  <w:vAlign w:val="top"/>
                </w:tcPr>
                <w:p w14:paraId="0492068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40</w:t>
                  </w:r>
                </w:p>
              </w:tc>
            </w:tr>
            <w:tr w14:paraId="2C131A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9" w:hRule="atLeast"/>
              </w:trPr>
              <w:tc>
                <w:tcPr>
                  <w:tcW w:w="3337" w:type="dxa"/>
                  <w:vAlign w:val="top"/>
                </w:tcPr>
                <w:p w14:paraId="4E1C8B3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振动碾</w:t>
                  </w:r>
                </w:p>
              </w:tc>
              <w:tc>
                <w:tcPr>
                  <w:tcW w:w="2550" w:type="dxa"/>
                  <w:vAlign w:val="top"/>
                </w:tcPr>
                <w:p w14:paraId="745E30E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13.5t</w:t>
                  </w:r>
                </w:p>
              </w:tc>
              <w:tc>
                <w:tcPr>
                  <w:tcW w:w="1115" w:type="dxa"/>
                  <w:vAlign w:val="top"/>
                </w:tcPr>
                <w:p w14:paraId="6A78946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台</w:t>
                  </w:r>
                </w:p>
              </w:tc>
              <w:tc>
                <w:tcPr>
                  <w:tcW w:w="1127" w:type="dxa"/>
                  <w:vAlign w:val="top"/>
                </w:tcPr>
                <w:p w14:paraId="27451D0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w:t>
                  </w:r>
                </w:p>
              </w:tc>
            </w:tr>
            <w:tr w14:paraId="379763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9" w:hRule="atLeast"/>
              </w:trPr>
              <w:tc>
                <w:tcPr>
                  <w:tcW w:w="3337" w:type="dxa"/>
                  <w:vAlign w:val="top"/>
                </w:tcPr>
                <w:p w14:paraId="5A9A680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蛙式打夯机</w:t>
                  </w:r>
                </w:p>
              </w:tc>
              <w:tc>
                <w:tcPr>
                  <w:tcW w:w="2550" w:type="dxa"/>
                  <w:vAlign w:val="top"/>
                </w:tcPr>
                <w:p w14:paraId="2570636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2.8kW</w:t>
                  </w:r>
                </w:p>
              </w:tc>
              <w:tc>
                <w:tcPr>
                  <w:tcW w:w="1115" w:type="dxa"/>
                  <w:vAlign w:val="top"/>
                </w:tcPr>
                <w:p w14:paraId="058AD34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辆</w:t>
                  </w:r>
                </w:p>
              </w:tc>
              <w:tc>
                <w:tcPr>
                  <w:tcW w:w="1127" w:type="dxa"/>
                  <w:vAlign w:val="top"/>
                </w:tcPr>
                <w:p w14:paraId="4919D2E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w:t>
                  </w:r>
                </w:p>
              </w:tc>
            </w:tr>
            <w:tr w14:paraId="2D9FF9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8" w:hRule="atLeast"/>
              </w:trPr>
              <w:tc>
                <w:tcPr>
                  <w:tcW w:w="3337" w:type="dxa"/>
                  <w:vAlign w:val="top"/>
                </w:tcPr>
                <w:p w14:paraId="722AB2F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胶轮车</w:t>
                  </w:r>
                </w:p>
              </w:tc>
              <w:tc>
                <w:tcPr>
                  <w:tcW w:w="2550" w:type="dxa"/>
                  <w:vAlign w:val="top"/>
                </w:tcPr>
                <w:p w14:paraId="22FA0B7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15" w:type="dxa"/>
                  <w:vAlign w:val="top"/>
                </w:tcPr>
                <w:p w14:paraId="7CE8387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台</w:t>
                  </w:r>
                </w:p>
              </w:tc>
              <w:tc>
                <w:tcPr>
                  <w:tcW w:w="1127" w:type="dxa"/>
                  <w:vAlign w:val="top"/>
                </w:tcPr>
                <w:p w14:paraId="338EABD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w:t>
                  </w:r>
                </w:p>
              </w:tc>
            </w:tr>
            <w:tr w14:paraId="1383B87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1" w:hRule="atLeast"/>
              </w:trPr>
              <w:tc>
                <w:tcPr>
                  <w:tcW w:w="3337" w:type="dxa"/>
                  <w:vAlign w:val="top"/>
                </w:tcPr>
                <w:p w14:paraId="74AC518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汽车起重机</w:t>
                  </w:r>
                </w:p>
              </w:tc>
              <w:tc>
                <w:tcPr>
                  <w:tcW w:w="2550" w:type="dxa"/>
                  <w:vAlign w:val="top"/>
                </w:tcPr>
                <w:p w14:paraId="26F449E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10t</w:t>
                  </w:r>
                </w:p>
              </w:tc>
              <w:tc>
                <w:tcPr>
                  <w:tcW w:w="1115" w:type="dxa"/>
                  <w:vAlign w:val="top"/>
                </w:tcPr>
                <w:p w14:paraId="07E7164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辆</w:t>
                  </w:r>
                </w:p>
              </w:tc>
              <w:tc>
                <w:tcPr>
                  <w:tcW w:w="1127" w:type="dxa"/>
                  <w:vAlign w:val="top"/>
                </w:tcPr>
                <w:p w14:paraId="1CFB1AA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p>
              </w:tc>
            </w:tr>
            <w:tr w14:paraId="47ADAF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9" w:hRule="atLeast"/>
              </w:trPr>
              <w:tc>
                <w:tcPr>
                  <w:tcW w:w="3337" w:type="dxa"/>
                  <w:vAlign w:val="top"/>
                </w:tcPr>
                <w:p w14:paraId="2DE2556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载重汽车</w:t>
                  </w:r>
                </w:p>
              </w:tc>
              <w:tc>
                <w:tcPr>
                  <w:tcW w:w="2550" w:type="dxa"/>
                  <w:vAlign w:val="top"/>
                </w:tcPr>
                <w:p w14:paraId="7036F1C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10t、15t</w:t>
                  </w:r>
                </w:p>
              </w:tc>
              <w:tc>
                <w:tcPr>
                  <w:tcW w:w="1115" w:type="dxa"/>
                  <w:vAlign w:val="top"/>
                </w:tcPr>
                <w:p w14:paraId="2DA80F8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台</w:t>
                  </w:r>
                </w:p>
              </w:tc>
              <w:tc>
                <w:tcPr>
                  <w:tcW w:w="1127" w:type="dxa"/>
                  <w:vAlign w:val="top"/>
                </w:tcPr>
                <w:p w14:paraId="5D5E114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45</w:t>
                  </w:r>
                </w:p>
              </w:tc>
            </w:tr>
            <w:tr w14:paraId="069AE21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8" w:hRule="atLeast"/>
              </w:trPr>
              <w:tc>
                <w:tcPr>
                  <w:tcW w:w="3337" w:type="dxa"/>
                  <w:vAlign w:val="top"/>
                </w:tcPr>
                <w:p w14:paraId="7D85E15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泥浆搅拌机</w:t>
                  </w:r>
                </w:p>
              </w:tc>
              <w:tc>
                <w:tcPr>
                  <w:tcW w:w="2550" w:type="dxa"/>
                  <w:vAlign w:val="top"/>
                </w:tcPr>
                <w:p w14:paraId="23B4ADA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15" w:type="dxa"/>
                  <w:vAlign w:val="top"/>
                </w:tcPr>
                <w:p w14:paraId="6148654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台</w:t>
                  </w:r>
                </w:p>
              </w:tc>
              <w:tc>
                <w:tcPr>
                  <w:tcW w:w="1127" w:type="dxa"/>
                  <w:vAlign w:val="top"/>
                </w:tcPr>
                <w:p w14:paraId="4A9CB35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w:t>
                  </w:r>
                </w:p>
              </w:tc>
            </w:tr>
            <w:tr w14:paraId="25DF9E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3337" w:type="dxa"/>
                  <w:vAlign w:val="top"/>
                </w:tcPr>
                <w:p w14:paraId="5460CC3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泥浆泵</w:t>
                  </w:r>
                </w:p>
              </w:tc>
              <w:tc>
                <w:tcPr>
                  <w:tcW w:w="2550" w:type="dxa"/>
                  <w:vAlign w:val="top"/>
                </w:tcPr>
                <w:p w14:paraId="7F9B75D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3PN</w:t>
                  </w:r>
                </w:p>
              </w:tc>
              <w:tc>
                <w:tcPr>
                  <w:tcW w:w="1115" w:type="dxa"/>
                  <w:vAlign w:val="top"/>
                </w:tcPr>
                <w:p w14:paraId="11A1451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台</w:t>
                  </w:r>
                </w:p>
              </w:tc>
              <w:tc>
                <w:tcPr>
                  <w:tcW w:w="1127" w:type="dxa"/>
                  <w:vAlign w:val="top"/>
                </w:tcPr>
                <w:p w14:paraId="526E8D0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23</w:t>
                  </w:r>
                </w:p>
              </w:tc>
            </w:tr>
            <w:tr w14:paraId="7840BB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8" w:hRule="atLeast"/>
              </w:trPr>
              <w:tc>
                <w:tcPr>
                  <w:tcW w:w="3337" w:type="dxa"/>
                  <w:vAlign w:val="top"/>
                </w:tcPr>
                <w:p w14:paraId="3FA02CF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抽水机</w:t>
                  </w:r>
                </w:p>
              </w:tc>
              <w:tc>
                <w:tcPr>
                  <w:tcW w:w="2550" w:type="dxa"/>
                  <w:vAlign w:val="top"/>
                </w:tcPr>
                <w:p w14:paraId="74E2D80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15kW</w:t>
                  </w:r>
                </w:p>
              </w:tc>
              <w:tc>
                <w:tcPr>
                  <w:tcW w:w="1115" w:type="dxa"/>
                  <w:vAlign w:val="top"/>
                </w:tcPr>
                <w:p w14:paraId="2ACEFEA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台</w:t>
                  </w:r>
                </w:p>
              </w:tc>
              <w:tc>
                <w:tcPr>
                  <w:tcW w:w="1127" w:type="dxa"/>
                  <w:vAlign w:val="top"/>
                </w:tcPr>
                <w:p w14:paraId="221886E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30</w:t>
                  </w:r>
                </w:p>
              </w:tc>
            </w:tr>
            <w:tr w14:paraId="6111D78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0" w:hRule="atLeast"/>
              </w:trPr>
              <w:tc>
                <w:tcPr>
                  <w:tcW w:w="3337" w:type="dxa"/>
                  <w:vAlign w:val="top"/>
                </w:tcPr>
                <w:p w14:paraId="10D5F7D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洒水车</w:t>
                  </w:r>
                </w:p>
              </w:tc>
              <w:tc>
                <w:tcPr>
                  <w:tcW w:w="2550" w:type="dxa"/>
                  <w:vAlign w:val="top"/>
                </w:tcPr>
                <w:p w14:paraId="763F7C2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15" w:type="dxa"/>
                  <w:vAlign w:val="top"/>
                </w:tcPr>
                <w:p w14:paraId="4A3B12F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辆</w:t>
                  </w:r>
                </w:p>
              </w:tc>
              <w:tc>
                <w:tcPr>
                  <w:tcW w:w="1127" w:type="dxa"/>
                  <w:vAlign w:val="top"/>
                </w:tcPr>
                <w:p w14:paraId="47EE50E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p>
              </w:tc>
            </w:tr>
            <w:tr w14:paraId="6CDEE1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7" w:hRule="atLeast"/>
              </w:trPr>
              <w:tc>
                <w:tcPr>
                  <w:tcW w:w="3337" w:type="dxa"/>
                  <w:vAlign w:val="top"/>
                </w:tcPr>
                <w:p w14:paraId="0C6B2AE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柴油发电机</w:t>
                  </w:r>
                </w:p>
              </w:tc>
              <w:tc>
                <w:tcPr>
                  <w:tcW w:w="2550" w:type="dxa"/>
                  <w:vAlign w:val="top"/>
                </w:tcPr>
                <w:p w14:paraId="2049C85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60kW</w:t>
                  </w:r>
                </w:p>
              </w:tc>
              <w:tc>
                <w:tcPr>
                  <w:tcW w:w="1115" w:type="dxa"/>
                  <w:vAlign w:val="top"/>
                </w:tcPr>
                <w:p w14:paraId="561FEE7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台</w:t>
                  </w:r>
                </w:p>
              </w:tc>
              <w:tc>
                <w:tcPr>
                  <w:tcW w:w="1127" w:type="dxa"/>
                  <w:vAlign w:val="top"/>
                </w:tcPr>
                <w:p w14:paraId="5253065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p>
              </w:tc>
            </w:tr>
          </w:tbl>
          <w:p w14:paraId="5D4F309C">
            <w:pPr>
              <w:spacing w:line="360" w:lineRule="auto"/>
              <w:ind w:firstLine="480" w:firstLineChars="200"/>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施工区不设集中储油设施，柴油发电机仅油箱带油（单台油箱容量约0.04t），即用即加，现场不储存桶装或罐装燃油。备用发电机仅在电网停电时使用，油箱随用随加，不长期存放。汽油车辆到就近加油站加油，不在施工区储存。</w:t>
            </w:r>
          </w:p>
          <w:p w14:paraId="03AE05EC">
            <w:pPr>
              <w:spacing w:line="360" w:lineRule="auto"/>
              <w:ind w:firstLine="480" w:firstLineChars="200"/>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为防止跑冒滴漏，施工机械停放区设置托盘或防渗布，配备吸油毡。加油过程由专人监督，严禁在河道、沟渠附近加油。</w:t>
            </w:r>
          </w:p>
          <w:p w14:paraId="4C8D1AA5">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8原辅材料消耗</w:t>
            </w:r>
          </w:p>
          <w:p w14:paraId="6B6511CB">
            <w:pPr>
              <w:spacing w:line="360" w:lineRule="auto"/>
              <w:ind w:firstLine="480" w:firstLineChars="200"/>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lang w:eastAsia="zh-CN"/>
                <w14:textFill>
                  <w14:solidFill>
                    <w14:schemeClr w14:val="tx1"/>
                  </w14:solidFill>
                </w14:textFill>
              </w:rPr>
              <w:t>本项目</w:t>
            </w:r>
            <w:r>
              <w:rPr>
                <w:rFonts w:hint="default" w:ascii="Times New Roman" w:hAnsi="Times New Roman" w:eastAsia="宋体" w:cs="Times New Roman"/>
                <w:color w:val="000000" w:themeColor="text1"/>
                <w:sz w:val="24"/>
                <w14:textFill>
                  <w14:solidFill>
                    <w14:schemeClr w14:val="tx1"/>
                  </w14:solidFill>
                </w14:textFill>
              </w:rPr>
              <w:t>所需的天然建筑材料主要有填筑料、砂砾石垫层料和砼骨料，存放于施工场地</w:t>
            </w:r>
            <w:r>
              <w:rPr>
                <w:rFonts w:hint="default" w:ascii="Times New Roman" w:hAnsi="Times New Roman" w:eastAsia="宋体" w:cs="Times New Roman"/>
                <w:color w:val="000000" w:themeColor="text1"/>
                <w:sz w:val="24"/>
                <w:lang w:eastAsia="zh-CN"/>
                <w14:textFill>
                  <w14:solidFill>
                    <w14:schemeClr w14:val="tx1"/>
                  </w14:solidFill>
                </w14:textFill>
              </w:rPr>
              <w:t>原料堆场</w:t>
            </w:r>
            <w:r>
              <w:rPr>
                <w:rFonts w:hint="default" w:ascii="Times New Roman" w:hAnsi="Times New Roman" w:eastAsia="宋体" w:cs="Times New Roman"/>
                <w:color w:val="000000" w:themeColor="text1"/>
                <w:sz w:val="24"/>
                <w14:textFill>
                  <w14:solidFill>
                    <w14:schemeClr w14:val="tx1"/>
                  </w14:solidFill>
                </w14:textFill>
              </w:rPr>
              <w:t>内。</w:t>
            </w:r>
            <w:r>
              <w:rPr>
                <w:rFonts w:hint="default" w:ascii="Times New Roman" w:hAnsi="Times New Roman" w:eastAsia="宋体" w:cs="Times New Roman"/>
                <w:color w:val="000000" w:themeColor="text1"/>
                <w:sz w:val="24"/>
                <w:lang w:eastAsia="zh-CN"/>
                <w14:textFill>
                  <w14:solidFill>
                    <w14:schemeClr w14:val="tx1"/>
                  </w14:solidFill>
                </w14:textFill>
              </w:rPr>
              <w:t>原料堆场四周设置围挡防风阻尘，堆垛配备篷布遮盖并定期洒水保持湿润</w:t>
            </w:r>
            <w:r>
              <w:rPr>
                <w:rFonts w:hint="default" w:ascii="Times New Roman" w:hAnsi="Times New Roman" w:eastAsia="宋体" w:cs="Times New Roman"/>
                <w:color w:val="000000" w:themeColor="text1"/>
                <w:sz w:val="24"/>
                <w14:textFill>
                  <w14:solidFill>
                    <w14:schemeClr w14:val="tx1"/>
                  </w14:solidFill>
                </w14:textFill>
              </w:rPr>
              <w:t>，有效减少原料堆存过程扬尘产生及排放。</w:t>
            </w:r>
            <w:r>
              <w:rPr>
                <w:rFonts w:hint="default" w:ascii="Times New Roman" w:hAnsi="Times New Roman" w:eastAsia="宋体" w:cs="Times New Roman"/>
                <w:color w:val="000000" w:themeColor="text1"/>
                <w:spacing w:val="-2"/>
                <w:sz w:val="24"/>
                <w:szCs w:val="24"/>
                <w14:textFill>
                  <w14:solidFill>
                    <w14:schemeClr w14:val="tx1"/>
                  </w14:solidFill>
                </w14:textFill>
              </w:rPr>
              <w:t>主要原辅材料及能耗情况见表2-</w:t>
            </w:r>
            <w:r>
              <w:rPr>
                <w:rFonts w:hint="default" w:ascii="Times New Roman" w:hAnsi="Times New Roman" w:eastAsia="宋体" w:cs="Times New Roman"/>
                <w:color w:val="000000" w:themeColor="text1"/>
                <w:spacing w:val="-2"/>
                <w:sz w:val="24"/>
                <w:szCs w:val="24"/>
                <w:lang w:val="en-US" w:eastAsia="zh-CN"/>
                <w14:textFill>
                  <w14:solidFill>
                    <w14:schemeClr w14:val="tx1"/>
                  </w14:solidFill>
                </w14:textFill>
              </w:rPr>
              <w:t>6</w:t>
            </w:r>
            <w:r>
              <w:rPr>
                <w:rFonts w:hint="default" w:ascii="Times New Roman" w:hAnsi="Times New Roman" w:eastAsia="宋体" w:cs="Times New Roman"/>
                <w:color w:val="000000" w:themeColor="text1"/>
                <w:spacing w:val="-2"/>
                <w:sz w:val="24"/>
                <w:szCs w:val="24"/>
                <w14:textFill>
                  <w14:solidFill>
                    <w14:schemeClr w14:val="tx1"/>
                  </w14:solidFill>
                </w14:textFill>
              </w:rPr>
              <w:t>。</w:t>
            </w:r>
          </w:p>
          <w:p w14:paraId="7FC6D3D9">
            <w:pPr>
              <w:ind w:firstLine="310" w:firstLineChars="147"/>
              <w:jc w:val="center"/>
              <w:rPr>
                <w:rFonts w:hint="default" w:ascii="Times New Roman" w:hAnsi="Times New Roman" w:eastAsia="宋体" w:cs="Times New Roman"/>
                <w:b/>
                <w:color w:val="000000" w:themeColor="text1"/>
                <w:szCs w:val="21"/>
                <w:lang w:bidi="ar"/>
                <w14:textFill>
                  <w14:solidFill>
                    <w14:schemeClr w14:val="tx1"/>
                  </w14:solidFill>
                </w14:textFill>
              </w:rPr>
            </w:pPr>
            <w:r>
              <w:rPr>
                <w:rFonts w:hint="default" w:ascii="Times New Roman" w:hAnsi="Times New Roman" w:eastAsia="宋体" w:cs="Times New Roman"/>
                <w:b/>
                <w:color w:val="000000" w:themeColor="text1"/>
                <w:szCs w:val="21"/>
                <w:lang w:bidi="ar"/>
                <w14:textFill>
                  <w14:solidFill>
                    <w14:schemeClr w14:val="tx1"/>
                  </w14:solidFill>
                </w14:textFill>
              </w:rPr>
              <w:t>表2-</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6</w:t>
            </w:r>
            <w:r>
              <w:rPr>
                <w:rFonts w:hint="default" w:ascii="Times New Roman" w:hAnsi="Times New Roman" w:eastAsia="宋体" w:cs="Times New Roman"/>
                <w:b/>
                <w:color w:val="000000" w:themeColor="text1"/>
                <w:szCs w:val="21"/>
                <w:lang w:bidi="ar"/>
                <w14:textFill>
                  <w14:solidFill>
                    <w14:schemeClr w14:val="tx1"/>
                  </w14:solidFill>
                </w14:textFill>
              </w:rPr>
              <w:t>主要原材料消耗一览表</w:t>
            </w:r>
          </w:p>
          <w:tbl>
            <w:tblPr>
              <w:tblStyle w:val="35"/>
              <w:tblW w:w="81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7"/>
              <w:gridCol w:w="1357"/>
              <w:gridCol w:w="1044"/>
              <w:gridCol w:w="936"/>
              <w:gridCol w:w="1752"/>
              <w:gridCol w:w="1700"/>
            </w:tblGrid>
            <w:tr w14:paraId="6380B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Align w:val="center"/>
                </w:tcPr>
                <w:p w14:paraId="68C9F5E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类别</w:t>
                  </w:r>
                </w:p>
              </w:tc>
              <w:tc>
                <w:tcPr>
                  <w:tcW w:w="1357" w:type="dxa"/>
                  <w:vAlign w:val="center"/>
                </w:tcPr>
                <w:p w14:paraId="6180B9F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原辅材料/能耗名称</w:t>
                  </w:r>
                </w:p>
              </w:tc>
              <w:tc>
                <w:tcPr>
                  <w:tcW w:w="1044" w:type="dxa"/>
                  <w:vAlign w:val="center"/>
                </w:tcPr>
                <w:p w14:paraId="6FD90BC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单位</w:t>
                  </w:r>
                </w:p>
              </w:tc>
              <w:tc>
                <w:tcPr>
                  <w:tcW w:w="936" w:type="dxa"/>
                  <w:vAlign w:val="center"/>
                </w:tcPr>
                <w:p w14:paraId="6A6F73D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用量</w:t>
                  </w:r>
                </w:p>
              </w:tc>
              <w:tc>
                <w:tcPr>
                  <w:tcW w:w="1752" w:type="dxa"/>
                  <w:vAlign w:val="center"/>
                </w:tcPr>
                <w:p w14:paraId="11F4354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来源</w:t>
                  </w:r>
                </w:p>
              </w:tc>
              <w:tc>
                <w:tcPr>
                  <w:tcW w:w="1700" w:type="dxa"/>
                  <w:vAlign w:val="center"/>
                </w:tcPr>
                <w:p w14:paraId="018125D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用途说明</w:t>
                  </w:r>
                </w:p>
              </w:tc>
            </w:tr>
            <w:tr w14:paraId="11DEF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restart"/>
                  <w:vAlign w:val="center"/>
                </w:tcPr>
                <w:p w14:paraId="5CA2F22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天然建材</w:t>
                  </w:r>
                </w:p>
              </w:tc>
              <w:tc>
                <w:tcPr>
                  <w:tcW w:w="1357" w:type="dxa"/>
                  <w:vAlign w:val="center"/>
                </w:tcPr>
                <w:p w14:paraId="5844673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填筑土料（借方）</w:t>
                  </w:r>
                </w:p>
              </w:tc>
              <w:tc>
                <w:tcPr>
                  <w:tcW w:w="1044" w:type="dxa"/>
                  <w:vAlign w:val="center"/>
                </w:tcPr>
                <w:p w14:paraId="5071BA9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万m³</w:t>
                  </w:r>
                </w:p>
              </w:tc>
              <w:tc>
                <w:tcPr>
                  <w:tcW w:w="936" w:type="dxa"/>
                  <w:vAlign w:val="center"/>
                </w:tcPr>
                <w:p w14:paraId="3E419C9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5.48</w:t>
                  </w:r>
                </w:p>
              </w:tc>
              <w:tc>
                <w:tcPr>
                  <w:tcW w:w="1752" w:type="dxa"/>
                  <w:vAlign w:val="center"/>
                </w:tcPr>
                <w:p w14:paraId="6482CA7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工程区河段右岸未利用地块</w:t>
                  </w:r>
                </w:p>
              </w:tc>
              <w:tc>
                <w:tcPr>
                  <w:tcW w:w="1700" w:type="dxa"/>
                  <w:vAlign w:val="center"/>
                </w:tcPr>
                <w:p w14:paraId="1BBAEDF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堤身填筑</w:t>
                  </w:r>
                </w:p>
              </w:tc>
            </w:tr>
            <w:tr w14:paraId="2BA85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continue"/>
                  <w:vAlign w:val="center"/>
                </w:tcPr>
                <w:p w14:paraId="51AAC6D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57" w:type="dxa"/>
                  <w:vAlign w:val="center"/>
                </w:tcPr>
                <w:p w14:paraId="047555A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卵石料</w:t>
                  </w:r>
                </w:p>
              </w:tc>
              <w:tc>
                <w:tcPr>
                  <w:tcW w:w="1044" w:type="dxa"/>
                  <w:vAlign w:val="center"/>
                </w:tcPr>
                <w:p w14:paraId="6E293A0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万m³</w:t>
                  </w:r>
                </w:p>
              </w:tc>
              <w:tc>
                <w:tcPr>
                  <w:tcW w:w="936" w:type="dxa"/>
                  <w:vAlign w:val="center"/>
                </w:tcPr>
                <w:p w14:paraId="4F79D8C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7.59</w:t>
                  </w:r>
                </w:p>
              </w:tc>
              <w:tc>
                <w:tcPr>
                  <w:tcW w:w="1752" w:type="dxa"/>
                  <w:vAlign w:val="center"/>
                </w:tcPr>
                <w:p w14:paraId="3D9DF57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莎车鑫鑫砂石料场（外购）</w:t>
                  </w:r>
                </w:p>
              </w:tc>
              <w:tc>
                <w:tcPr>
                  <w:tcW w:w="1700" w:type="dxa"/>
                  <w:vAlign w:val="center"/>
                </w:tcPr>
                <w:p w14:paraId="7E9484B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格宾石笼、雷诺护垫填充</w:t>
                  </w:r>
                </w:p>
              </w:tc>
            </w:tr>
            <w:tr w14:paraId="177A9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continue"/>
                  <w:vAlign w:val="center"/>
                </w:tcPr>
                <w:p w14:paraId="51C9C55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57" w:type="dxa"/>
                  <w:vAlign w:val="center"/>
                </w:tcPr>
                <w:p w14:paraId="4EDBD2F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砂砾石料（垫层及路面）</w:t>
                  </w:r>
                </w:p>
              </w:tc>
              <w:tc>
                <w:tcPr>
                  <w:tcW w:w="1044" w:type="dxa"/>
                  <w:vAlign w:val="center"/>
                </w:tcPr>
                <w:p w14:paraId="35AC732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万m³</w:t>
                  </w:r>
                </w:p>
              </w:tc>
              <w:tc>
                <w:tcPr>
                  <w:tcW w:w="936" w:type="dxa"/>
                  <w:vAlign w:val="center"/>
                </w:tcPr>
                <w:p w14:paraId="3DA19AA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2.33</w:t>
                  </w:r>
                </w:p>
              </w:tc>
              <w:tc>
                <w:tcPr>
                  <w:tcW w:w="1752" w:type="dxa"/>
                  <w:vAlign w:val="center"/>
                </w:tcPr>
                <w:p w14:paraId="53A2897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莎车鑫鑫砂石料场（外购）</w:t>
                  </w:r>
                </w:p>
              </w:tc>
              <w:tc>
                <w:tcPr>
                  <w:tcW w:w="1700" w:type="dxa"/>
                  <w:vAlign w:val="center"/>
                </w:tcPr>
                <w:p w14:paraId="206F19F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岸顶路面及护坡垫层</w:t>
                  </w:r>
                </w:p>
              </w:tc>
            </w:tr>
            <w:tr w14:paraId="2CBF3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continue"/>
                  <w:vAlign w:val="center"/>
                </w:tcPr>
                <w:p w14:paraId="7A66AD2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57" w:type="dxa"/>
                  <w:vAlign w:val="center"/>
                </w:tcPr>
                <w:p w14:paraId="2CE021E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混凝土粗细骨料</w:t>
                  </w:r>
                </w:p>
              </w:tc>
              <w:tc>
                <w:tcPr>
                  <w:tcW w:w="1044" w:type="dxa"/>
                  <w:vAlign w:val="center"/>
                </w:tcPr>
                <w:p w14:paraId="43351FE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万m³</w:t>
                  </w:r>
                </w:p>
              </w:tc>
              <w:tc>
                <w:tcPr>
                  <w:tcW w:w="936" w:type="dxa"/>
                  <w:vAlign w:val="center"/>
                </w:tcPr>
                <w:p w14:paraId="2CDF0FC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hAnsi="Times New Roman" w:cs="Times New Roman"/>
                      <w:color w:val="000000" w:themeColor="text1"/>
                      <w:lang w:val="en-US" w:eastAsia="zh-CN"/>
                      <w14:textFill>
                        <w14:solidFill>
                          <w14:schemeClr w14:val="tx1"/>
                        </w14:solidFill>
                      </w14:textFill>
                    </w:rPr>
                    <w:t>0.36</w:t>
                  </w:r>
                </w:p>
              </w:tc>
              <w:tc>
                <w:tcPr>
                  <w:tcW w:w="1752" w:type="dxa"/>
                  <w:vAlign w:val="center"/>
                </w:tcPr>
                <w:p w14:paraId="19C8D5B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莎车鑫鑫砂石料场（外购）</w:t>
                  </w:r>
                </w:p>
              </w:tc>
              <w:tc>
                <w:tcPr>
                  <w:tcW w:w="1700" w:type="dxa"/>
                  <w:vAlign w:val="center"/>
                </w:tcPr>
                <w:p w14:paraId="135141F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预制砼构件生产</w:t>
                  </w:r>
                </w:p>
              </w:tc>
            </w:tr>
            <w:tr w14:paraId="5B27C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restart"/>
                  <w:vAlign w:val="center"/>
                </w:tcPr>
                <w:p w14:paraId="2C97D13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主要建材</w:t>
                  </w:r>
                </w:p>
              </w:tc>
              <w:tc>
                <w:tcPr>
                  <w:tcW w:w="1357" w:type="dxa"/>
                  <w:vAlign w:val="center"/>
                </w:tcPr>
                <w:p w14:paraId="4670915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水泥（抗硫酸盐）</w:t>
                  </w:r>
                </w:p>
              </w:tc>
              <w:tc>
                <w:tcPr>
                  <w:tcW w:w="1044" w:type="dxa"/>
                  <w:vAlign w:val="center"/>
                </w:tcPr>
                <w:p w14:paraId="4437E13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t</w:t>
                  </w:r>
                </w:p>
              </w:tc>
              <w:tc>
                <w:tcPr>
                  <w:tcW w:w="936" w:type="dxa"/>
                  <w:vAlign w:val="center"/>
                </w:tcPr>
                <w:p w14:paraId="5278AF9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hAnsi="Times New Roman" w:cs="Times New Roman"/>
                      <w:color w:val="000000" w:themeColor="text1"/>
                      <w:lang w:val="en-US" w:eastAsia="zh-CN"/>
                      <w14:textFill>
                        <w14:solidFill>
                          <w14:schemeClr w14:val="tx1"/>
                        </w14:solidFill>
                      </w14:textFill>
                    </w:rPr>
                    <w:t>600</w:t>
                  </w:r>
                </w:p>
              </w:tc>
              <w:tc>
                <w:tcPr>
                  <w:tcW w:w="1752" w:type="dxa"/>
                  <w:vAlign w:val="center"/>
                </w:tcPr>
                <w:p w14:paraId="7BBF654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莎车县附近建材市场</w:t>
                  </w:r>
                </w:p>
              </w:tc>
              <w:tc>
                <w:tcPr>
                  <w:tcW w:w="1700" w:type="dxa"/>
                  <w:vAlign w:val="center"/>
                </w:tcPr>
                <w:p w14:paraId="73A4D86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预制砼构件</w:t>
                  </w:r>
                </w:p>
              </w:tc>
            </w:tr>
            <w:tr w14:paraId="2EA37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continue"/>
                  <w:vAlign w:val="center"/>
                </w:tcPr>
                <w:p w14:paraId="3ECDDC7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57" w:type="dxa"/>
                  <w:vAlign w:val="center"/>
                </w:tcPr>
                <w:p w14:paraId="10E74AF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钢筋、钢材</w:t>
                  </w:r>
                </w:p>
              </w:tc>
              <w:tc>
                <w:tcPr>
                  <w:tcW w:w="1044" w:type="dxa"/>
                  <w:vAlign w:val="center"/>
                </w:tcPr>
                <w:p w14:paraId="132AC7C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t</w:t>
                  </w:r>
                </w:p>
              </w:tc>
              <w:tc>
                <w:tcPr>
                  <w:tcW w:w="936" w:type="dxa"/>
                  <w:vAlign w:val="center"/>
                </w:tcPr>
                <w:p w14:paraId="04F8A22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hAnsi="Times New Roman" w:cs="Times New Roman"/>
                      <w:color w:val="000000" w:themeColor="text1"/>
                      <w:lang w:val="en-US" w:eastAsia="zh-CN"/>
                      <w14:textFill>
                        <w14:solidFill>
                          <w14:schemeClr w14:val="tx1"/>
                        </w14:solidFill>
                      </w14:textFill>
                    </w:rPr>
                    <w:t>65</w:t>
                  </w:r>
                </w:p>
              </w:tc>
              <w:tc>
                <w:tcPr>
                  <w:tcW w:w="1752" w:type="dxa"/>
                  <w:vAlign w:val="center"/>
                </w:tcPr>
                <w:p w14:paraId="7FCCF51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莎车县钢材市场</w:t>
                  </w:r>
                </w:p>
              </w:tc>
              <w:tc>
                <w:tcPr>
                  <w:tcW w:w="1700" w:type="dxa"/>
                  <w:vAlign w:val="center"/>
                </w:tcPr>
                <w:p w14:paraId="690901F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预制砼构件配筋、金属结构</w:t>
                  </w:r>
                </w:p>
              </w:tc>
            </w:tr>
            <w:tr w14:paraId="7FB44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continue"/>
                  <w:vAlign w:val="center"/>
                </w:tcPr>
                <w:p w14:paraId="0F9AA1C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57" w:type="dxa"/>
                  <w:vAlign w:val="center"/>
                </w:tcPr>
                <w:p w14:paraId="2060E76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汽油</w:t>
                  </w:r>
                </w:p>
              </w:tc>
              <w:tc>
                <w:tcPr>
                  <w:tcW w:w="1044" w:type="dxa"/>
                  <w:vAlign w:val="center"/>
                </w:tcPr>
                <w:p w14:paraId="37B02BF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t</w:t>
                  </w:r>
                </w:p>
              </w:tc>
              <w:tc>
                <w:tcPr>
                  <w:tcW w:w="936" w:type="dxa"/>
                  <w:vAlign w:val="center"/>
                </w:tcPr>
                <w:p w14:paraId="672237B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w:t>
                  </w:r>
                </w:p>
              </w:tc>
              <w:tc>
                <w:tcPr>
                  <w:tcW w:w="1752" w:type="dxa"/>
                  <w:vAlign w:val="center"/>
                </w:tcPr>
                <w:p w14:paraId="3EC1121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当地石油公司</w:t>
                  </w:r>
                </w:p>
              </w:tc>
              <w:tc>
                <w:tcPr>
                  <w:tcW w:w="1700" w:type="dxa"/>
                  <w:vAlign w:val="center"/>
                </w:tcPr>
                <w:p w14:paraId="6A1BB9C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运输车辆燃料</w:t>
                  </w:r>
                </w:p>
              </w:tc>
            </w:tr>
            <w:tr w14:paraId="5F6BF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continue"/>
                  <w:vAlign w:val="center"/>
                </w:tcPr>
                <w:p w14:paraId="5ABB19B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57" w:type="dxa"/>
                  <w:vAlign w:val="center"/>
                </w:tcPr>
                <w:p w14:paraId="31121D2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柴油</w:t>
                  </w:r>
                </w:p>
              </w:tc>
              <w:tc>
                <w:tcPr>
                  <w:tcW w:w="1044" w:type="dxa"/>
                  <w:vAlign w:val="center"/>
                </w:tcPr>
                <w:p w14:paraId="6510815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t</w:t>
                  </w:r>
                </w:p>
              </w:tc>
              <w:tc>
                <w:tcPr>
                  <w:tcW w:w="936" w:type="dxa"/>
                  <w:vAlign w:val="center"/>
                </w:tcPr>
                <w:p w14:paraId="5E25A92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400</w:t>
                  </w:r>
                </w:p>
              </w:tc>
              <w:tc>
                <w:tcPr>
                  <w:tcW w:w="1752" w:type="dxa"/>
                  <w:vAlign w:val="center"/>
                </w:tcPr>
                <w:p w14:paraId="21CEB7B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当地石油公司</w:t>
                  </w:r>
                </w:p>
              </w:tc>
              <w:tc>
                <w:tcPr>
                  <w:tcW w:w="1700" w:type="dxa"/>
                  <w:vAlign w:val="center"/>
                </w:tcPr>
                <w:p w14:paraId="69D7292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施工机械燃料</w:t>
                  </w:r>
                </w:p>
              </w:tc>
            </w:tr>
            <w:tr w14:paraId="4480A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restart"/>
                  <w:vAlign w:val="center"/>
                </w:tcPr>
                <w:p w14:paraId="1406144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成品构件</w:t>
                  </w:r>
                </w:p>
              </w:tc>
              <w:tc>
                <w:tcPr>
                  <w:tcW w:w="1357" w:type="dxa"/>
                  <w:vAlign w:val="center"/>
                </w:tcPr>
                <w:p w14:paraId="3C7CA58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格宾石笼网箱</w:t>
                  </w:r>
                </w:p>
              </w:tc>
              <w:tc>
                <w:tcPr>
                  <w:tcW w:w="1044" w:type="dxa"/>
                  <w:vAlign w:val="center"/>
                </w:tcPr>
                <w:p w14:paraId="0F520E9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m³</w:t>
                  </w:r>
                </w:p>
              </w:tc>
              <w:tc>
                <w:tcPr>
                  <w:tcW w:w="936" w:type="dxa"/>
                  <w:vAlign w:val="center"/>
                </w:tcPr>
                <w:p w14:paraId="534964C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5.00</w:t>
                  </w:r>
                </w:p>
              </w:tc>
              <w:tc>
                <w:tcPr>
                  <w:tcW w:w="1752" w:type="dxa"/>
                  <w:vAlign w:val="center"/>
                </w:tcPr>
                <w:p w14:paraId="5B80DC0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疆外订购</w:t>
                  </w:r>
                </w:p>
              </w:tc>
              <w:tc>
                <w:tcPr>
                  <w:tcW w:w="1700" w:type="dxa"/>
                  <w:vAlign w:val="center"/>
                </w:tcPr>
                <w:p w14:paraId="1B4802B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阻滑墙、水平铺盖</w:t>
                  </w:r>
                </w:p>
              </w:tc>
            </w:tr>
            <w:tr w14:paraId="16DA1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continue"/>
                  <w:vAlign w:val="center"/>
                </w:tcPr>
                <w:p w14:paraId="1ABF728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57" w:type="dxa"/>
                  <w:vAlign w:val="center"/>
                </w:tcPr>
                <w:p w14:paraId="0DB188C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雷诺护垫网箱</w:t>
                  </w:r>
                </w:p>
              </w:tc>
              <w:tc>
                <w:tcPr>
                  <w:tcW w:w="1044" w:type="dxa"/>
                  <w:vAlign w:val="center"/>
                </w:tcPr>
                <w:p w14:paraId="324CB58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m³</w:t>
                  </w:r>
                </w:p>
              </w:tc>
              <w:tc>
                <w:tcPr>
                  <w:tcW w:w="936" w:type="dxa"/>
                  <w:vAlign w:val="center"/>
                </w:tcPr>
                <w:p w14:paraId="4D36AC6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2.94</w:t>
                  </w:r>
                </w:p>
              </w:tc>
              <w:tc>
                <w:tcPr>
                  <w:tcW w:w="1752" w:type="dxa"/>
                  <w:vAlign w:val="center"/>
                </w:tcPr>
                <w:p w14:paraId="1334687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疆外订购</w:t>
                  </w:r>
                </w:p>
              </w:tc>
              <w:tc>
                <w:tcPr>
                  <w:tcW w:w="1700" w:type="dxa"/>
                  <w:vAlign w:val="center"/>
                </w:tcPr>
                <w:p w14:paraId="046329B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坡面防护</w:t>
                  </w:r>
                </w:p>
              </w:tc>
            </w:tr>
            <w:tr w14:paraId="5F9EC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continue"/>
                  <w:vAlign w:val="center"/>
                </w:tcPr>
                <w:p w14:paraId="174FF0B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57" w:type="dxa"/>
                  <w:vAlign w:val="center"/>
                </w:tcPr>
                <w:p w14:paraId="328289D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成品预制砼构件</w:t>
                  </w:r>
                </w:p>
              </w:tc>
              <w:tc>
                <w:tcPr>
                  <w:tcW w:w="1044" w:type="dxa"/>
                  <w:vAlign w:val="center"/>
                </w:tcPr>
                <w:p w14:paraId="25B1F8B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m³</w:t>
                  </w:r>
                </w:p>
              </w:tc>
              <w:tc>
                <w:tcPr>
                  <w:tcW w:w="936" w:type="dxa"/>
                  <w:vAlign w:val="center"/>
                </w:tcPr>
                <w:p w14:paraId="6AD7266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200</w:t>
                  </w:r>
                </w:p>
              </w:tc>
              <w:tc>
                <w:tcPr>
                  <w:tcW w:w="1752" w:type="dxa"/>
                  <w:vAlign w:val="center"/>
                </w:tcPr>
                <w:p w14:paraId="48ED0DA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莎车县预制厂</w:t>
                  </w:r>
                </w:p>
              </w:tc>
              <w:tc>
                <w:tcPr>
                  <w:tcW w:w="1700" w:type="dxa"/>
                  <w:vAlign w:val="center"/>
                </w:tcPr>
                <w:p w14:paraId="54B88BF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路沿石、里程桩等</w:t>
                  </w:r>
                </w:p>
              </w:tc>
            </w:tr>
            <w:tr w14:paraId="41FFF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Merge w:val="continue"/>
                  <w:vAlign w:val="center"/>
                </w:tcPr>
                <w:p w14:paraId="0D3B4A2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357" w:type="dxa"/>
                  <w:vAlign w:val="center"/>
                </w:tcPr>
                <w:p w14:paraId="611C830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四面六边透水框架</w:t>
                  </w:r>
                </w:p>
              </w:tc>
              <w:tc>
                <w:tcPr>
                  <w:tcW w:w="1044" w:type="dxa"/>
                  <w:vAlign w:val="center"/>
                </w:tcPr>
                <w:p w14:paraId="19CC364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m³</w:t>
                  </w:r>
                </w:p>
              </w:tc>
              <w:tc>
                <w:tcPr>
                  <w:tcW w:w="936" w:type="dxa"/>
                  <w:vAlign w:val="center"/>
                </w:tcPr>
                <w:p w14:paraId="44D2C7D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1800</w:t>
                  </w:r>
                </w:p>
              </w:tc>
              <w:tc>
                <w:tcPr>
                  <w:tcW w:w="1752" w:type="dxa"/>
                  <w:vAlign w:val="center"/>
                </w:tcPr>
                <w:p w14:paraId="7D506B1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现场预制</w:t>
                  </w:r>
                </w:p>
              </w:tc>
              <w:tc>
                <w:tcPr>
                  <w:tcW w:w="1700" w:type="dxa"/>
                  <w:vAlign w:val="center"/>
                </w:tcPr>
                <w:p w14:paraId="6DD9DEE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促淤防冲</w:t>
                  </w:r>
                </w:p>
              </w:tc>
            </w:tr>
          </w:tbl>
          <w:p w14:paraId="254B5950">
            <w:pPr>
              <w:ind w:firstLine="310" w:firstLineChars="147"/>
              <w:jc w:val="center"/>
              <w:rPr>
                <w:rFonts w:hint="default" w:ascii="Times New Roman" w:hAnsi="Times New Roman" w:eastAsia="宋体" w:cs="Times New Roman"/>
                <w:b/>
                <w:color w:val="000000" w:themeColor="text1"/>
                <w:szCs w:val="21"/>
                <w:lang w:bidi="ar"/>
                <w14:textFill>
                  <w14:solidFill>
                    <w14:schemeClr w14:val="tx1"/>
                  </w14:solidFill>
                </w14:textFill>
              </w:rPr>
            </w:pPr>
          </w:p>
          <w:p w14:paraId="57A4FCF9">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9、公用工程</w:t>
            </w:r>
          </w:p>
          <w:p w14:paraId="6EF45D6E">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（1）给排水</w:t>
            </w:r>
          </w:p>
          <w:p w14:paraId="125C5864">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1）给水</w:t>
            </w:r>
          </w:p>
          <w:p w14:paraId="4967B2D8">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本项目施工期用水主要包括施工人员生活用水、生产用水（堤身填筑洒水、砼养护、车辆及机械冲洗等）。</w:t>
            </w:r>
            <w:r>
              <w:rPr>
                <w:rFonts w:hint="default" w:ascii="Times New Roman" w:hAnsi="Times New Roman" w:eastAsia="宋体" w:cs="Times New Roman"/>
                <w:color w:val="000000" w:themeColor="text1"/>
                <w:lang w:val="en-US" w:eastAsia="zh-CN"/>
                <w14:textFill>
                  <w14:solidFill>
                    <w14:schemeClr w14:val="tx1"/>
                  </w14:solidFill>
                </w14:textFill>
              </w:rPr>
              <w:t>生产用水和生活用水均从附近居民点拉运，考虑冲洗废水回用后，本项目施工期新鲜水用量为1877m³。</w:t>
            </w:r>
          </w:p>
          <w:p w14:paraId="26E9B908">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施工人员生活用水：施工高峰期人员约200人，施工总工期97天。生活用水定额按30L/人·d计，则生活用水量为6m³/d，施工期总生活用水量约582m³。</w:t>
            </w:r>
          </w:p>
          <w:p w14:paraId="2A3D9F84">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生产用水：</w:t>
            </w:r>
          </w:p>
          <w:p w14:paraId="21C1EEAD">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堤身填筑洒水降尘：根据施工组织设计，需对填筑面、临时堆土区、施工道路等定期洒水，洒水量约5m³/d，施工期约485m³。</w:t>
            </w:r>
          </w:p>
          <w:p w14:paraId="08168480">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砼养护用水：本工程砼主要为预制构件安装及四面六边透水框架现场预制，养护用水量约8m³/d，施工期约776m³。</w:t>
            </w:r>
          </w:p>
          <w:p w14:paraId="4EA53F95">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车辆及机械冲洗用水：施工区出入口设车辆冲洗设施，冲洗用水量约2m³/d，施工期约194m³。</w:t>
            </w:r>
          </w:p>
          <w:p w14:paraId="7438D9CF">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混凝土拌和系统冲洗用水：混凝土拌和系统（2处）每台班末冲洗，用水量约1.5m³/d，施工期约146m³。</w:t>
            </w:r>
          </w:p>
          <w:p w14:paraId="48F15768">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2）排水</w:t>
            </w:r>
          </w:p>
          <w:p w14:paraId="64562CE7">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本项目施工期废水主要为施工人员生活污水以及车辆、混凝土拌和系统清洗废水。</w:t>
            </w:r>
          </w:p>
          <w:p w14:paraId="2B0993FB">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生活污水：施工人员生活污水产生量按用水量的80%计算，施工期生活污水产生量约466m³。项目施工生活区设置防渗化粪池，定期由吸污车清运至莎车县污水处理厂，不外排地表水体。</w:t>
            </w:r>
          </w:p>
          <w:p w14:paraId="25D41B80">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施工废水：车辆冲洗废水和混凝土拌和系统冲洗废水产生量按用水量的90%计，产生量约306m³。施工区设置2座隔油沉淀池（单座容积3m³，钢混结构，工艺：隔油+沉淀），冲洗废水经隔油沉淀处理后，上清液回用于砼拌和养护或施工场地洒水降尘，不外排。</w:t>
            </w:r>
          </w:p>
          <w:p w14:paraId="4017B3B1">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基坑排水：下段施工时需进行施工排水。初期排水采用明沟排水，选用200WQ-250-15-18.5污水泵；经常性排水采用明沟排水+管井降水，共设降水井212眼，单井出水量约100m³/h，抽排水经沉淀后排入河道（水质无明显污染，主要为悬浮物）。</w:t>
            </w:r>
          </w:p>
          <w:p w14:paraId="3874D238">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（2）供电</w:t>
            </w:r>
          </w:p>
          <w:p w14:paraId="52E1ED8C">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本项目施工用电主要由沿线村庄电网接入，同时配备柴油发电机组作为备用电源和远离电网施工点的自备电源。</w:t>
            </w:r>
          </w:p>
          <w:p w14:paraId="4D8F7437">
            <w:pPr>
              <w:pStyle w:val="116"/>
              <w:ind w:firstLine="480"/>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电网供电：施工生产生活区、混凝土预制场、钢筋加工场等集中用电区域优先接入当地10kV电网，配置变压器及配电箱。</w:t>
            </w:r>
          </w:p>
          <w:p w14:paraId="2D55690F">
            <w:pPr>
              <w:pStyle w:val="116"/>
              <w:ind w:firstLine="480"/>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自备电源：根据施工组织设计，配备3台60kW柴油发电机组作为施工及生活用电源，用于施工排水（降水井抽水）、夜间照明及电网停电时的应急供电。</w:t>
            </w:r>
          </w:p>
        </w:tc>
      </w:tr>
      <w:tr w14:paraId="37AA79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728" w:type="dxa"/>
            <w:vAlign w:val="center"/>
          </w:tcPr>
          <w:p w14:paraId="7F9AE95E">
            <w:pPr>
              <w:spacing w:line="360" w:lineRule="auto"/>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总平面及现场布置</w:t>
            </w:r>
          </w:p>
        </w:tc>
        <w:tc>
          <w:tcPr>
            <w:tcW w:w="8362" w:type="dxa"/>
            <w:vAlign w:val="center"/>
          </w:tcPr>
          <w:p w14:paraId="4B138124">
            <w:pPr>
              <w:pStyle w:val="116"/>
              <w:ind w:firstLine="480"/>
              <w:rPr>
                <w:rFonts w:hint="default" w:ascii="Times New Roman" w:hAnsi="Times New Roman" w:eastAsia="宋体" w:cs="Times New Roman"/>
                <w:b/>
                <w:bCs/>
                <w:color w:val="000000" w:themeColor="text1"/>
                <w:spacing w:val="-2"/>
                <w14:textFill>
                  <w14:solidFill>
                    <w14:schemeClr w14:val="tx1"/>
                  </w14:solidFill>
                </w14:textFill>
              </w:rPr>
            </w:pPr>
            <w:r>
              <w:rPr>
                <w:rFonts w:hint="default" w:ascii="Times New Roman" w:hAnsi="Times New Roman" w:eastAsia="宋体" w:cs="Times New Roman"/>
                <w:b/>
                <w:bCs/>
                <w:color w:val="000000" w:themeColor="text1"/>
                <w:spacing w:val="-2"/>
                <w:lang w:val="en-US" w:eastAsia="zh-CN"/>
                <w14:textFill>
                  <w14:solidFill>
                    <w14:schemeClr w14:val="tx1"/>
                  </w14:solidFill>
                </w14:textFill>
              </w:rPr>
              <w:t>1</w:t>
            </w:r>
            <w:r>
              <w:rPr>
                <w:rFonts w:hint="default" w:ascii="Times New Roman" w:hAnsi="Times New Roman" w:eastAsia="宋体" w:cs="Times New Roman"/>
                <w:b/>
                <w:bCs/>
                <w:color w:val="000000" w:themeColor="text1"/>
                <w:spacing w:val="-2"/>
                <w14:textFill>
                  <w14:solidFill>
                    <w14:schemeClr w14:val="tx1"/>
                  </w14:solidFill>
                </w14:textFill>
              </w:rPr>
              <w:t>、总平面布置</w:t>
            </w:r>
          </w:p>
          <w:p w14:paraId="4F344322">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本工程位于莎车县阿扎特巴格镇叶尔羌河右岸，新建护岸总长6.22km，分为上段（K131+231～K131+771，长0.54km）和下段（K137+680～K143+360，长5.68km）。工程以规划河岸线为治导控制线，避让坝后基本农田和排渠设施，保证设计洪水顺畅通过。护岸轴线平顺，与已建阿扎特巴格防洪一期末点及亚洪旦渠首引水龙口平顺连接。</w:t>
            </w:r>
          </w:p>
          <w:p w14:paraId="252A5DFF">
            <w:pPr>
              <w:pStyle w:val="116"/>
              <w:ind w:firstLine="480"/>
              <w:rPr>
                <w:rFonts w:hint="default" w:ascii="Times New Roman" w:hAnsi="Times New Roman" w:eastAsia="宋体" w:cs="Times New Roman"/>
                <w:b/>
                <w:bCs/>
                <w:color w:val="000000" w:themeColor="text1"/>
                <w:spacing w:val="-2"/>
                <w14:textFill>
                  <w14:solidFill>
                    <w14:schemeClr w14:val="tx1"/>
                  </w14:solidFill>
                </w14:textFill>
              </w:rPr>
            </w:pPr>
            <w:r>
              <w:rPr>
                <w:rFonts w:hint="default" w:ascii="Times New Roman" w:hAnsi="Times New Roman" w:eastAsia="宋体" w:cs="Times New Roman"/>
                <w:b/>
                <w:bCs/>
                <w:color w:val="000000" w:themeColor="text1"/>
                <w:spacing w:val="-2"/>
                <w14:textFill>
                  <w14:solidFill>
                    <w14:schemeClr w14:val="tx1"/>
                  </w14:solidFill>
                </w14:textFill>
              </w:rPr>
              <w:t>2、施工布置情况</w:t>
            </w:r>
          </w:p>
          <w:p w14:paraId="755EF2C2">
            <w:pPr>
              <w:pStyle w:val="116"/>
              <w:ind w:firstLine="480"/>
              <w:rPr>
                <w:rFonts w:hint="default" w:ascii="Times New Roman" w:hAnsi="Times New Roman" w:eastAsia="宋体" w:cs="Times New Roman"/>
                <w:color w:val="000000" w:themeColor="text1"/>
                <w:spacing w:val="-2"/>
                <w:lang w:val="en-US" w:eastAsia="zh-CN"/>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根据工程施工特点，本工程施工布置划分为主体工程施工区、施工生产生活区、原料堆场、</w:t>
            </w:r>
            <w:r>
              <w:rPr>
                <w:rFonts w:hint="default" w:ascii="Times New Roman" w:hAnsi="Times New Roman" w:eastAsia="宋体" w:cs="Times New Roman"/>
                <w:color w:val="000000" w:themeColor="text1"/>
                <w:spacing w:val="-2"/>
                <w:lang w:eastAsia="zh-CN"/>
                <w14:textFill>
                  <w14:solidFill>
                    <w14:schemeClr w14:val="tx1"/>
                  </w14:solidFill>
                </w14:textFill>
              </w:rPr>
              <w:t>取（弃）土场区</w:t>
            </w:r>
            <w:r>
              <w:rPr>
                <w:rFonts w:hint="default" w:ascii="Times New Roman" w:hAnsi="Times New Roman" w:eastAsia="宋体" w:cs="Times New Roman"/>
                <w:color w:val="000000" w:themeColor="text1"/>
                <w:spacing w:val="-2"/>
                <w14:textFill>
                  <w14:solidFill>
                    <w14:schemeClr w14:val="tx1"/>
                  </w14:solidFill>
                </w14:textFill>
              </w:rPr>
              <w:t>、</w:t>
            </w:r>
            <w:r>
              <w:rPr>
                <w:rFonts w:hint="default" w:ascii="Times New Roman" w:hAnsi="Times New Roman" w:eastAsia="宋体" w:cs="Times New Roman"/>
                <w:color w:val="000000" w:themeColor="text1"/>
                <w:spacing w:val="-2"/>
                <w:lang w:val="en-US" w:eastAsia="zh-CN"/>
                <w14:textFill>
                  <w14:solidFill>
                    <w14:schemeClr w14:val="tx1"/>
                  </w14:solidFill>
                </w14:textFill>
              </w:rPr>
              <w:t>施工便道</w:t>
            </w:r>
            <w:r>
              <w:rPr>
                <w:rFonts w:hint="default" w:ascii="Times New Roman" w:hAnsi="Times New Roman" w:eastAsia="宋体" w:cs="Times New Roman"/>
                <w:color w:val="000000" w:themeColor="text1"/>
                <w:spacing w:val="-2"/>
                <w14:textFill>
                  <w14:solidFill>
                    <w14:schemeClr w14:val="tx1"/>
                  </w14:solidFill>
                </w14:textFill>
              </w:rPr>
              <w:t>、围堰工程区和施工排水区。施工车辆维修依托阿扎特巴格镇修理厂，施工区内不设维修厂。</w:t>
            </w:r>
            <w:r>
              <w:rPr>
                <w:rFonts w:hint="default" w:ascii="Times New Roman" w:hAnsi="Times New Roman" w:eastAsia="宋体" w:cs="Times New Roman"/>
                <w:color w:val="000000" w:themeColor="text1"/>
                <w:spacing w:val="-2"/>
                <w:lang w:val="en-US" w:eastAsia="zh-CN"/>
                <w14:textFill>
                  <w14:solidFill>
                    <w14:schemeClr w14:val="tx1"/>
                  </w14:solidFill>
                </w14:textFill>
              </w:rPr>
              <w:t>施工布置图见附图12</w:t>
            </w:r>
            <w:r>
              <w:rPr>
                <w:rFonts w:hint="default" w:ascii="Times New Roman" w:hAnsi="Times New Roman" w:eastAsia="宋体" w:cs="Times New Roman"/>
                <w:color w:val="000000" w:themeColor="text1"/>
                <w:spacing w:val="-2"/>
                <w14:textFill>
                  <w14:solidFill>
                    <w14:schemeClr w14:val="tx1"/>
                  </w14:solidFill>
                </w14:textFill>
              </w:rPr>
              <w:t>。</w:t>
            </w:r>
          </w:p>
          <w:p w14:paraId="0601F4A6">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（1）主体工程施工区</w:t>
            </w:r>
          </w:p>
          <w:p w14:paraId="53783D43">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主体工程施工区布置于河道右岸，围绕护岸布置，总长6.22km，宽30.5m，占地面积</w:t>
            </w:r>
            <w:r>
              <w:rPr>
                <w:rFonts w:hint="default" w:ascii="Times New Roman" w:hAnsi="Times New Roman" w:eastAsia="宋体" w:cs="Times New Roman"/>
                <w:color w:val="000000" w:themeColor="text1"/>
                <w:spacing w:val="-2"/>
                <w:lang w:val="en-US" w:eastAsia="zh-CN"/>
                <w14:textFill>
                  <w14:solidFill>
                    <w14:schemeClr w14:val="tx1"/>
                  </w14:solidFill>
                </w14:textFill>
              </w:rPr>
              <w:t>19.02</w:t>
            </w:r>
            <w:r>
              <w:rPr>
                <w:rFonts w:hint="default" w:ascii="Times New Roman" w:hAnsi="Times New Roman" w:eastAsia="宋体" w:cs="Times New Roman"/>
                <w:color w:val="000000" w:themeColor="text1"/>
                <w:spacing w:val="-2"/>
                <w14:textFill>
                  <w14:solidFill>
                    <w14:schemeClr w14:val="tx1"/>
                  </w14:solidFill>
                </w14:textFill>
              </w:rPr>
              <w:t>hm²。主要进行基础清理、土方开挖与回填、堤身填筑、格宾石笼及雷诺护垫施工等。</w:t>
            </w:r>
          </w:p>
          <w:p w14:paraId="76E354B8">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（2）施工生产生活区</w:t>
            </w:r>
          </w:p>
          <w:p w14:paraId="6AB3CC3E">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设置2处施工生产生活区，分别位于右岸K131+771和K140+800堤后空地，主要布置施工仓库、临时生活区及停车场等。因工期较短，设施以彩板房、帐篷和工棚为主，总占地面积0.15hm²。</w:t>
            </w:r>
          </w:p>
          <w:p w14:paraId="35031E70">
            <w:pPr>
              <w:spacing w:line="360" w:lineRule="auto"/>
              <w:ind w:firstLine="480" w:firstLineChars="200"/>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本项目</w:t>
            </w:r>
            <w:r>
              <w:rPr>
                <w:rFonts w:hint="default" w:ascii="Times New Roman" w:hAnsi="Times New Roman" w:eastAsia="宋体" w:cs="Times New Roman"/>
                <w:color w:val="000000" w:themeColor="text1"/>
                <w:sz w:val="24"/>
                <w:lang w:eastAsia="zh-CN"/>
                <w14:textFill>
                  <w14:solidFill>
                    <w14:schemeClr w14:val="tx1"/>
                  </w14:solidFill>
                </w14:textFill>
              </w:rPr>
              <w:t>管理人员及技术工人约30人（驻场），机械操作手约40人（多数为当地居民，不住宿），普工及临时工约130人（基本为阿扎特巴格镇及周边村民，通勤上下班），因此，实际需要在施工区住宿的人员约50人，采用双层彩板房（每层10间，每间4人，共80床位），可满足需求。其余150人不在施工区住宿，仅白天作业，夜间返回家中</w:t>
            </w:r>
          </w:p>
          <w:p w14:paraId="151CF0D2">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（3）原料堆场</w:t>
            </w:r>
          </w:p>
          <w:p w14:paraId="686723B3">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设置2处原料堆场，与施工作业区合建，面积</w:t>
            </w:r>
            <w:r>
              <w:rPr>
                <w:rFonts w:hint="default" w:ascii="Times New Roman" w:hAnsi="Times New Roman" w:eastAsia="宋体" w:cs="Times New Roman"/>
                <w:color w:val="000000" w:themeColor="text1"/>
                <w:spacing w:val="-2"/>
                <w:lang w:val="en-US" w:eastAsia="zh-CN"/>
                <w14:textFill>
                  <w14:solidFill>
                    <w14:schemeClr w14:val="tx1"/>
                  </w14:solidFill>
                </w14:textFill>
              </w:rPr>
              <w:t>3.09</w:t>
            </w:r>
            <w:r>
              <w:rPr>
                <w:rFonts w:hint="default" w:ascii="Times New Roman" w:hAnsi="Times New Roman" w:eastAsia="宋体" w:cs="Times New Roman"/>
                <w:color w:val="000000" w:themeColor="text1"/>
                <w:spacing w:val="-2"/>
                <w14:textFill>
                  <w14:solidFill>
                    <w14:schemeClr w14:val="tx1"/>
                  </w14:solidFill>
                </w14:textFill>
              </w:rPr>
              <w:t>hm²。用于储存混凝土粗、细骨料、袋装水泥等。堆场四周设置围挡，堆体采用防尘网覆盖，定期洒水抑尘。</w:t>
            </w:r>
          </w:p>
          <w:p w14:paraId="71F43060">
            <w:pPr>
              <w:pStyle w:val="116"/>
              <w:ind w:firstLine="480"/>
              <w:rPr>
                <w:rFonts w:hint="default" w:ascii="Times New Roman" w:hAnsi="Times New Roman" w:eastAsia="宋体" w:cs="Times New Roman"/>
                <w:color w:val="000000" w:themeColor="text1"/>
                <w:spacing w:val="-2"/>
                <w:lang w:eastAsia="zh-CN"/>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（4）</w:t>
            </w:r>
            <w:r>
              <w:rPr>
                <w:rFonts w:hint="default" w:ascii="Times New Roman" w:hAnsi="Times New Roman" w:eastAsia="宋体" w:cs="Times New Roman"/>
                <w:color w:val="000000" w:themeColor="text1"/>
                <w:spacing w:val="-2"/>
                <w:lang w:eastAsia="zh-CN"/>
                <w14:textFill>
                  <w14:solidFill>
                    <w14:schemeClr w14:val="tx1"/>
                  </w14:solidFill>
                </w14:textFill>
              </w:rPr>
              <w:t>取（弃）土场区</w:t>
            </w:r>
          </w:p>
          <w:p w14:paraId="26809680">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取（弃）土料场工程区河段右岸未利用地块处，料场坐标东经77°30'41"，北纬38°42'14"。工程所需土料场规划料场开采深度1.5m，开采边坡1:1.5，占地面积</w:t>
            </w:r>
            <w:r>
              <w:rPr>
                <w:rFonts w:hint="default" w:ascii="Times New Roman" w:hAnsi="Times New Roman" w:eastAsia="宋体" w:cs="Times New Roman"/>
                <w:color w:val="000000" w:themeColor="text1"/>
                <w:spacing w:val="-2"/>
                <w:lang w:val="en-US" w:eastAsia="zh-CN"/>
                <w14:textFill>
                  <w14:solidFill>
                    <w14:schemeClr w14:val="tx1"/>
                  </w14:solidFill>
                </w14:textFill>
              </w:rPr>
              <w:t>3.06</w:t>
            </w:r>
            <w:r>
              <w:rPr>
                <w:rFonts w:hint="default" w:ascii="Times New Roman" w:hAnsi="Times New Roman" w:eastAsia="宋体" w:cs="Times New Roman"/>
                <w:color w:val="000000" w:themeColor="text1"/>
                <w:spacing w:val="-2"/>
                <w14:textFill>
                  <w14:solidFill>
                    <w14:schemeClr w14:val="tx1"/>
                  </w14:solidFill>
                </w14:textFill>
              </w:rPr>
              <w:t>hm²。</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本工程利用已设的取（弃）土场同步作为临时堆场</w:t>
            </w:r>
            <w:r>
              <w:rPr>
                <w:rFonts w:hint="default" w:ascii="Times New Roman" w:hAnsi="Times New Roman" w:eastAsia="宋体" w:cs="Times New Roman"/>
                <w:i w:val="0"/>
                <w:iCs w:val="0"/>
                <w:caps w:val="0"/>
                <w:color w:val="000000" w:themeColor="text1"/>
                <w:spacing w:val="0"/>
                <w:sz w:val="24"/>
                <w:szCs w:val="24"/>
                <w:shd w:val="clear" w:fill="FFFFFF"/>
                <w:lang w:eastAsia="zh-CN"/>
                <w14:textFill>
                  <w14:solidFill>
                    <w14:schemeClr w14:val="tx1"/>
                  </w14:solidFill>
                </w14:textFill>
              </w:rPr>
              <w:t>，</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其中专门划设1.06hm²作为清废除土临时堆存区（堆高≤3m，边坡1:1.5）。</w:t>
            </w:r>
          </w:p>
          <w:p w14:paraId="2BF8F0E3">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（5）施工便道</w:t>
            </w:r>
          </w:p>
          <w:p w14:paraId="4D8CA0B8">
            <w:pPr>
              <w:pStyle w:val="116"/>
              <w:ind w:firstLine="480"/>
              <w:rPr>
                <w:rFonts w:hint="default" w:ascii="Times New Roman" w:hAnsi="Times New Roman" w:eastAsia="宋体" w:cs="Times New Roman"/>
                <w:color w:val="000000" w:themeColor="text1"/>
                <w:spacing w:val="-2"/>
                <w:lang w:val="en-US" w:eastAsia="zh-CN"/>
                <w14:textFill>
                  <w14:solidFill>
                    <w14:schemeClr w14:val="tx1"/>
                  </w14:solidFill>
                </w14:textFill>
              </w:rPr>
            </w:pPr>
            <w:r>
              <w:rPr>
                <w:rFonts w:hint="default" w:ascii="Times New Roman" w:hAnsi="Times New Roman" w:eastAsia="宋体" w:cs="Times New Roman"/>
                <w:color w:val="000000" w:themeColor="text1"/>
                <w:spacing w:val="-2"/>
                <w:lang w:val="en-US" w:eastAsia="zh-CN"/>
                <w14:textFill>
                  <w14:solidFill>
                    <w14:schemeClr w14:val="tx1"/>
                  </w14:solidFill>
                </w14:textFill>
              </w:rPr>
              <w:t>施工便道：沿护岸背水侧布置临时道路，长6.22km，路基宽7m，路面宽4m，泥结碎石硬化，占地面积</w:t>
            </w:r>
            <w:r>
              <w:rPr>
                <w:rFonts w:hint="eastAsia" w:ascii="Times New Roman" w:hAnsi="Times New Roman" w:cs="Times New Roman"/>
                <w:color w:val="000000" w:themeColor="text1"/>
                <w:spacing w:val="-2"/>
                <w:lang w:val="en-US" w:eastAsia="zh-CN"/>
                <w14:textFill>
                  <w14:solidFill>
                    <w14:schemeClr w14:val="tx1"/>
                  </w14:solidFill>
                </w14:textFill>
              </w:rPr>
              <w:t>4.351</w:t>
            </w:r>
            <w:r>
              <w:rPr>
                <w:rFonts w:hint="default" w:ascii="Times New Roman" w:hAnsi="Times New Roman" w:eastAsia="宋体" w:cs="Times New Roman"/>
                <w:color w:val="000000" w:themeColor="text1"/>
                <w:spacing w:val="-2"/>
                <w:lang w:val="en-US" w:eastAsia="zh-CN"/>
                <w14:textFill>
                  <w14:solidFill>
                    <w14:schemeClr w14:val="tx1"/>
                  </w14:solidFill>
                </w14:textFill>
              </w:rPr>
              <w:t>hm²。施工便道分段规划如下：</w:t>
            </w:r>
          </w:p>
          <w:p w14:paraId="74FEA7BD">
            <w:pPr>
              <w:pStyle w:val="116"/>
              <w:ind w:firstLine="480"/>
              <w:rPr>
                <w:rFonts w:hint="default" w:ascii="Times New Roman" w:hAnsi="Times New Roman" w:eastAsia="宋体" w:cs="Times New Roman"/>
                <w:color w:val="000000" w:themeColor="text1"/>
                <w:spacing w:val="-2"/>
                <w:lang w:val="en-US" w:eastAsia="zh-CN"/>
                <w14:textFill>
                  <w14:solidFill>
                    <w14:schemeClr w14:val="tx1"/>
                  </w14:solidFill>
                </w14:textFill>
              </w:rPr>
            </w:pPr>
            <w:r>
              <w:rPr>
                <w:rFonts w:hint="default" w:ascii="Times New Roman" w:hAnsi="Times New Roman" w:eastAsia="宋体" w:cs="Times New Roman"/>
                <w:color w:val="000000" w:themeColor="text1"/>
                <w:spacing w:val="-2"/>
                <w:lang w:val="en-US" w:eastAsia="zh-CN"/>
                <w14:textFill>
                  <w14:solidFill>
                    <w14:schemeClr w14:val="tx1"/>
                  </w14:solidFill>
                </w14:textFill>
              </w:rPr>
              <w:t>保留路段：上段K131+231～K131+771（0.54km）及下段K137+680～K138+200（0.52km）共1.06km，施工结束后作为永久管理道路使用，用于堤防日常巡查、防汛物资运输及应急抢险通行。保留路段路面结构维持泥结碎石不变，两侧设置排水沟。</w:t>
            </w:r>
          </w:p>
          <w:p w14:paraId="11CE2535">
            <w:pPr>
              <w:pStyle w:val="116"/>
              <w:ind w:firstLine="480"/>
              <w:rPr>
                <w:rFonts w:hint="default" w:ascii="Times New Roman" w:hAnsi="Times New Roman" w:eastAsia="宋体" w:cs="Times New Roman"/>
                <w:color w:val="000000" w:themeColor="text1"/>
                <w:spacing w:val="-2"/>
                <w:lang w:val="en-US" w:eastAsia="zh-CN"/>
                <w14:textFill>
                  <w14:solidFill>
                    <w14:schemeClr w14:val="tx1"/>
                  </w14:solidFill>
                </w14:textFill>
              </w:rPr>
            </w:pPr>
            <w:r>
              <w:rPr>
                <w:rFonts w:hint="default" w:ascii="Times New Roman" w:hAnsi="Times New Roman" w:eastAsia="宋体" w:cs="Times New Roman"/>
                <w:color w:val="000000" w:themeColor="text1"/>
                <w:spacing w:val="-2"/>
                <w:lang w:val="en-US" w:eastAsia="zh-CN"/>
                <w14:textFill>
                  <w14:solidFill>
                    <w14:schemeClr w14:val="tx1"/>
                  </w14:solidFill>
                </w14:textFill>
              </w:rPr>
              <w:t>恢复路段：其余5.16km施工结束后全部拆除，进行生态恢复。恢复措施包括：①拆除路面结构层，清运建筑垃圾至莎车县建筑垃圾填埋场；②对路基占压区进行深翻（30～40cm），去除压实层；③表土回覆（施工前已剥离的表土单独堆存）；④播撒乡土草籽（披碱草、冰草等），每平方米播种量15g；⑤设置警示围栏，恢复期2年，定期监测植被覆盖度，要求第三年覆盖度不低于周边自然草地的70%。</w:t>
            </w:r>
          </w:p>
          <w:p w14:paraId="25A1F9F2">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（6）围堰工程区</w:t>
            </w:r>
          </w:p>
          <w:p w14:paraId="338E5472">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下段（K137+680～K143+360）河滩高程低于施工期水位，需设置临时围堰。围堰布置于河道内，总长5.812km，顶宽5m，两侧边坡1:2，高2m，占地面积8.44hm²。围堰采用河道开挖土料填筑，塑膜防渗+袋装土护面，施工结束后拆除，土料平摊至河床低洼处。</w:t>
            </w:r>
          </w:p>
          <w:p w14:paraId="7439A3E0">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（7）施工排水区</w:t>
            </w:r>
          </w:p>
          <w:p w14:paraId="28D070FA">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下段施工需进行施工排水。在基坑外5m处布置降水井，井间距27m，单井深度20m，共设降水井212眼（含2眼备用井），井管为外径420mm、内径340mm预制混凝土滤水管。单井出水量约100m³/h。同时布置明沟排水系统。</w:t>
            </w:r>
          </w:p>
          <w:p w14:paraId="32EA3344">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沉淀池建设要求：在降水井总排水口下游设置2座串联沉淀池（单座容积15m³，总容积30m³），采用钢混结构，池底及侧壁进行防渗处理（等效黏土防渗层Mb≥1.5m，渗透系数K≤1.0×10⁻⁷cm/s）。沉淀池设置两级沉淀，水力停留时间不小于2小时。沉淀池出水悬浮物浓度应降至50mg/L以下后方可排入河道。施工期间每日对沉淀池出水进行目视检查，每周取样检测悬浮物一次。</w:t>
            </w:r>
          </w:p>
          <w:p w14:paraId="4D5AB15B">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施工结束后处置：</w:t>
            </w:r>
          </w:p>
          <w:p w14:paraId="5C545BF2">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降水井：施工结束后，用原土回填降水井井孔，回填深度至地面以下1m，上部1m采用粘土夯实封堵，防止形成地下水污染通道。井管不拔出，保留于地下。</w:t>
            </w:r>
          </w:p>
          <w:p w14:paraId="7E4D2132">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沉淀池：施工结束后拆除沉淀池结构，混凝土废渣运至莎车县建筑垃圾填埋场，场地平整后表土回覆，恢复为原地类（草地/耕地）。</w:t>
            </w:r>
          </w:p>
          <w:p w14:paraId="5E14E5FA">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明沟排水系统：回填平整，恢复原貌</w:t>
            </w:r>
          </w:p>
          <w:p w14:paraId="092C3085">
            <w:pPr>
              <w:pStyle w:val="116"/>
              <w:ind w:left="0" w:leftChars="0" w:firstLine="0" w:firstLineChars="0"/>
              <w:rPr>
                <w:rFonts w:hint="default" w:ascii="Times New Roman" w:hAnsi="Times New Roman" w:eastAsia="宋体" w:cs="Times New Roman"/>
                <w:color w:val="000000" w:themeColor="text1"/>
                <w:kern w:val="0"/>
                <w:sz w:val="24"/>
                <w:szCs w:val="24"/>
                <w:lang w:val="en-US" w:eastAsia="zh-CN" w:bidi="ar-SA"/>
                <w14:textFill>
                  <w14:solidFill>
                    <w14:schemeClr w14:val="tx1"/>
                  </w14:solidFill>
                </w14:textFill>
              </w:rPr>
            </w:pPr>
          </w:p>
        </w:tc>
      </w:tr>
      <w:tr w14:paraId="510560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28" w:type="dxa"/>
            <w:vAlign w:val="center"/>
          </w:tcPr>
          <w:p w14:paraId="418282A1">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施工方案</w:t>
            </w:r>
          </w:p>
        </w:tc>
        <w:tc>
          <w:tcPr>
            <w:tcW w:w="8362" w:type="dxa"/>
            <w:vAlign w:val="center"/>
          </w:tcPr>
          <w:p w14:paraId="5C2D596D">
            <w:pPr>
              <w:pStyle w:val="116"/>
              <w:ind w:firstLine="480"/>
              <w:rPr>
                <w:rFonts w:hint="default" w:ascii="Times New Roman" w:hAnsi="Times New Roman" w:eastAsia="宋体" w:cs="Times New Roman"/>
                <w:b/>
                <w:bCs/>
                <w:color w:val="000000" w:themeColor="text1"/>
                <w:sz w:val="24"/>
                <w:szCs w:val="24"/>
                <w14:textFill>
                  <w14:solidFill>
                    <w14:schemeClr w14:val="tx1"/>
                  </w14:solidFill>
                </w14:textFill>
              </w:rPr>
            </w:pPr>
            <w:r>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t>1</w:t>
            </w:r>
            <w:r>
              <w:rPr>
                <w:rFonts w:hint="default" w:ascii="Times New Roman" w:hAnsi="Times New Roman" w:eastAsia="宋体" w:cs="Times New Roman"/>
                <w:b/>
                <w:bCs/>
                <w:color w:val="000000" w:themeColor="text1"/>
                <w:sz w:val="24"/>
                <w:szCs w:val="24"/>
                <w14:textFill>
                  <w14:solidFill>
                    <w14:schemeClr w14:val="tx1"/>
                  </w14:solidFill>
                </w14:textFill>
              </w:rPr>
              <w:t>施工工艺</w:t>
            </w:r>
          </w:p>
          <w:p w14:paraId="7DF6FECD">
            <w:pPr>
              <w:pStyle w:val="116"/>
              <w:ind w:firstLine="480"/>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本项目运营期主要作用为防洪，主要污染发生在施工期，主要</w:t>
            </w:r>
            <w:r>
              <w:rPr>
                <w:rFonts w:hint="default" w:ascii="Times New Roman" w:hAnsi="Times New Roman" w:eastAsia="宋体" w:cs="Times New Roman"/>
                <w:color w:val="000000" w:themeColor="text1"/>
                <w:spacing w:val="-3"/>
                <w14:textFill>
                  <w14:solidFill>
                    <w14:schemeClr w14:val="tx1"/>
                  </w14:solidFill>
                </w14:textFill>
              </w:rPr>
              <w:t>施工内容有：</w:t>
            </w:r>
            <w:r>
              <w:rPr>
                <w:rFonts w:hint="default" w:ascii="Times New Roman" w:hAnsi="Times New Roman" w:eastAsia="宋体" w:cs="Times New Roman"/>
                <w:color w:val="000000" w:themeColor="text1"/>
                <w:spacing w:val="-1"/>
                <w14:textFill>
                  <w14:solidFill>
                    <w14:schemeClr w14:val="tx1"/>
                  </w14:solidFill>
                </w14:textFill>
              </w:rPr>
              <w:t>土方开挖、围堰导流、土方填筑、砼施工、铅丝石笼的施工等。</w:t>
            </w:r>
            <w:r>
              <w:rPr>
                <w:rFonts w:hint="default" w:ascii="Times New Roman" w:hAnsi="Times New Roman" w:eastAsia="宋体" w:cs="Times New Roman"/>
                <w:color w:val="000000" w:themeColor="text1"/>
                <w:sz w:val="24"/>
                <w:szCs w:val="24"/>
                <w14:textFill>
                  <w14:solidFill>
                    <w14:schemeClr w14:val="tx1"/>
                  </w14:solidFill>
                </w14:textFill>
              </w:rPr>
              <w:t>施工工艺流程见图</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2-1</w:t>
            </w:r>
            <w:r>
              <w:rPr>
                <w:rFonts w:hint="default" w:ascii="Times New Roman" w:hAnsi="Times New Roman" w:eastAsia="宋体" w:cs="Times New Roman"/>
                <w:color w:val="000000" w:themeColor="text1"/>
                <w:sz w:val="24"/>
                <w:szCs w:val="24"/>
                <w14:textFill>
                  <w14:solidFill>
                    <w14:schemeClr w14:val="tx1"/>
                  </w14:solidFill>
                </w14:textFill>
              </w:rPr>
              <w:t>。</w:t>
            </w:r>
          </w:p>
          <w:p w14:paraId="1D796F4F">
            <w:pPr>
              <w:spacing w:line="147" w:lineRule="exact"/>
              <w:rPr>
                <w:rFonts w:hint="default" w:ascii="Times New Roman" w:hAnsi="Times New Roman" w:eastAsia="宋体" w:cs="Times New Roman"/>
                <w:color w:val="000000" w:themeColor="text1"/>
                <w14:textFill>
                  <w14:solidFill>
                    <w14:schemeClr w14:val="tx1"/>
                  </w14:solidFill>
                </w14:textFill>
              </w:rPr>
            </w:pPr>
          </w:p>
          <w:p w14:paraId="502E4AA0">
            <w:pPr>
              <w:pStyle w:val="149"/>
              <w:keepNext w:val="0"/>
              <w:keepLines w:val="0"/>
              <w:pageBreakBefore w:val="0"/>
              <w:widowControl/>
              <w:kinsoku w:val="0"/>
              <w:wordWrap/>
              <w:overflowPunct/>
              <w:topLinePunct w:val="0"/>
              <w:autoSpaceDE w:val="0"/>
              <w:autoSpaceDN w:val="0"/>
              <w:bidi w:val="0"/>
              <w:adjustRightInd w:val="0"/>
              <w:snapToGrid w:val="0"/>
              <w:spacing w:line="360" w:lineRule="auto"/>
              <w:ind w:left="0"/>
              <w:jc w:val="center"/>
              <w:textAlignment w:val="baseline"/>
              <w:rPr>
                <w:rFonts w:hint="default" w:ascii="Times New Roman" w:hAnsi="Times New Roman" w:eastAsia="宋体" w:cs="Times New Roman"/>
                <w:color w:val="000000" w:themeColor="text1"/>
                <w:position w:val="-58"/>
                <w14:textFill>
                  <w14:solidFill>
                    <w14:schemeClr w14:val="tx1"/>
                  </w14:solidFill>
                </w14:textFill>
              </w:rPr>
            </w:pPr>
            <w:r>
              <w:rPr>
                <w:rFonts w:hint="default" w:ascii="Times New Roman" w:hAnsi="Times New Roman" w:eastAsia="宋体" w:cs="Times New Roman"/>
                <w:color w:val="000000" w:themeColor="text1"/>
                <w:position w:val="-58"/>
                <w14:textFill>
                  <w14:solidFill>
                    <w14:schemeClr w14:val="tx1"/>
                  </w14:solidFill>
                </w14:textFill>
              </w:rPr>
              <w:drawing>
                <wp:inline distT="0" distB="0" distL="0" distR="0">
                  <wp:extent cx="4587240" cy="2065655"/>
                  <wp:effectExtent l="0" t="0" r="3810" b="10795"/>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4"/>
                          <a:stretch>
                            <a:fillRect/>
                          </a:stretch>
                        </pic:blipFill>
                        <pic:spPr>
                          <a:xfrm>
                            <a:off x="0" y="0"/>
                            <a:ext cx="4587240" cy="2065655"/>
                          </a:xfrm>
                          <a:prstGeom prst="rect">
                            <a:avLst/>
                          </a:prstGeom>
                        </pic:spPr>
                      </pic:pic>
                    </a:graphicData>
                  </a:graphic>
                </wp:inline>
              </w:drawing>
            </w:r>
          </w:p>
          <w:p w14:paraId="30D62AA4">
            <w:pPr>
              <w:pStyle w:val="149"/>
              <w:keepNext w:val="0"/>
              <w:keepLines w:val="0"/>
              <w:pageBreakBefore w:val="0"/>
              <w:widowControl/>
              <w:kinsoku w:val="0"/>
              <w:wordWrap/>
              <w:overflowPunct/>
              <w:topLinePunct w:val="0"/>
              <w:autoSpaceDE w:val="0"/>
              <w:autoSpaceDN w:val="0"/>
              <w:bidi w:val="0"/>
              <w:adjustRightInd w:val="0"/>
              <w:snapToGrid w:val="0"/>
              <w:spacing w:line="360" w:lineRule="auto"/>
              <w:ind w:left="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pacing w:val="5"/>
                <w:sz w:val="21"/>
                <w:szCs w:val="21"/>
                <w14:textFill>
                  <w14:solidFill>
                    <w14:schemeClr w14:val="tx1"/>
                  </w14:solidFill>
                </w14:textFill>
              </w:rPr>
              <w:t>图</w:t>
            </w:r>
            <w:r>
              <w:rPr>
                <w:rFonts w:hint="default" w:ascii="Times New Roman" w:hAnsi="Times New Roman" w:eastAsia="宋体" w:cs="Times New Roman"/>
                <w:b/>
                <w:bCs/>
                <w:color w:val="000000" w:themeColor="text1"/>
                <w:spacing w:val="5"/>
                <w:sz w:val="21"/>
                <w:szCs w:val="21"/>
                <w:lang w:val="en-US" w:eastAsia="zh-CN"/>
                <w14:textFill>
                  <w14:solidFill>
                    <w14:schemeClr w14:val="tx1"/>
                  </w14:solidFill>
                </w14:textFill>
              </w:rPr>
              <w:t>2-1</w:t>
            </w:r>
            <w:r>
              <w:rPr>
                <w:rFonts w:hint="default" w:ascii="Times New Roman" w:hAnsi="Times New Roman" w:eastAsia="宋体" w:cs="Times New Roman"/>
                <w:b/>
                <w:bCs/>
                <w:color w:val="000000" w:themeColor="text1"/>
                <w:spacing w:val="5"/>
                <w:sz w:val="21"/>
                <w:szCs w:val="21"/>
                <w14:textFill>
                  <w14:solidFill>
                    <w14:schemeClr w14:val="tx1"/>
                  </w14:solidFill>
                </w14:textFill>
              </w:rPr>
              <w:t>防洪工程工艺流程及产</w:t>
            </w:r>
            <w:r>
              <w:rPr>
                <w:rFonts w:hint="default" w:ascii="Times New Roman" w:hAnsi="Times New Roman" w:eastAsia="宋体" w:cs="Times New Roman"/>
                <w:b/>
                <w:bCs/>
                <w:color w:val="000000" w:themeColor="text1"/>
                <w:spacing w:val="4"/>
                <w:sz w:val="21"/>
                <w:szCs w:val="21"/>
                <w14:textFill>
                  <w14:solidFill>
                    <w14:schemeClr w14:val="tx1"/>
                  </w14:solidFill>
                </w14:textFill>
              </w:rPr>
              <w:t>污节点图</w:t>
            </w:r>
          </w:p>
          <w:p w14:paraId="4F54D241">
            <w:pPr>
              <w:pStyle w:val="149"/>
              <w:spacing w:before="168" w:line="359" w:lineRule="auto"/>
              <w:ind w:left="106" w:right="101" w:firstLine="480"/>
              <w:jc w:val="both"/>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施工工序：基础清理—土方开挖—导流围堰施工—堤身填筑—坝基清理—混凝土施工—格宾石笼网施工—输水涵管施工—场地清理—完工待验（机械为主，人工为辅）。</w:t>
            </w:r>
          </w:p>
          <w:p w14:paraId="78B9301C">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（1）基础清理</w:t>
            </w:r>
          </w:p>
          <w:p w14:paraId="40E5483A">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根据现场情况采用机械和人工配合清理，清基边界在设计基面边线外30cm，需对基面的淤泥、腐殖土、泥炭土等不合格土和草皮、杂植土等杂物必须清除，对表层30cm厚土层进行清废。本着尽量利用的原则，覆盖层料可以用于基础回填。</w:t>
            </w:r>
          </w:p>
          <w:p w14:paraId="6AE3E7A7">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（2）土方开挖</w:t>
            </w:r>
          </w:p>
          <w:p w14:paraId="223D4A3B">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开挖采用1m³和2m³挖掘机，59kW～74kW推土机配合。其中，用于坡脚回填的利用料采用1m³挖掘机挖甩至坡脚开挖线外侧备用；用于岸坡和护岸填筑的利用料，以及基础开挖料，采用2.75m³铲运机铲运50m作为压盖土方临时堆放。人工修整边坡，细部结构采用人工开挖，单层开挖深度不得大于1m，采用阶梯式分层开挖，开挖边坡为1∶3.0（坝堤侧）～1∶1.5（另一侧）。坝坡侧应预留20cm的保护层，以便人工削坡修整。</w:t>
            </w:r>
          </w:p>
          <w:p w14:paraId="5F1FD6D9">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（3）导流围堰施工</w:t>
            </w:r>
          </w:p>
          <w:p w14:paraId="72C9253D">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本工程K137+680～K143+360段河滩高程低于施工期水位，需设置导流围堰，其余段不需要设置导流围堰。桩号K137+680～K143+360段围堰采用河道覆土土料填筑的土石围堰结构，围堰设计边坡1∶2.0，围顶宽设计为5.0m，围堰高2.0m，围堰内坡线距开挖线大于0.5m。围堰采用0.3mm厚塑膜防渗，塑膜上铺设30cm厚袋装土防冲，塑膜及装土袋铺设至围堰顶部高程。</w:t>
            </w:r>
          </w:p>
          <w:p w14:paraId="48DEBA47">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（4）堤身填筑</w:t>
            </w:r>
          </w:p>
          <w:p w14:paraId="3C7A06E6">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利用就近利用土方开挖料（挖方利用，Ⅰ-Ⅱ类土），不足部分从附近河漫滩、河心滩地借料或从指定的合格土料场（工程区河段右岸未利用地块处）外购补充。分层碾压填筑，每层的压实厚度不大于30cm。选用2m³挖掘机挖装10t自卸汽车运输上堤，堤身压实采用74kW推土机平摊，13.5t振动碾压实，低液限粉土压实度不小于0.91，细砂压实后的相对密度不小于0.70，成形后人工削坡。回填采用推土机或装载机配合1m³或2m³挖掘机进行基础土方回填，为防止整体回填出现回填不均匀，回填时应分层填筑。</w:t>
            </w:r>
          </w:p>
          <w:p w14:paraId="36FDBC89">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（5）坝基清理</w:t>
            </w:r>
          </w:p>
          <w:p w14:paraId="39E528AD">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堤防清废采用1m³反铲挖掘机配合74kW推土机推至堤外侧坝后由自卸卡车运至临时堆料场堆存，清废厚度30cm。</w:t>
            </w:r>
          </w:p>
          <w:p w14:paraId="1A024FDA">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（6）混凝土施工</w:t>
            </w:r>
          </w:p>
          <w:p w14:paraId="22B54635">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本工程混凝土主要为预制路沿石、里程桩及四面六边体透水框架，均为预制砼，现场设小型混凝土拌和站。预制场加工，10t汽车吊吊装15t载重汽车运至施工点，现场采用10t汽车吊吊装就位，人工辅助。</w:t>
            </w:r>
          </w:p>
          <w:p w14:paraId="428C8255">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（7）格宾石笼施工</w:t>
            </w:r>
          </w:p>
          <w:p w14:paraId="03AC95B9">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将从指定料场采购的卵石和成品格宾石笼运至填筑好的堤顶或是相对宽敞的河道旁；成品格宾石笼采用5t～10t汽车吊吊装到位，将成品格宾石笼网箱平放到基面上，排放方正、整齐，相邻网箱每隔20～30cm用镀锌钢丝绑扎牢固；通过机械配合2m³装载机投料、人工辅助，将卵石填入格宾石笼中，填充必须密实，石料粒径以10～20cm为宜（格宾石笼孔目为80×100mm），小于10cm的粒径不超过15%；填充石料时每组空格须同时均匀投料，保证网箱方正；绑扎格宾石笼网箱封盖，使得每块格宾石笼相互连接，构成整体；网箱封盖后上部缝隙回填土壤并高出箱顶5～10cm。</w:t>
            </w:r>
          </w:p>
          <w:p w14:paraId="6BDA178C">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（8）输水涵管施工</w:t>
            </w:r>
          </w:p>
          <w:p w14:paraId="11E82DF2">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本工程无输水涵管施工内容。退水口施工参照格宾石笼设计，与护岸顺接。</w:t>
            </w:r>
          </w:p>
          <w:p w14:paraId="38E4F92E">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（9）场地清理</w:t>
            </w:r>
          </w:p>
          <w:p w14:paraId="5FA3A336">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工程完成后对沿线场地内机械设备和建筑垃圾等进行清理。按照“先设备后结构、先地上后地下、先拆除非承重后拆除承重”的原则进行：第一步：拆除彩板房、工棚、机械设备，分类存放；第二步：拆除临时道路路面（泥结碎石），挖掘机配合装载机装车；第三步：拆除围堰，挖掘机挖除土料，塑膜及袋装土单独收集；第四步：拆除沉淀池、化粪池等混凝土结构，破碎后清运；第五步：回填降水井井孔（原土回填，顶部1m粘土夯实）；第六步：场地平整、表土回覆、植被恢复。</w:t>
            </w:r>
          </w:p>
          <w:p w14:paraId="05E2D03F">
            <w:pPr>
              <w:pStyle w:val="116"/>
              <w:ind w:firstLine="480"/>
              <w:rPr>
                <w:rFonts w:hint="default" w:ascii="Times New Roman" w:hAnsi="Times New Roman" w:eastAsia="宋体" w:cs="Times New Roman"/>
                <w:b/>
                <w:bCs/>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b/>
                <w:bCs/>
                <w:i w:val="0"/>
                <w:iCs w:val="0"/>
                <w:caps w:val="0"/>
                <w:color w:val="000000" w:themeColor="text1"/>
                <w:spacing w:val="0"/>
                <w:kern w:val="2"/>
                <w:sz w:val="24"/>
                <w:szCs w:val="24"/>
                <w:shd w:val="clear" w:fill="FFFFFF"/>
                <w:lang w:val="en-US" w:eastAsia="zh-CN" w:bidi="ar-SA"/>
                <w14:textFill>
                  <w14:solidFill>
                    <w14:schemeClr w14:val="tx1"/>
                  </w14:solidFill>
                </w14:textFill>
              </w:rPr>
              <w:t>2、施工时序、施工工期</w:t>
            </w:r>
          </w:p>
          <w:p w14:paraId="0ABC2F59">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施工总工期为97天，即2026年9月15日开工，2026年12月22日收尾完工。</w:t>
            </w:r>
          </w:p>
          <w:p w14:paraId="5107E9D6">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筹建期：筹建期为1个月，即2026年8月，由建设单位完成招标投标、施工合同签约等筹建工作。</w:t>
            </w:r>
          </w:p>
          <w:p w14:paraId="7FC7B8B7">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工程准备期：施工准备期2026年9月15日至9月30日，主要完成场内施工道路、水、电设施以及围堰工程的施工等。</w:t>
            </w:r>
          </w:p>
          <w:p w14:paraId="5439FCD2">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导流工程施工期：2026年9月中旬至10月上旬，根据工程施工标段划分及施工进度情况修建临时围堰；2026年11月下旬，根据工程标段完成情况拆除临时围堰。</w:t>
            </w:r>
          </w:p>
          <w:p w14:paraId="7AACF29E">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主体工程施工期：2026年10月1日至11月30日，主要工程项目有：护岸基础土方开挖、堤体填筑、基础格宾及坡面雷诺护垫护砌等。</w:t>
            </w:r>
          </w:p>
          <w:p w14:paraId="6D89F666">
            <w:pPr>
              <w:pStyle w:val="116"/>
              <w:ind w:firstLine="480"/>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工程完建期：2026年12月22日工程完工，本期内主要完成修整后坡、现场废渣清理等收尾工作。</w:t>
            </w:r>
          </w:p>
          <w:p w14:paraId="0CBFB28F">
            <w:pPr>
              <w:numPr>
                <w:ilvl w:val="0"/>
                <w:numId w:val="0"/>
              </w:numPr>
              <w:spacing w:line="360" w:lineRule="auto"/>
              <w:ind w:firstLine="482" w:firstLineChars="200"/>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t>3</w:t>
            </w:r>
            <w:r>
              <w:rPr>
                <w:rFonts w:hint="default" w:ascii="Times New Roman" w:hAnsi="Times New Roman" w:eastAsia="宋体" w:cs="Times New Roman"/>
                <w:b/>
                <w:color w:val="000000" w:themeColor="text1"/>
                <w:sz w:val="24"/>
                <w:highlight w:val="none"/>
                <w14:textFill>
                  <w14:solidFill>
                    <w14:schemeClr w14:val="tx1"/>
                  </w14:solidFill>
                </w14:textFill>
              </w:rPr>
              <w:t>土石方平衡</w:t>
            </w:r>
          </w:p>
          <w:p w14:paraId="225D7E4D">
            <w:pPr>
              <w:adjustRightInd/>
              <w:snapToGrid/>
              <w:spacing w:line="360" w:lineRule="auto"/>
              <w:ind w:firstLine="560"/>
              <w:rPr>
                <w:rFonts w:hint="default" w:ascii="Times New Roman" w:hAnsi="Times New Roman" w:eastAsia="宋体" w:cs="Times New Roman"/>
                <w:color w:val="000000" w:themeColor="text1"/>
                <w:kern w:val="0"/>
                <w:sz w:val="24"/>
                <w:szCs w:val="24"/>
                <w:highlight w:val="none"/>
                <w:lang w:val="zh-CN"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本项目土石方挖方总量为70.18万m³（其中一般土方开挖62.18万m³，表层清废8.00万m³），一般开挖土方全部被利用（利用方62.18万m³），主要用于护脚后土方压盖回填（45.69万m³）及堤身填筑（16.49万m³）；填筑总量不足部分需外借土石方15.40万m³（土方5.48万m³取自右岸T1土料场，石方</w:t>
            </w:r>
            <w:r>
              <w:rPr>
                <w:rFonts w:hint="default" w:ascii="Times New Roman" w:hAnsi="Times New Roman" w:eastAsia="宋体" w:cs="Times New Roman"/>
                <w:i w:val="0"/>
                <w:iCs w:val="0"/>
                <w:caps w:val="0"/>
                <w:color w:val="000000" w:themeColor="text1"/>
                <w:spacing w:val="0"/>
                <w:sz w:val="24"/>
                <w:szCs w:val="24"/>
                <w:shd w:val="clear" w:fill="FFFFFF"/>
                <w:lang w:eastAsia="zh-CN"/>
                <w14:textFill>
                  <w14:solidFill>
                    <w14:schemeClr w14:val="tx1"/>
                  </w14:solidFill>
                </w14:textFill>
              </w:rPr>
              <w:t>11.72万</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m³购自莎车鑫鑫砂石料场）；仅清废产生的8.00万m³弃土运至</w:t>
            </w:r>
            <w:r>
              <w:rPr>
                <w:rFonts w:hint="default" w:ascii="Times New Roman" w:hAnsi="Times New Roman" w:eastAsia="宋体" w:cs="Times New Roman"/>
                <w:i w:val="0"/>
                <w:iCs w:val="0"/>
                <w:caps w:val="0"/>
                <w:color w:val="000000" w:themeColor="text1"/>
                <w:spacing w:val="0"/>
                <w:sz w:val="24"/>
                <w:szCs w:val="24"/>
                <w:shd w:val="clear" w:fill="FFFFFF"/>
                <w:lang w:eastAsia="zh-CN"/>
                <w14:textFill>
                  <w14:solidFill>
                    <w14:schemeClr w14:val="tx1"/>
                  </w14:solidFill>
                </w14:textFill>
              </w:rPr>
              <w:t>取（弃）土场</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回填，无其他弃方，土石方综合利用率达88.6%。</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本工程土石方平衡见下表。</w:t>
            </w:r>
          </w:p>
          <w:p w14:paraId="65D8AD7D">
            <w:pPr>
              <w:spacing w:line="26" w:lineRule="exact"/>
              <w:rPr>
                <w:rFonts w:hint="default" w:ascii="Times New Roman" w:hAnsi="Times New Roman" w:eastAsia="宋体" w:cs="Times New Roman"/>
                <w:color w:val="000000" w:themeColor="text1"/>
                <w:highlight w:val="green"/>
                <w14:textFill>
                  <w14:solidFill>
                    <w14:schemeClr w14:val="tx1"/>
                  </w14:solidFill>
                </w14:textFill>
              </w:rPr>
            </w:pPr>
          </w:p>
          <w:p w14:paraId="068B1035">
            <w:pPr>
              <w:spacing w:before="59" w:line="227" w:lineRule="auto"/>
              <w:ind w:left="119"/>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5"/>
                <w:sz w:val="21"/>
                <w:szCs w:val="21"/>
                <w:highlight w:val="none"/>
                <w14:textFill>
                  <w14:solidFill>
                    <w14:schemeClr w14:val="tx1"/>
                  </w14:solidFill>
                </w14:textFill>
              </w:rPr>
              <w:t>表</w:t>
            </w:r>
            <w:r>
              <w:rPr>
                <w:rFonts w:hint="default" w:ascii="Times New Roman" w:hAnsi="Times New Roman" w:eastAsia="宋体" w:cs="Times New Roman"/>
                <w:b/>
                <w:bCs/>
                <w:color w:val="000000" w:themeColor="text1"/>
                <w:spacing w:val="5"/>
                <w:sz w:val="21"/>
                <w:szCs w:val="21"/>
                <w:highlight w:val="none"/>
                <w:lang w:val="en-US" w:eastAsia="zh-CN"/>
                <w14:textFill>
                  <w14:solidFill>
                    <w14:schemeClr w14:val="tx1"/>
                  </w14:solidFill>
                </w14:textFill>
              </w:rPr>
              <w:t>2-7</w:t>
            </w:r>
            <w:r>
              <w:rPr>
                <w:rFonts w:hint="default" w:ascii="Times New Roman" w:hAnsi="Times New Roman" w:eastAsia="宋体" w:cs="Times New Roman"/>
                <w:b/>
                <w:bCs/>
                <w:color w:val="000000" w:themeColor="text1"/>
                <w:spacing w:val="5"/>
                <w:sz w:val="21"/>
                <w:szCs w:val="21"/>
                <w:highlight w:val="none"/>
                <w14:textFill>
                  <w14:solidFill>
                    <w14:schemeClr w14:val="tx1"/>
                  </w14:solidFill>
                </w14:textFill>
              </w:rPr>
              <w:t>本工程土石方平衡表单位：万m³</w:t>
            </w:r>
          </w:p>
          <w:p w14:paraId="7A0CDA08">
            <w:pPr>
              <w:spacing w:line="27" w:lineRule="exact"/>
              <w:rPr>
                <w:rFonts w:hint="default" w:ascii="Times New Roman" w:hAnsi="Times New Roman" w:eastAsia="宋体" w:cs="Times New Roman"/>
                <w:color w:val="000000" w:themeColor="text1"/>
                <w:highlight w:val="none"/>
                <w14:textFill>
                  <w14:solidFill>
                    <w14:schemeClr w14:val="tx1"/>
                  </w14:solidFill>
                </w14:textFill>
              </w:rPr>
            </w:pPr>
          </w:p>
          <w:tbl>
            <w:tblPr>
              <w:tblStyle w:val="100"/>
              <w:tblW w:w="4999" w:type="pct"/>
              <w:tblInd w:w="6"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0" w:type="dxa"/>
                <w:bottom w:w="0" w:type="dxa"/>
                <w:right w:w="0" w:type="dxa"/>
              </w:tblCellMar>
            </w:tblPr>
            <w:tblGrid>
              <w:gridCol w:w="514"/>
              <w:gridCol w:w="549"/>
              <w:gridCol w:w="469"/>
              <w:gridCol w:w="549"/>
              <w:gridCol w:w="549"/>
              <w:gridCol w:w="546"/>
              <w:gridCol w:w="975"/>
              <w:gridCol w:w="549"/>
              <w:gridCol w:w="470"/>
              <w:gridCol w:w="515"/>
              <w:gridCol w:w="699"/>
              <w:gridCol w:w="472"/>
              <w:gridCol w:w="844"/>
              <w:gridCol w:w="910"/>
            </w:tblGrid>
            <w:tr w14:paraId="2B04C7E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89" w:type="dxa"/>
                  <w:vMerge w:val="restart"/>
                  <w:tcBorders>
                    <w:bottom w:val="nil"/>
                  </w:tcBorders>
                  <w:vAlign w:val="center"/>
                </w:tcPr>
                <w:p w14:paraId="31509411">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分区</w:t>
                  </w:r>
                </w:p>
              </w:tc>
              <w:tc>
                <w:tcPr>
                  <w:tcW w:w="1487" w:type="dxa"/>
                  <w:gridSpan w:val="3"/>
                  <w:vAlign w:val="center"/>
                </w:tcPr>
                <w:p w14:paraId="37976E22">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挖方</w:t>
                  </w:r>
                </w:p>
              </w:tc>
              <w:tc>
                <w:tcPr>
                  <w:tcW w:w="2485" w:type="dxa"/>
                  <w:gridSpan w:val="4"/>
                  <w:vAlign w:val="center"/>
                </w:tcPr>
                <w:p w14:paraId="49B53F2E">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利用方</w:t>
                  </w:r>
                </w:p>
              </w:tc>
              <w:tc>
                <w:tcPr>
                  <w:tcW w:w="2005" w:type="dxa"/>
                  <w:gridSpan w:val="4"/>
                  <w:vAlign w:val="center"/>
                </w:tcPr>
                <w:p w14:paraId="37BAFD2F">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借方</w:t>
                  </w:r>
                </w:p>
              </w:tc>
              <w:tc>
                <w:tcPr>
                  <w:tcW w:w="1665" w:type="dxa"/>
                  <w:gridSpan w:val="2"/>
                  <w:vAlign w:val="center"/>
                </w:tcPr>
                <w:p w14:paraId="74DCAF1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余（弃）方</w:t>
                  </w:r>
                </w:p>
              </w:tc>
            </w:tr>
            <w:tr w14:paraId="166FDE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36" w:hRule="atLeast"/>
              </w:trPr>
              <w:tc>
                <w:tcPr>
                  <w:tcW w:w="489" w:type="dxa"/>
                  <w:vMerge w:val="continue"/>
                  <w:tcBorders>
                    <w:top w:val="nil"/>
                  </w:tcBorders>
                  <w:vAlign w:val="center"/>
                </w:tcPr>
                <w:p w14:paraId="3818BA62">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21" w:type="dxa"/>
                  <w:vAlign w:val="center"/>
                </w:tcPr>
                <w:p w14:paraId="51E8479C">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挖方</w:t>
                  </w:r>
                </w:p>
              </w:tc>
              <w:tc>
                <w:tcPr>
                  <w:tcW w:w="445" w:type="dxa"/>
                  <w:vAlign w:val="center"/>
                </w:tcPr>
                <w:p w14:paraId="788AB86C">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清废</w:t>
                  </w:r>
                </w:p>
              </w:tc>
              <w:tc>
                <w:tcPr>
                  <w:tcW w:w="521" w:type="dxa"/>
                  <w:vAlign w:val="center"/>
                </w:tcPr>
                <w:p w14:paraId="37CC4C27">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小计</w:t>
                  </w:r>
                </w:p>
              </w:tc>
              <w:tc>
                <w:tcPr>
                  <w:tcW w:w="521" w:type="dxa"/>
                  <w:vAlign w:val="center"/>
                </w:tcPr>
                <w:p w14:paraId="2F5A1E69">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利用（土方压盖）</w:t>
                  </w:r>
                </w:p>
              </w:tc>
              <w:tc>
                <w:tcPr>
                  <w:tcW w:w="518" w:type="dxa"/>
                  <w:vAlign w:val="center"/>
                </w:tcPr>
                <w:p w14:paraId="5E6F5A9C">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利用(土方填筑)</w:t>
                  </w:r>
                </w:p>
              </w:tc>
              <w:tc>
                <w:tcPr>
                  <w:tcW w:w="925" w:type="dxa"/>
                  <w:vAlign w:val="center"/>
                </w:tcPr>
                <w:p w14:paraId="03A7C53A">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来源</w:t>
                  </w:r>
                </w:p>
              </w:tc>
              <w:tc>
                <w:tcPr>
                  <w:tcW w:w="521" w:type="dxa"/>
                  <w:vAlign w:val="center"/>
                </w:tcPr>
                <w:p w14:paraId="7E662E46">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小计</w:t>
                  </w:r>
                </w:p>
              </w:tc>
              <w:tc>
                <w:tcPr>
                  <w:tcW w:w="446" w:type="dxa"/>
                  <w:vAlign w:val="center"/>
                </w:tcPr>
                <w:p w14:paraId="7200F151">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土方</w:t>
                  </w:r>
                </w:p>
              </w:tc>
              <w:tc>
                <w:tcPr>
                  <w:tcW w:w="448" w:type="dxa"/>
                  <w:vAlign w:val="center"/>
                </w:tcPr>
                <w:p w14:paraId="02BA8328">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石方</w:t>
                  </w:r>
                </w:p>
              </w:tc>
              <w:tc>
                <w:tcPr>
                  <w:tcW w:w="663" w:type="dxa"/>
                  <w:vAlign w:val="center"/>
                </w:tcPr>
                <w:p w14:paraId="036C2737">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来源</w:t>
                  </w:r>
                </w:p>
              </w:tc>
              <w:tc>
                <w:tcPr>
                  <w:tcW w:w="448" w:type="dxa"/>
                  <w:vAlign w:val="center"/>
                </w:tcPr>
                <w:p w14:paraId="78D4D6B2">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合计</w:t>
                  </w:r>
                </w:p>
              </w:tc>
              <w:tc>
                <w:tcPr>
                  <w:tcW w:w="801" w:type="dxa"/>
                  <w:vAlign w:val="center"/>
                </w:tcPr>
                <w:p w14:paraId="411B5067">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弃方</w:t>
                  </w:r>
                </w:p>
              </w:tc>
              <w:tc>
                <w:tcPr>
                  <w:tcW w:w="864" w:type="dxa"/>
                  <w:vAlign w:val="center"/>
                </w:tcPr>
                <w:p w14:paraId="7C016202">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去向</w:t>
                  </w:r>
                </w:p>
              </w:tc>
            </w:tr>
            <w:tr w14:paraId="02ADF11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9" w:hRule="atLeast"/>
              </w:trPr>
              <w:tc>
                <w:tcPr>
                  <w:tcW w:w="489" w:type="dxa"/>
                  <w:vMerge w:val="restart"/>
                  <w:tcBorders>
                    <w:bottom w:val="nil"/>
                  </w:tcBorders>
                  <w:vAlign w:val="center"/>
                </w:tcPr>
                <w:p w14:paraId="7A12156B">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护岸工程区</w:t>
                  </w:r>
                </w:p>
              </w:tc>
              <w:tc>
                <w:tcPr>
                  <w:tcW w:w="521" w:type="dxa"/>
                  <w:vMerge w:val="restart"/>
                  <w:tcBorders>
                    <w:bottom w:val="nil"/>
                  </w:tcBorders>
                  <w:vAlign w:val="center"/>
                </w:tcPr>
                <w:p w14:paraId="0013ADA1">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51.44</w:t>
                  </w:r>
                </w:p>
              </w:tc>
              <w:tc>
                <w:tcPr>
                  <w:tcW w:w="445" w:type="dxa"/>
                  <w:vMerge w:val="restart"/>
                  <w:tcBorders>
                    <w:bottom w:val="nil"/>
                  </w:tcBorders>
                  <w:vAlign w:val="center"/>
                </w:tcPr>
                <w:p w14:paraId="4125D8F2">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8.00</w:t>
                  </w:r>
                </w:p>
              </w:tc>
              <w:tc>
                <w:tcPr>
                  <w:tcW w:w="521" w:type="dxa"/>
                  <w:vMerge w:val="restart"/>
                  <w:tcBorders>
                    <w:bottom w:val="nil"/>
                  </w:tcBorders>
                  <w:vAlign w:val="center"/>
                </w:tcPr>
                <w:p w14:paraId="153ED626">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59.44</w:t>
                  </w:r>
                </w:p>
              </w:tc>
              <w:tc>
                <w:tcPr>
                  <w:tcW w:w="521" w:type="dxa"/>
                  <w:vMerge w:val="restart"/>
                  <w:tcBorders>
                    <w:bottom w:val="nil"/>
                  </w:tcBorders>
                  <w:vAlign w:val="center"/>
                </w:tcPr>
                <w:p w14:paraId="1BF57132">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45.69</w:t>
                  </w:r>
                </w:p>
              </w:tc>
              <w:tc>
                <w:tcPr>
                  <w:tcW w:w="518" w:type="dxa"/>
                  <w:vMerge w:val="restart"/>
                  <w:tcBorders>
                    <w:bottom w:val="nil"/>
                  </w:tcBorders>
                  <w:vAlign w:val="center"/>
                </w:tcPr>
                <w:p w14:paraId="2F503A2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5.75</w:t>
                  </w:r>
                </w:p>
              </w:tc>
              <w:tc>
                <w:tcPr>
                  <w:tcW w:w="925" w:type="dxa"/>
                  <w:vMerge w:val="restart"/>
                  <w:tcBorders>
                    <w:bottom w:val="nil"/>
                  </w:tcBorders>
                  <w:vAlign w:val="center"/>
                </w:tcPr>
                <w:p w14:paraId="001EBB20">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工程区挖方</w:t>
                  </w:r>
                </w:p>
              </w:tc>
              <w:tc>
                <w:tcPr>
                  <w:tcW w:w="521" w:type="dxa"/>
                  <w:vMerge w:val="restart"/>
                  <w:tcBorders>
                    <w:bottom w:val="nil"/>
                  </w:tcBorders>
                  <w:vAlign w:val="center"/>
                </w:tcPr>
                <w:p w14:paraId="2E77F281">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51.44</w:t>
                  </w:r>
                </w:p>
              </w:tc>
              <w:tc>
                <w:tcPr>
                  <w:tcW w:w="446" w:type="dxa"/>
                  <w:vMerge w:val="restart"/>
                  <w:tcBorders>
                    <w:bottom w:val="nil"/>
                  </w:tcBorders>
                  <w:vAlign w:val="center"/>
                </w:tcPr>
                <w:p w14:paraId="10F4E1BC">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5.48</w:t>
                  </w:r>
                </w:p>
              </w:tc>
              <w:tc>
                <w:tcPr>
                  <w:tcW w:w="448" w:type="dxa"/>
                  <w:vMerge w:val="restart"/>
                  <w:tcBorders>
                    <w:bottom w:val="nil"/>
                  </w:tcBorders>
                  <w:vAlign w:val="center"/>
                </w:tcPr>
                <w:p w14:paraId="4431ABD2">
                  <w:pPr>
                    <w:pStyle w:val="114"/>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11.72</w:t>
                  </w:r>
                </w:p>
              </w:tc>
              <w:tc>
                <w:tcPr>
                  <w:tcW w:w="663" w:type="dxa"/>
                  <w:vAlign w:val="center"/>
                </w:tcPr>
                <w:p w14:paraId="512B8E8B">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土料场</w:t>
                  </w:r>
                </w:p>
              </w:tc>
              <w:tc>
                <w:tcPr>
                  <w:tcW w:w="448" w:type="dxa"/>
                  <w:vMerge w:val="restart"/>
                  <w:tcBorders>
                    <w:bottom w:val="nil"/>
                  </w:tcBorders>
                  <w:vAlign w:val="center"/>
                </w:tcPr>
                <w:p w14:paraId="0DFDA889">
                  <w:pPr>
                    <w:pStyle w:val="114"/>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17.2</w:t>
                  </w:r>
                </w:p>
              </w:tc>
              <w:tc>
                <w:tcPr>
                  <w:tcW w:w="801" w:type="dxa"/>
                  <w:vMerge w:val="restart"/>
                  <w:tcBorders>
                    <w:bottom w:val="nil"/>
                  </w:tcBorders>
                  <w:vAlign w:val="center"/>
                </w:tcPr>
                <w:p w14:paraId="5BBA8F54">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8.00</w:t>
                  </w:r>
                </w:p>
              </w:tc>
              <w:tc>
                <w:tcPr>
                  <w:tcW w:w="864" w:type="dxa"/>
                  <w:vMerge w:val="restart"/>
                  <w:tcBorders>
                    <w:bottom w:val="nil"/>
                  </w:tcBorders>
                  <w:vAlign w:val="center"/>
                </w:tcPr>
                <w:p w14:paraId="3865ED2B">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eastAsia="zh-CN"/>
                      <w14:textFill>
                        <w14:solidFill>
                          <w14:schemeClr w14:val="tx1"/>
                        </w14:solidFill>
                      </w14:textFill>
                    </w:rPr>
                    <w:t>取（弃）土场</w:t>
                  </w:r>
                </w:p>
              </w:tc>
            </w:tr>
            <w:tr w14:paraId="42F5DB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1" w:hRule="atLeast"/>
              </w:trPr>
              <w:tc>
                <w:tcPr>
                  <w:tcW w:w="489" w:type="dxa"/>
                  <w:vMerge w:val="continue"/>
                  <w:tcBorders>
                    <w:top w:val="nil"/>
                  </w:tcBorders>
                  <w:vAlign w:val="center"/>
                </w:tcPr>
                <w:p w14:paraId="2A6EA24F">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21" w:type="dxa"/>
                  <w:vMerge w:val="continue"/>
                  <w:tcBorders>
                    <w:top w:val="nil"/>
                  </w:tcBorders>
                  <w:vAlign w:val="center"/>
                </w:tcPr>
                <w:p w14:paraId="50F0F87F">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445" w:type="dxa"/>
                  <w:vMerge w:val="continue"/>
                  <w:tcBorders>
                    <w:top w:val="nil"/>
                  </w:tcBorders>
                  <w:vAlign w:val="center"/>
                </w:tcPr>
                <w:p w14:paraId="595D747C">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21" w:type="dxa"/>
                  <w:vMerge w:val="continue"/>
                  <w:tcBorders>
                    <w:top w:val="nil"/>
                  </w:tcBorders>
                  <w:vAlign w:val="center"/>
                </w:tcPr>
                <w:p w14:paraId="101CADF8">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21" w:type="dxa"/>
                  <w:vMerge w:val="continue"/>
                  <w:tcBorders>
                    <w:top w:val="nil"/>
                  </w:tcBorders>
                  <w:vAlign w:val="center"/>
                </w:tcPr>
                <w:p w14:paraId="79F2A36D">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18" w:type="dxa"/>
                  <w:vMerge w:val="continue"/>
                  <w:tcBorders>
                    <w:top w:val="nil"/>
                  </w:tcBorders>
                  <w:vAlign w:val="center"/>
                </w:tcPr>
                <w:p w14:paraId="3C7A0453">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925" w:type="dxa"/>
                  <w:vMerge w:val="continue"/>
                  <w:tcBorders>
                    <w:top w:val="nil"/>
                  </w:tcBorders>
                  <w:vAlign w:val="center"/>
                </w:tcPr>
                <w:p w14:paraId="0CA7EFA6">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21" w:type="dxa"/>
                  <w:vMerge w:val="continue"/>
                  <w:tcBorders>
                    <w:top w:val="nil"/>
                  </w:tcBorders>
                  <w:vAlign w:val="center"/>
                </w:tcPr>
                <w:p w14:paraId="6411C809">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446" w:type="dxa"/>
                  <w:vMerge w:val="continue"/>
                  <w:tcBorders>
                    <w:top w:val="nil"/>
                  </w:tcBorders>
                  <w:vAlign w:val="center"/>
                </w:tcPr>
                <w:p w14:paraId="48C40170">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448" w:type="dxa"/>
                  <w:vMerge w:val="continue"/>
                  <w:tcBorders>
                    <w:top w:val="nil"/>
                  </w:tcBorders>
                  <w:vAlign w:val="center"/>
                </w:tcPr>
                <w:p w14:paraId="1A80F43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663" w:type="dxa"/>
                  <w:vAlign w:val="center"/>
                </w:tcPr>
                <w:p w14:paraId="4C7CF143">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砂石料场</w:t>
                  </w:r>
                </w:p>
              </w:tc>
              <w:tc>
                <w:tcPr>
                  <w:tcW w:w="448" w:type="dxa"/>
                  <w:vMerge w:val="continue"/>
                  <w:tcBorders>
                    <w:top w:val="nil"/>
                  </w:tcBorders>
                  <w:vAlign w:val="center"/>
                </w:tcPr>
                <w:p w14:paraId="6ADA6EC7">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801" w:type="dxa"/>
                  <w:vMerge w:val="continue"/>
                  <w:tcBorders>
                    <w:top w:val="nil"/>
                  </w:tcBorders>
                  <w:vAlign w:val="center"/>
                </w:tcPr>
                <w:p w14:paraId="244913C9">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864" w:type="dxa"/>
                  <w:vMerge w:val="continue"/>
                  <w:tcBorders>
                    <w:top w:val="nil"/>
                  </w:tcBorders>
                  <w:vAlign w:val="center"/>
                </w:tcPr>
                <w:p w14:paraId="02D17933">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r>
            <w:tr w14:paraId="3CA4FC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02" w:hRule="atLeast"/>
              </w:trPr>
              <w:tc>
                <w:tcPr>
                  <w:tcW w:w="489" w:type="dxa"/>
                  <w:vAlign w:val="center"/>
                </w:tcPr>
                <w:p w14:paraId="0181BDB9">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临时道路区</w:t>
                  </w:r>
                </w:p>
              </w:tc>
              <w:tc>
                <w:tcPr>
                  <w:tcW w:w="521" w:type="dxa"/>
                  <w:vAlign w:val="center"/>
                </w:tcPr>
                <w:p w14:paraId="24EF2248">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1.44</w:t>
                  </w:r>
                </w:p>
              </w:tc>
              <w:tc>
                <w:tcPr>
                  <w:tcW w:w="445" w:type="dxa"/>
                  <w:vAlign w:val="center"/>
                </w:tcPr>
                <w:p w14:paraId="1F67531E">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21" w:type="dxa"/>
                  <w:vAlign w:val="center"/>
                </w:tcPr>
                <w:p w14:paraId="77B7EEA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1.44</w:t>
                  </w:r>
                </w:p>
              </w:tc>
              <w:tc>
                <w:tcPr>
                  <w:tcW w:w="521" w:type="dxa"/>
                  <w:vAlign w:val="center"/>
                </w:tcPr>
                <w:p w14:paraId="74046311">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18" w:type="dxa"/>
                  <w:vAlign w:val="center"/>
                </w:tcPr>
                <w:p w14:paraId="090F3DD8">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1.44</w:t>
                  </w:r>
                </w:p>
              </w:tc>
              <w:tc>
                <w:tcPr>
                  <w:tcW w:w="925" w:type="dxa"/>
                  <w:vAlign w:val="center"/>
                </w:tcPr>
                <w:p w14:paraId="12F1217B">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河滩平整</w:t>
                  </w:r>
                </w:p>
              </w:tc>
              <w:tc>
                <w:tcPr>
                  <w:tcW w:w="521" w:type="dxa"/>
                  <w:vAlign w:val="center"/>
                </w:tcPr>
                <w:p w14:paraId="378CF26A">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1.44</w:t>
                  </w:r>
                </w:p>
              </w:tc>
              <w:tc>
                <w:tcPr>
                  <w:tcW w:w="446" w:type="dxa"/>
                  <w:vAlign w:val="center"/>
                </w:tcPr>
                <w:p w14:paraId="11A30082">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448" w:type="dxa"/>
                  <w:vAlign w:val="center"/>
                </w:tcPr>
                <w:p w14:paraId="2A731B81">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0.50</w:t>
                  </w:r>
                </w:p>
              </w:tc>
              <w:tc>
                <w:tcPr>
                  <w:tcW w:w="663" w:type="dxa"/>
                  <w:vAlign w:val="center"/>
                </w:tcPr>
                <w:p w14:paraId="3E05A38F">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448" w:type="dxa"/>
                  <w:vAlign w:val="center"/>
                </w:tcPr>
                <w:p w14:paraId="45DA0180">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0.50</w:t>
                  </w:r>
                </w:p>
              </w:tc>
              <w:tc>
                <w:tcPr>
                  <w:tcW w:w="801" w:type="dxa"/>
                  <w:vAlign w:val="center"/>
                </w:tcPr>
                <w:p w14:paraId="54F37167">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864" w:type="dxa"/>
                  <w:vAlign w:val="center"/>
                </w:tcPr>
                <w:p w14:paraId="469AB17A">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r>
            <w:tr w14:paraId="52B34B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02" w:hRule="atLeast"/>
              </w:trPr>
              <w:tc>
                <w:tcPr>
                  <w:tcW w:w="489" w:type="dxa"/>
                  <w:vAlign w:val="center"/>
                </w:tcPr>
                <w:p w14:paraId="7CC322F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围堰工程区</w:t>
                  </w:r>
                </w:p>
              </w:tc>
              <w:tc>
                <w:tcPr>
                  <w:tcW w:w="521" w:type="dxa"/>
                  <w:vAlign w:val="center"/>
                </w:tcPr>
                <w:p w14:paraId="47B44B43">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9.3</w:t>
                  </w:r>
                </w:p>
              </w:tc>
              <w:tc>
                <w:tcPr>
                  <w:tcW w:w="445" w:type="dxa"/>
                  <w:vAlign w:val="center"/>
                </w:tcPr>
                <w:p w14:paraId="0B272BC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21" w:type="dxa"/>
                  <w:vAlign w:val="center"/>
                </w:tcPr>
                <w:p w14:paraId="032E63E6">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9.3</w:t>
                  </w:r>
                </w:p>
              </w:tc>
              <w:tc>
                <w:tcPr>
                  <w:tcW w:w="521" w:type="dxa"/>
                  <w:vAlign w:val="center"/>
                </w:tcPr>
                <w:p w14:paraId="1A2DE426">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18" w:type="dxa"/>
                  <w:vAlign w:val="center"/>
                </w:tcPr>
                <w:p w14:paraId="39F8607A">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9.3</w:t>
                  </w:r>
                </w:p>
              </w:tc>
              <w:tc>
                <w:tcPr>
                  <w:tcW w:w="925" w:type="dxa"/>
                  <w:vAlign w:val="center"/>
                </w:tcPr>
                <w:p w14:paraId="7FB88299">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河道疏浚</w:t>
                  </w:r>
                </w:p>
              </w:tc>
              <w:tc>
                <w:tcPr>
                  <w:tcW w:w="521" w:type="dxa"/>
                  <w:vAlign w:val="center"/>
                </w:tcPr>
                <w:p w14:paraId="0CBB5CEB">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9.3</w:t>
                  </w:r>
                </w:p>
              </w:tc>
              <w:tc>
                <w:tcPr>
                  <w:tcW w:w="446" w:type="dxa"/>
                  <w:vAlign w:val="center"/>
                </w:tcPr>
                <w:p w14:paraId="560A138A">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448" w:type="dxa"/>
                  <w:vAlign w:val="center"/>
                </w:tcPr>
                <w:p w14:paraId="69A7C9AF">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663" w:type="dxa"/>
                  <w:vAlign w:val="center"/>
                </w:tcPr>
                <w:p w14:paraId="6B02CBA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448" w:type="dxa"/>
                  <w:vAlign w:val="center"/>
                </w:tcPr>
                <w:p w14:paraId="68FB7507">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801" w:type="dxa"/>
                  <w:vAlign w:val="center"/>
                </w:tcPr>
                <w:p w14:paraId="7A0AA51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864" w:type="dxa"/>
                  <w:vAlign w:val="center"/>
                </w:tcPr>
                <w:p w14:paraId="4F640177">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r>
            <w:tr w14:paraId="08EB127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8" w:hRule="atLeast"/>
              </w:trPr>
              <w:tc>
                <w:tcPr>
                  <w:tcW w:w="489" w:type="dxa"/>
                  <w:vAlign w:val="center"/>
                </w:tcPr>
                <w:p w14:paraId="32330FBE">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总计</w:t>
                  </w:r>
                </w:p>
              </w:tc>
              <w:tc>
                <w:tcPr>
                  <w:tcW w:w="521" w:type="dxa"/>
                  <w:vAlign w:val="center"/>
                </w:tcPr>
                <w:p w14:paraId="1D53C88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62.18</w:t>
                  </w:r>
                </w:p>
              </w:tc>
              <w:tc>
                <w:tcPr>
                  <w:tcW w:w="445" w:type="dxa"/>
                  <w:vAlign w:val="center"/>
                </w:tcPr>
                <w:p w14:paraId="42F4AD72">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8</w:t>
                  </w:r>
                </w:p>
              </w:tc>
              <w:tc>
                <w:tcPr>
                  <w:tcW w:w="521" w:type="dxa"/>
                  <w:vAlign w:val="center"/>
                </w:tcPr>
                <w:p w14:paraId="798BD8F0">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70.18</w:t>
                  </w:r>
                </w:p>
              </w:tc>
              <w:tc>
                <w:tcPr>
                  <w:tcW w:w="521" w:type="dxa"/>
                  <w:vAlign w:val="center"/>
                </w:tcPr>
                <w:p w14:paraId="3D33808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45.69</w:t>
                  </w:r>
                </w:p>
              </w:tc>
              <w:tc>
                <w:tcPr>
                  <w:tcW w:w="518" w:type="dxa"/>
                  <w:vAlign w:val="center"/>
                </w:tcPr>
                <w:p w14:paraId="5F4D4EEF">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16.49</w:t>
                  </w:r>
                </w:p>
              </w:tc>
              <w:tc>
                <w:tcPr>
                  <w:tcW w:w="925" w:type="dxa"/>
                  <w:vAlign w:val="center"/>
                </w:tcPr>
                <w:p w14:paraId="7548B2AB">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521" w:type="dxa"/>
                  <w:vAlign w:val="center"/>
                </w:tcPr>
                <w:p w14:paraId="3DC93A3A">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62.18</w:t>
                  </w:r>
                </w:p>
              </w:tc>
              <w:tc>
                <w:tcPr>
                  <w:tcW w:w="446" w:type="dxa"/>
                  <w:vAlign w:val="center"/>
                </w:tcPr>
                <w:p w14:paraId="23BE9705">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5.48</w:t>
                  </w:r>
                </w:p>
              </w:tc>
              <w:tc>
                <w:tcPr>
                  <w:tcW w:w="448" w:type="dxa"/>
                  <w:vAlign w:val="center"/>
                </w:tcPr>
                <w:p w14:paraId="5A5426D6">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12.2</w:t>
                  </w:r>
                  <w:r>
                    <w:rPr>
                      <w:rFonts w:hint="default" w:ascii="Times New Roman" w:hAnsi="Times New Roman" w:eastAsia="宋体" w:cs="Times New Roman"/>
                      <w:color w:val="000000" w:themeColor="text1"/>
                      <w:highlight w:val="none"/>
                      <w14:textFill>
                        <w14:solidFill>
                          <w14:schemeClr w14:val="tx1"/>
                        </w14:solidFill>
                      </w14:textFill>
                    </w:rPr>
                    <w:t>2</w:t>
                  </w:r>
                </w:p>
              </w:tc>
              <w:tc>
                <w:tcPr>
                  <w:tcW w:w="663" w:type="dxa"/>
                  <w:vAlign w:val="center"/>
                </w:tcPr>
                <w:p w14:paraId="0C2DD8AA">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c>
                <w:tcPr>
                  <w:tcW w:w="448" w:type="dxa"/>
                  <w:vAlign w:val="center"/>
                </w:tcPr>
                <w:p w14:paraId="21E2F377">
                  <w:pPr>
                    <w:pStyle w:val="114"/>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17.7</w:t>
                  </w:r>
                </w:p>
              </w:tc>
              <w:tc>
                <w:tcPr>
                  <w:tcW w:w="801" w:type="dxa"/>
                  <w:vAlign w:val="center"/>
                </w:tcPr>
                <w:p w14:paraId="3B95FE5C">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8.00</w:t>
                  </w:r>
                </w:p>
              </w:tc>
              <w:tc>
                <w:tcPr>
                  <w:tcW w:w="864" w:type="dxa"/>
                  <w:vAlign w:val="center"/>
                </w:tcPr>
                <w:p w14:paraId="747CD064">
                  <w:pPr>
                    <w:pStyle w:val="114"/>
                    <w:jc w:val="center"/>
                    <w:rPr>
                      <w:rFonts w:hint="default" w:ascii="Times New Roman" w:hAnsi="Times New Roman" w:eastAsia="宋体" w:cs="Times New Roman"/>
                      <w:color w:val="000000" w:themeColor="text1"/>
                      <w:highlight w:val="none"/>
                      <w14:textFill>
                        <w14:solidFill>
                          <w14:schemeClr w14:val="tx1"/>
                        </w14:solidFill>
                      </w14:textFill>
                    </w:rPr>
                  </w:pPr>
                </w:p>
              </w:tc>
            </w:tr>
          </w:tbl>
          <w:p w14:paraId="25505694">
            <w:pPr>
              <w:pStyle w:val="116"/>
              <w:ind w:firstLine="480"/>
              <w:rPr>
                <w:rFonts w:hint="default" w:ascii="Times New Roman" w:hAnsi="Times New Roman" w:eastAsia="宋体" w:cs="Times New Roman"/>
                <w:color w:val="000000" w:themeColor="text1"/>
                <w:sz w:val="21"/>
                <w:szCs w:val="21"/>
                <w14:textFill>
                  <w14:solidFill>
                    <w14:schemeClr w14:val="tx1"/>
                  </w14:solidFill>
                </w14:textFill>
              </w:rPr>
            </w:pPr>
          </w:p>
        </w:tc>
      </w:tr>
      <w:tr w14:paraId="5D8FC7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728" w:type="dxa"/>
            <w:vAlign w:val="center"/>
          </w:tcPr>
          <w:p w14:paraId="5605337E">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其他</w:t>
            </w:r>
          </w:p>
        </w:tc>
        <w:tc>
          <w:tcPr>
            <w:tcW w:w="8362" w:type="dxa"/>
            <w:vAlign w:val="center"/>
          </w:tcPr>
          <w:p w14:paraId="752C2142">
            <w:pPr>
              <w:pStyle w:val="116"/>
              <w:ind w:firstLine="48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p>
          <w:p w14:paraId="4CA4EFD7">
            <w:pPr>
              <w:spacing w:before="166" w:line="369" w:lineRule="auto"/>
              <w:ind w:left="26" w:right="139" w:firstLine="479"/>
              <w:jc w:val="both"/>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根据堤防及护岸工程总体布局：“上游山区段修建山区控制性水库调蓄洪水，削减洪峰；平原灌区的上、中游段修筑护岸防洪堤坝工程，稳定河宽提高河道过洪能力，保护沿岸城镇、农田、村庄、交通、水利工程安全；灌区下游主要是修筑护岸，防止淹没沿河农田村庄，结合引洪灌溉控制洪水，既保证水库蓄水又安排好洪水出路。</w:t>
            </w:r>
          </w:p>
          <w:p w14:paraId="142E478D">
            <w:pPr>
              <w:spacing w:line="369" w:lineRule="auto"/>
              <w:ind w:left="27" w:right="205" w:firstLine="479"/>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本次上段轴线拟定两个方案，下段轴线现状岸坎与规划岸线和基本农田边界重合，轴线具有唯一性，不需要比选，各方案上段轴线比选方案具体如下：</w:t>
            </w:r>
          </w:p>
          <w:p w14:paraId="21FE58A6">
            <w:pPr>
              <w:spacing w:line="220" w:lineRule="auto"/>
              <w:ind w:left="507"/>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方案一：</w:t>
            </w:r>
          </w:p>
          <w:p w14:paraId="55B7C09E">
            <w:pPr>
              <w:spacing w:before="193" w:line="233" w:lineRule="auto"/>
              <w:jc w:val="right"/>
              <w:rPr>
                <w:rFonts w:ascii="宋体" w:hAnsi="宋体" w:eastAsia="宋体" w:cs="宋体"/>
                <w:color w:val="000000" w:themeColor="text1"/>
                <w:sz w:val="24"/>
                <w:szCs w:val="24"/>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设计护岸轴线以规划岸线为基础，轴线按现状土堤布置，轴线总长度0.54km。</w:t>
            </w:r>
          </w:p>
          <w:p w14:paraId="7A09B10B">
            <w:pPr>
              <w:spacing w:before="179" w:line="369" w:lineRule="auto"/>
              <w:ind w:left="25" w:right="205" w:firstLine="479"/>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优点：①大部分符合规划岸线，轴线整体平顺，符合现状河岸走向，不改变河道现状河势。②不占用农田排水渠项目实施落地性强。③护岸轴线土方回填量大，工程投资较经济。</w:t>
            </w:r>
          </w:p>
          <w:p w14:paraId="64A45C96">
            <w:pPr>
              <w:spacing w:before="1" w:line="219" w:lineRule="auto"/>
              <w:ind w:left="506"/>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缺点：占用部分棉花地，占地投资稍高。</w:t>
            </w:r>
          </w:p>
          <w:p w14:paraId="64CA563C">
            <w:pPr>
              <w:spacing w:before="194" w:line="219" w:lineRule="auto"/>
              <w:ind w:left="507"/>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其岸线布置情况见下图。</w:t>
            </w:r>
          </w:p>
          <w:p w14:paraId="0458DBDA">
            <w:pPr>
              <w:spacing w:before="8" w:line="4965" w:lineRule="exact"/>
              <w:ind w:firstLine="206"/>
              <w:rPr>
                <w:color w:val="000000" w:themeColor="text1"/>
                <w14:textFill>
                  <w14:solidFill>
                    <w14:schemeClr w14:val="tx1"/>
                  </w14:solidFill>
                </w14:textFill>
              </w:rPr>
            </w:pPr>
            <w:r>
              <w:rPr>
                <w:color w:val="000000" w:themeColor="text1"/>
                <w:position w:val="-99"/>
                <w14:textFill>
                  <w14:solidFill>
                    <w14:schemeClr w14:val="tx1"/>
                  </w14:solidFill>
                </w14:textFill>
              </w:rPr>
              <w:drawing>
                <wp:inline distT="0" distB="0" distL="0" distR="0">
                  <wp:extent cx="5026025" cy="3152140"/>
                  <wp:effectExtent l="0" t="0" r="3175" b="10160"/>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15"/>
                          <a:stretch>
                            <a:fillRect/>
                          </a:stretch>
                        </pic:blipFill>
                        <pic:spPr>
                          <a:xfrm>
                            <a:off x="0" y="0"/>
                            <a:ext cx="5026659" cy="3152647"/>
                          </a:xfrm>
                          <a:prstGeom prst="rect">
                            <a:avLst/>
                          </a:prstGeom>
                        </pic:spPr>
                      </pic:pic>
                    </a:graphicData>
                  </a:graphic>
                </wp:inline>
              </w:drawing>
            </w:r>
          </w:p>
          <w:p w14:paraId="18D95AEB">
            <w:pPr>
              <w:pStyle w:val="149"/>
              <w:keepNext w:val="0"/>
              <w:keepLines w:val="0"/>
              <w:pageBreakBefore w:val="0"/>
              <w:widowControl/>
              <w:kinsoku w:val="0"/>
              <w:wordWrap/>
              <w:overflowPunct/>
              <w:topLinePunct w:val="0"/>
              <w:autoSpaceDE w:val="0"/>
              <w:autoSpaceDN w:val="0"/>
              <w:bidi w:val="0"/>
              <w:adjustRightInd w:val="0"/>
              <w:snapToGrid w:val="0"/>
              <w:spacing w:line="360" w:lineRule="auto"/>
              <w:ind w:left="0"/>
              <w:jc w:val="center"/>
              <w:textAlignment w:val="baseline"/>
              <w:rPr>
                <w:rFonts w:hint="default" w:ascii="Times New Roman" w:hAnsi="Times New Roman" w:eastAsia="宋体" w:cs="Times New Roman"/>
                <w:b/>
                <w:bCs/>
                <w:color w:val="000000" w:themeColor="text1"/>
                <w:spacing w:val="5"/>
                <w:sz w:val="21"/>
                <w:szCs w:val="21"/>
                <w14:textFill>
                  <w14:solidFill>
                    <w14:schemeClr w14:val="tx1"/>
                  </w14:solidFill>
                </w14:textFill>
              </w:rPr>
            </w:pPr>
            <w:r>
              <w:rPr>
                <w:rFonts w:hint="default" w:ascii="Times New Roman" w:hAnsi="Times New Roman" w:eastAsia="宋体" w:cs="Times New Roman"/>
                <w:b/>
                <w:bCs/>
                <w:color w:val="000000" w:themeColor="text1"/>
                <w:spacing w:val="5"/>
                <w:sz w:val="21"/>
                <w:szCs w:val="21"/>
                <w14:textFill>
                  <w14:solidFill>
                    <w14:schemeClr w14:val="tx1"/>
                  </w14:solidFill>
                </w14:textFill>
              </w:rPr>
              <w:t>图</w:t>
            </w:r>
            <w:r>
              <w:rPr>
                <w:rFonts w:hint="eastAsia" w:ascii="Times New Roman" w:hAnsi="Times New Roman" w:eastAsia="宋体" w:cs="Times New Roman"/>
                <w:b/>
                <w:bCs/>
                <w:color w:val="000000" w:themeColor="text1"/>
                <w:spacing w:val="5"/>
                <w:sz w:val="21"/>
                <w:szCs w:val="21"/>
                <w:lang w:val="en-US" w:eastAsia="zh-CN"/>
                <w14:textFill>
                  <w14:solidFill>
                    <w14:schemeClr w14:val="tx1"/>
                  </w14:solidFill>
                </w14:textFill>
              </w:rPr>
              <w:t>2-2</w:t>
            </w:r>
            <w:r>
              <w:rPr>
                <w:rFonts w:hint="default" w:ascii="Times New Roman" w:hAnsi="Times New Roman" w:eastAsia="宋体" w:cs="Times New Roman"/>
                <w:b/>
                <w:bCs/>
                <w:color w:val="000000" w:themeColor="text1"/>
                <w:spacing w:val="5"/>
                <w:sz w:val="21"/>
                <w:szCs w:val="21"/>
                <w14:textFill>
                  <w14:solidFill>
                    <w14:schemeClr w14:val="tx1"/>
                  </w14:solidFill>
                </w14:textFill>
              </w:rPr>
              <w:t>方案一上段轴线布置平面示意图</w:t>
            </w:r>
          </w:p>
          <w:p w14:paraId="5B6E740D">
            <w:pPr>
              <w:spacing w:before="158" w:line="220" w:lineRule="auto"/>
              <w:ind w:left="507"/>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方案二：</w:t>
            </w:r>
          </w:p>
          <w:p w14:paraId="786896FA">
            <w:pPr>
              <w:spacing w:before="193" w:line="233" w:lineRule="auto"/>
              <w:ind w:left="510"/>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设计护岸轴线按照现状岸坎布置，轴线总长度0.54km。</w:t>
            </w:r>
          </w:p>
          <w:p w14:paraId="7729C1A5">
            <w:pPr>
              <w:spacing w:before="177" w:line="220" w:lineRule="auto"/>
              <w:ind w:left="505"/>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优点：与岸坎重合，不占用棉花地。</w:t>
            </w:r>
          </w:p>
          <w:p w14:paraId="3CEC9F44">
            <w:pPr>
              <w:spacing w:before="196" w:line="369" w:lineRule="auto"/>
              <w:ind w:left="29" w:right="706" w:firstLine="477"/>
              <w:jc w:val="both"/>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缺点：①轴线起点与已建防洪堤连接处内凹，形成凹岸，易冲刷堤岸，存在安全隐患；②距离规划岸线较远，不符合规划岸线；③护岸轴线土方回填量大，工程投资大。④对左岸形成顶冲，加大对岸的防洪压力。</w:t>
            </w:r>
          </w:p>
          <w:p w14:paraId="13528C3E">
            <w:pPr>
              <w:spacing w:before="1" w:line="218" w:lineRule="auto"/>
              <w:ind w:left="507"/>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其岸线布置情况见下图。</w:t>
            </w:r>
          </w:p>
          <w:p w14:paraId="3D507923">
            <w:pPr>
              <w:spacing w:before="223" w:line="5101" w:lineRule="exact"/>
              <w:ind w:firstLine="17"/>
              <w:rPr>
                <w:color w:val="000000" w:themeColor="text1"/>
                <w14:textFill>
                  <w14:solidFill>
                    <w14:schemeClr w14:val="tx1"/>
                  </w14:solidFill>
                </w14:textFill>
              </w:rPr>
            </w:pPr>
            <w:r>
              <w:rPr>
                <w:color w:val="000000" w:themeColor="text1"/>
                <w:position w:val="-102"/>
                <w14:textFill>
                  <w14:solidFill>
                    <w14:schemeClr w14:val="tx1"/>
                  </w14:solidFill>
                </w14:textFill>
              </w:rPr>
              <w:drawing>
                <wp:inline distT="0" distB="0" distL="0" distR="0">
                  <wp:extent cx="5758180" cy="3238500"/>
                  <wp:effectExtent l="0" t="0" r="13970" b="0"/>
                  <wp:docPr id="218" name="IM 218"/>
                  <wp:cNvGraphicFramePr/>
                  <a:graphic xmlns:a="http://schemas.openxmlformats.org/drawingml/2006/main">
                    <a:graphicData uri="http://schemas.openxmlformats.org/drawingml/2006/picture">
                      <pic:pic xmlns:pic="http://schemas.openxmlformats.org/drawingml/2006/picture">
                        <pic:nvPicPr>
                          <pic:cNvPr id="218" name="IM 218"/>
                          <pic:cNvPicPr/>
                        </pic:nvPicPr>
                        <pic:blipFill>
                          <a:blip r:embed="rId16"/>
                          <a:stretch>
                            <a:fillRect/>
                          </a:stretch>
                        </pic:blipFill>
                        <pic:spPr>
                          <a:xfrm>
                            <a:off x="0" y="0"/>
                            <a:ext cx="5758814" cy="3239134"/>
                          </a:xfrm>
                          <a:prstGeom prst="rect">
                            <a:avLst/>
                          </a:prstGeom>
                        </pic:spPr>
                      </pic:pic>
                    </a:graphicData>
                  </a:graphic>
                </wp:inline>
              </w:drawing>
            </w:r>
          </w:p>
          <w:p w14:paraId="31B6987B">
            <w:pPr>
              <w:pStyle w:val="149"/>
              <w:keepNext w:val="0"/>
              <w:keepLines w:val="0"/>
              <w:pageBreakBefore w:val="0"/>
              <w:widowControl/>
              <w:kinsoku w:val="0"/>
              <w:wordWrap/>
              <w:overflowPunct/>
              <w:topLinePunct w:val="0"/>
              <w:autoSpaceDE w:val="0"/>
              <w:autoSpaceDN w:val="0"/>
              <w:bidi w:val="0"/>
              <w:adjustRightInd w:val="0"/>
              <w:snapToGrid w:val="0"/>
              <w:spacing w:line="360" w:lineRule="auto"/>
              <w:ind w:left="0"/>
              <w:jc w:val="center"/>
              <w:textAlignment w:val="baseline"/>
              <w:rPr>
                <w:rFonts w:hint="default" w:ascii="Times New Roman" w:hAnsi="Times New Roman" w:eastAsia="宋体" w:cs="Times New Roman"/>
                <w:b/>
                <w:bCs/>
                <w:color w:val="000000" w:themeColor="text1"/>
                <w:spacing w:val="5"/>
                <w:sz w:val="21"/>
                <w:szCs w:val="21"/>
                <w14:textFill>
                  <w14:solidFill>
                    <w14:schemeClr w14:val="tx1"/>
                  </w14:solidFill>
                </w14:textFill>
              </w:rPr>
            </w:pPr>
            <w:r>
              <w:rPr>
                <w:rFonts w:hint="default" w:ascii="Times New Roman" w:hAnsi="Times New Roman" w:eastAsia="宋体" w:cs="Times New Roman"/>
                <w:b/>
                <w:bCs/>
                <w:color w:val="000000" w:themeColor="text1"/>
                <w:spacing w:val="5"/>
                <w:sz w:val="21"/>
                <w:szCs w:val="21"/>
                <w14:textFill>
                  <w14:solidFill>
                    <w14:schemeClr w14:val="tx1"/>
                  </w14:solidFill>
                </w14:textFill>
              </w:rPr>
              <w:t>图</w:t>
            </w:r>
            <w:r>
              <w:rPr>
                <w:rFonts w:hint="eastAsia" w:ascii="Times New Roman" w:hAnsi="Times New Roman" w:eastAsia="宋体" w:cs="Times New Roman"/>
                <w:b/>
                <w:bCs/>
                <w:color w:val="000000" w:themeColor="text1"/>
                <w:spacing w:val="5"/>
                <w:sz w:val="21"/>
                <w:szCs w:val="21"/>
                <w:lang w:val="en-US" w:eastAsia="zh-CN"/>
                <w14:textFill>
                  <w14:solidFill>
                    <w14:schemeClr w14:val="tx1"/>
                  </w14:solidFill>
                </w14:textFill>
              </w:rPr>
              <w:t>2-3</w:t>
            </w:r>
            <w:r>
              <w:rPr>
                <w:rFonts w:hint="default" w:ascii="Times New Roman" w:hAnsi="Times New Roman" w:eastAsia="宋体" w:cs="Times New Roman"/>
                <w:b/>
                <w:bCs/>
                <w:color w:val="000000" w:themeColor="text1"/>
                <w:spacing w:val="5"/>
                <w:sz w:val="21"/>
                <w:szCs w:val="21"/>
                <w14:textFill>
                  <w14:solidFill>
                    <w14:schemeClr w14:val="tx1"/>
                  </w14:solidFill>
                </w14:textFill>
              </w:rPr>
              <w:t>方案二上段轴线布置平面示意图</w:t>
            </w:r>
          </w:p>
          <w:p w14:paraId="1D029D77">
            <w:pPr>
              <w:spacing w:before="59" w:line="227" w:lineRule="auto"/>
              <w:ind w:left="119"/>
              <w:jc w:val="center"/>
              <w:rPr>
                <w:rFonts w:hint="default" w:ascii="Times New Roman" w:hAnsi="Times New Roman" w:eastAsia="宋体" w:cs="Times New Roman"/>
                <w:b/>
                <w:bCs/>
                <w:color w:val="000000" w:themeColor="text1"/>
                <w:spacing w:val="5"/>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5"/>
                <w:sz w:val="21"/>
                <w:szCs w:val="21"/>
                <w:highlight w:val="none"/>
                <w14:textFill>
                  <w14:solidFill>
                    <w14:schemeClr w14:val="tx1"/>
                  </w14:solidFill>
                </w14:textFill>
              </w:rPr>
              <w:t>表</w:t>
            </w:r>
            <w:r>
              <w:rPr>
                <w:rFonts w:hint="eastAsia" w:ascii="Times New Roman" w:hAnsi="Times New Roman" w:eastAsia="宋体" w:cs="Times New Roman"/>
                <w:b/>
                <w:bCs/>
                <w:color w:val="000000" w:themeColor="text1"/>
                <w:spacing w:val="5"/>
                <w:sz w:val="21"/>
                <w:szCs w:val="21"/>
                <w:highlight w:val="none"/>
                <w:lang w:val="en-US" w:eastAsia="zh-CN"/>
                <w14:textFill>
                  <w14:solidFill>
                    <w14:schemeClr w14:val="tx1"/>
                  </w14:solidFill>
                </w14:textFill>
              </w:rPr>
              <w:t>2-8</w:t>
            </w:r>
            <w:r>
              <w:rPr>
                <w:rFonts w:hint="default" w:ascii="Times New Roman" w:hAnsi="Times New Roman" w:eastAsia="宋体" w:cs="Times New Roman"/>
                <w:b/>
                <w:bCs/>
                <w:color w:val="000000" w:themeColor="text1"/>
                <w:spacing w:val="5"/>
                <w:sz w:val="21"/>
                <w:szCs w:val="21"/>
                <w:highlight w:val="none"/>
                <w14:textFill>
                  <w14:solidFill>
                    <w14:schemeClr w14:val="tx1"/>
                  </w14:solidFill>
                </w14:textFill>
              </w:rPr>
              <w:t>上段轴线方案比选对比表</w:t>
            </w:r>
          </w:p>
          <w:p w14:paraId="2B0E2BEC">
            <w:pPr>
              <w:spacing w:line="23" w:lineRule="exact"/>
              <w:rPr>
                <w:color w:val="000000" w:themeColor="text1"/>
                <w14:textFill>
                  <w14:solidFill>
                    <w14:schemeClr w14:val="tx1"/>
                  </w14:solidFill>
                </w14:textFill>
              </w:rPr>
            </w:pPr>
          </w:p>
          <w:tbl>
            <w:tblPr>
              <w:tblStyle w:val="100"/>
              <w:tblW w:w="8296" w:type="dxa"/>
              <w:tblInd w:w="1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58"/>
              <w:gridCol w:w="3366"/>
              <w:gridCol w:w="3572"/>
            </w:tblGrid>
            <w:tr w14:paraId="3812CA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4152B2EA">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特点</w:t>
                  </w:r>
                </w:p>
              </w:tc>
              <w:tc>
                <w:tcPr>
                  <w:tcW w:w="3366" w:type="dxa"/>
                  <w:vAlign w:val="center"/>
                </w:tcPr>
                <w:p w14:paraId="54192C67">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方案一</w:t>
                  </w:r>
                </w:p>
              </w:tc>
              <w:tc>
                <w:tcPr>
                  <w:tcW w:w="3572" w:type="dxa"/>
                  <w:vAlign w:val="center"/>
                </w:tcPr>
                <w:p w14:paraId="764BB5B2">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方案二</w:t>
                  </w:r>
                </w:p>
              </w:tc>
            </w:tr>
            <w:tr w14:paraId="331AF3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5CE91178">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规划符合性</w:t>
                  </w:r>
                </w:p>
              </w:tc>
              <w:tc>
                <w:tcPr>
                  <w:tcW w:w="3366" w:type="dxa"/>
                  <w:vAlign w:val="center"/>
                </w:tcPr>
                <w:p w14:paraId="50F26E60">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全段符合规划岸线</w:t>
                  </w:r>
                </w:p>
              </w:tc>
              <w:tc>
                <w:tcPr>
                  <w:tcW w:w="3572" w:type="dxa"/>
                  <w:vAlign w:val="center"/>
                </w:tcPr>
                <w:p w14:paraId="7E1C7650">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全段不符合规划岸线</w:t>
                  </w:r>
                </w:p>
              </w:tc>
            </w:tr>
            <w:tr w14:paraId="79C9CD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0A159A42">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建设长度</w:t>
                  </w:r>
                </w:p>
              </w:tc>
              <w:tc>
                <w:tcPr>
                  <w:tcW w:w="3366" w:type="dxa"/>
                  <w:vAlign w:val="center"/>
                </w:tcPr>
                <w:p w14:paraId="4C2FCC02">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0.54km</w:t>
                  </w:r>
                </w:p>
              </w:tc>
              <w:tc>
                <w:tcPr>
                  <w:tcW w:w="3572" w:type="dxa"/>
                  <w:vAlign w:val="center"/>
                </w:tcPr>
                <w:p w14:paraId="17739F59">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0.54km</w:t>
                  </w:r>
                </w:p>
              </w:tc>
            </w:tr>
            <w:tr w14:paraId="6FBC17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751B27EC">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永久占地</w:t>
                  </w:r>
                </w:p>
              </w:tc>
              <w:tc>
                <w:tcPr>
                  <w:tcW w:w="3366" w:type="dxa"/>
                  <w:vAlign w:val="center"/>
                </w:tcPr>
                <w:p w14:paraId="0DAA46E5">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24.30亩</w:t>
                  </w:r>
                </w:p>
              </w:tc>
              <w:tc>
                <w:tcPr>
                  <w:tcW w:w="3572" w:type="dxa"/>
                  <w:vAlign w:val="center"/>
                </w:tcPr>
                <w:p w14:paraId="186257A1">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24.30亩</w:t>
                  </w:r>
                </w:p>
              </w:tc>
            </w:tr>
            <w:tr w14:paraId="44373B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6F39E7C7">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占地投资</w:t>
                  </w:r>
                </w:p>
              </w:tc>
              <w:tc>
                <w:tcPr>
                  <w:tcW w:w="3366" w:type="dxa"/>
                  <w:vAlign w:val="center"/>
                </w:tcPr>
                <w:p w14:paraId="55CE0C0B">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115.56万元</w:t>
                  </w:r>
                </w:p>
              </w:tc>
              <w:tc>
                <w:tcPr>
                  <w:tcW w:w="3572" w:type="dxa"/>
                  <w:vAlign w:val="center"/>
                </w:tcPr>
                <w:p w14:paraId="5F1B93EF">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102.32万元</w:t>
                  </w:r>
                </w:p>
              </w:tc>
            </w:tr>
            <w:tr w14:paraId="707852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64E9ABB8">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工程造价</w:t>
                  </w:r>
                </w:p>
              </w:tc>
              <w:tc>
                <w:tcPr>
                  <w:tcW w:w="3366" w:type="dxa"/>
                  <w:vAlign w:val="center"/>
                </w:tcPr>
                <w:p w14:paraId="35E05DD9">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1302.45万元/公里</w:t>
                  </w:r>
                </w:p>
              </w:tc>
              <w:tc>
                <w:tcPr>
                  <w:tcW w:w="3572" w:type="dxa"/>
                  <w:vAlign w:val="center"/>
                </w:tcPr>
                <w:p w14:paraId="1F2D54AD">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1320.29万元/公里</w:t>
                  </w:r>
                </w:p>
              </w:tc>
            </w:tr>
            <w:tr w14:paraId="16F028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4467DA3F">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行洪条件</w:t>
                  </w:r>
                </w:p>
              </w:tc>
              <w:tc>
                <w:tcPr>
                  <w:tcW w:w="3366" w:type="dxa"/>
                  <w:vAlign w:val="center"/>
                </w:tcPr>
                <w:p w14:paraId="55A3E5A1">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整体平顺，符合现状河岸走向，不改变河道现状河势，行洪条件较好</w:t>
                  </w:r>
                </w:p>
              </w:tc>
              <w:tc>
                <w:tcPr>
                  <w:tcW w:w="3572" w:type="dxa"/>
                  <w:vAlign w:val="center"/>
                </w:tcPr>
                <w:p w14:paraId="32D9D29B">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局部范围形成凹岸，易冲刷堤岸，存在安全隐患</w:t>
                  </w:r>
                </w:p>
              </w:tc>
            </w:tr>
            <w:tr w14:paraId="0DDDBB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2A6E7DDF">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施工</w:t>
                  </w:r>
                </w:p>
              </w:tc>
              <w:tc>
                <w:tcPr>
                  <w:tcW w:w="3366" w:type="dxa"/>
                  <w:vAlign w:val="center"/>
                </w:tcPr>
                <w:p w14:paraId="31F0A6CA">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施工方便</w:t>
                  </w:r>
                </w:p>
              </w:tc>
              <w:tc>
                <w:tcPr>
                  <w:tcW w:w="3572" w:type="dxa"/>
                  <w:vAlign w:val="center"/>
                </w:tcPr>
                <w:p w14:paraId="410E4B24">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施工较方便，工程量填方大</w:t>
                  </w:r>
                </w:p>
              </w:tc>
            </w:tr>
            <w:tr w14:paraId="3E0519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7EF6D968">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需协调问题</w:t>
                  </w:r>
                </w:p>
              </w:tc>
              <w:tc>
                <w:tcPr>
                  <w:tcW w:w="3366" w:type="dxa"/>
                  <w:vAlign w:val="center"/>
                </w:tcPr>
                <w:p w14:paraId="478D2B3C">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工程占部分棉花地</w:t>
                  </w:r>
                </w:p>
              </w:tc>
              <w:tc>
                <w:tcPr>
                  <w:tcW w:w="3572" w:type="dxa"/>
                  <w:vAlign w:val="center"/>
                </w:tcPr>
                <w:p w14:paraId="3427C25F">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整体突破规划岸线</w:t>
                  </w:r>
                </w:p>
              </w:tc>
            </w:tr>
            <w:tr w14:paraId="5687A7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58" w:type="dxa"/>
                  <w:vAlign w:val="center"/>
                </w:tcPr>
                <w:p w14:paraId="1D7486D4">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比选结论</w:t>
                  </w:r>
                </w:p>
              </w:tc>
              <w:tc>
                <w:tcPr>
                  <w:tcW w:w="3366" w:type="dxa"/>
                  <w:vAlign w:val="center"/>
                </w:tcPr>
                <w:p w14:paraId="359139F4">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推荐方案</w:t>
                  </w:r>
                </w:p>
              </w:tc>
              <w:tc>
                <w:tcPr>
                  <w:tcW w:w="3572" w:type="dxa"/>
                  <w:vAlign w:val="center"/>
                </w:tcPr>
                <w:p w14:paraId="51D7E07C">
                  <w:pPr>
                    <w:pStyle w:val="114"/>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比选方案</w:t>
                  </w:r>
                </w:p>
              </w:tc>
            </w:tr>
          </w:tbl>
          <w:p w14:paraId="24DABC6A">
            <w:pPr>
              <w:pStyle w:val="116"/>
              <w:ind w:firstLine="480"/>
              <w:rPr>
                <w:rFonts w:hint="default" w:ascii="Times New Roman" w:hAnsi="Times New Roman" w:eastAsia="宋体" w:cs="Times New Roman"/>
                <w:color w:val="000000" w:themeColor="text1"/>
                <w14:textFill>
                  <w14:solidFill>
                    <w14:schemeClr w14:val="tx1"/>
                  </w14:solidFill>
                </w14:textFill>
              </w:rPr>
            </w:pPr>
            <w:r>
              <w:rPr>
                <w:rFonts w:ascii="宋体" w:hAnsi="宋体" w:eastAsia="宋体" w:cs="宋体"/>
                <w:color w:val="000000" w:themeColor="text1"/>
                <w:spacing w:val="-7"/>
                <w:sz w:val="24"/>
                <w:szCs w:val="24"/>
                <w14:textFill>
                  <w14:solidFill>
                    <w14:schemeClr w14:val="tx1"/>
                  </w14:solidFill>
                </w14:textFill>
              </w:rPr>
              <w:t>通过以上方案比选，综合考虑项目立项、实施阶段各项因素，本着工程安全</w:t>
            </w:r>
            <w:r>
              <w:rPr>
                <w:rFonts w:ascii="宋体" w:hAnsi="宋体" w:eastAsia="宋体" w:cs="宋体"/>
                <w:color w:val="000000" w:themeColor="text1"/>
                <w:spacing w:val="-1"/>
                <w:sz w:val="24"/>
                <w:szCs w:val="24"/>
                <w14:textFill>
                  <w14:solidFill>
                    <w14:schemeClr w14:val="tx1"/>
                  </w14:solidFill>
                </w14:textFill>
              </w:rPr>
              <w:t>性、落地性、经济性等原则，本阶段护岸轴线布置推荐方案一。</w:t>
            </w:r>
          </w:p>
          <w:p w14:paraId="713F0062">
            <w:pPr>
              <w:pStyle w:val="116"/>
              <w:ind w:left="0" w:leftChars="0" w:firstLine="0" w:firstLineChars="0"/>
              <w:rPr>
                <w:rFonts w:hint="default" w:ascii="Times New Roman" w:hAnsi="Times New Roman" w:eastAsia="宋体" w:cs="Times New Roman"/>
                <w:color w:val="000000" w:themeColor="text1"/>
                <w14:textFill>
                  <w14:solidFill>
                    <w14:schemeClr w14:val="tx1"/>
                  </w14:solidFill>
                </w14:textFill>
              </w:rPr>
            </w:pPr>
          </w:p>
        </w:tc>
      </w:tr>
    </w:tbl>
    <w:p w14:paraId="364DAFD2">
      <w:pPr>
        <w:pStyle w:val="29"/>
        <w:jc w:val="center"/>
        <w:outlineLvl w:val="0"/>
        <w:rPr>
          <w:rFonts w:hint="default" w:ascii="Times New Roman" w:hAnsi="Times New Roman" w:eastAsia="宋体" w:cs="Times New Roman"/>
          <w:snapToGrid w:val="0"/>
          <w:color w:val="000000" w:themeColor="text1"/>
          <w:sz w:val="30"/>
          <w:szCs w:val="30"/>
          <w14:textFill>
            <w14:solidFill>
              <w14:schemeClr w14:val="tx1"/>
            </w14:solidFill>
          </w14:textFill>
        </w:rPr>
      </w:pPr>
      <w:r>
        <w:rPr>
          <w:rFonts w:hint="default" w:ascii="Times New Roman" w:hAnsi="Times New Roman" w:eastAsia="宋体" w:cs="Times New Roman"/>
          <w:b/>
          <w:bCs/>
          <w:color w:val="000000" w:themeColor="text1"/>
          <w14:textFill>
            <w14:solidFill>
              <w14:schemeClr w14:val="tx1"/>
            </w14:solidFill>
          </w14:textFill>
        </w:rPr>
        <w:br w:type="page"/>
      </w:r>
      <w:r>
        <w:rPr>
          <w:rFonts w:hint="default" w:ascii="Times New Roman" w:hAnsi="Times New Roman" w:eastAsia="宋体" w:cs="Times New Roman"/>
          <w:b/>
          <w:bCs/>
          <w:snapToGrid w:val="0"/>
          <w:color w:val="000000" w:themeColor="text1"/>
          <w:sz w:val="30"/>
          <w:szCs w:val="30"/>
          <w14:textFill>
            <w14:solidFill>
              <w14:schemeClr w14:val="tx1"/>
            </w14:solidFill>
          </w14:textFill>
        </w:rPr>
        <w:t>三、生态环境现状、保护目标及评价标准</w:t>
      </w:r>
    </w:p>
    <w:tbl>
      <w:tblPr>
        <w:tblStyle w:val="34"/>
        <w:tblW w:w="952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602"/>
        <w:gridCol w:w="8921"/>
      </w:tblGrid>
      <w:tr w14:paraId="5427DD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2" w:type="dxa"/>
            <w:vAlign w:val="center"/>
          </w:tcPr>
          <w:p w14:paraId="2ED0EA2B">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生态环境现状</w:t>
            </w:r>
          </w:p>
        </w:tc>
        <w:tc>
          <w:tcPr>
            <w:tcW w:w="8921" w:type="dxa"/>
            <w:vAlign w:val="center"/>
          </w:tcPr>
          <w:p w14:paraId="4BDF6334">
            <w:pPr>
              <w:spacing w:line="360" w:lineRule="auto"/>
              <w:ind w:firstLine="482" w:firstLineChars="200"/>
              <w:rPr>
                <w:rFonts w:hint="default" w:ascii="Times New Roman" w:hAnsi="Times New Roman" w:eastAsia="宋体" w:cs="Times New Roman"/>
                <w:b/>
                <w:bCs/>
                <w:color w:val="000000" w:themeColor="text1"/>
                <w:sz w:val="24"/>
                <w:lang w:val="zh-CN"/>
                <w14:textFill>
                  <w14:solidFill>
                    <w14:schemeClr w14:val="tx1"/>
                  </w14:solidFill>
                </w14:textFill>
              </w:rPr>
            </w:pPr>
            <w:r>
              <w:rPr>
                <w:rFonts w:hint="default" w:ascii="Times New Roman" w:hAnsi="Times New Roman" w:eastAsia="宋体" w:cs="Times New Roman"/>
                <w:b/>
                <w:bCs/>
                <w:color w:val="000000" w:themeColor="text1"/>
                <w:sz w:val="24"/>
                <w:lang w:val="zh-CN"/>
                <w14:textFill>
                  <w14:solidFill>
                    <w14:schemeClr w14:val="tx1"/>
                  </w14:solidFill>
                </w14:textFill>
              </w:rPr>
              <w:t>1生态环境现状</w:t>
            </w:r>
          </w:p>
          <w:p w14:paraId="45921262">
            <w:pPr>
              <w:adjustRightInd w:val="0"/>
              <w:spacing w:line="360" w:lineRule="auto"/>
              <w:ind w:firstLine="482" w:firstLineChars="200"/>
              <w:rPr>
                <w:rFonts w:hint="default" w:ascii="Times New Roman" w:hAnsi="Times New Roman" w:eastAsia="宋体" w:cs="Times New Roman"/>
                <w:b/>
                <w:bCs/>
                <w:color w:val="000000" w:themeColor="text1"/>
                <w:kern w:val="0"/>
                <w:sz w:val="24"/>
                <w14:textFill>
                  <w14:solidFill>
                    <w14:schemeClr w14:val="tx1"/>
                  </w14:solidFill>
                </w14:textFill>
              </w:rPr>
            </w:pPr>
            <w:r>
              <w:rPr>
                <w:rFonts w:hint="default" w:ascii="Times New Roman" w:hAnsi="Times New Roman" w:eastAsia="宋体" w:cs="Times New Roman"/>
                <w:b/>
                <w:bCs/>
                <w:color w:val="000000" w:themeColor="text1"/>
                <w:kern w:val="0"/>
                <w:sz w:val="24"/>
                <w14:textFill>
                  <w14:solidFill>
                    <w14:schemeClr w14:val="tx1"/>
                  </w14:solidFill>
                </w14:textFill>
              </w:rPr>
              <w:t>1.1</w:t>
            </w:r>
            <w:r>
              <w:rPr>
                <w:rFonts w:hint="default" w:ascii="Times New Roman" w:hAnsi="Times New Roman" w:eastAsia="宋体" w:cs="Times New Roman"/>
                <w:b/>
                <w:bCs/>
                <w:color w:val="000000" w:themeColor="text1"/>
                <w:kern w:val="0"/>
                <w:sz w:val="24"/>
                <w:lang w:val="en-US" w:eastAsia="zh-CN"/>
                <w14:textFill>
                  <w14:solidFill>
                    <w14:schemeClr w14:val="tx1"/>
                  </w14:solidFill>
                </w14:textFill>
              </w:rPr>
              <w:t>主体</w:t>
            </w:r>
            <w:r>
              <w:rPr>
                <w:rFonts w:hint="default" w:ascii="Times New Roman" w:hAnsi="Times New Roman" w:eastAsia="宋体" w:cs="Times New Roman"/>
                <w:b/>
                <w:bCs/>
                <w:color w:val="000000" w:themeColor="text1"/>
                <w:kern w:val="0"/>
                <w:sz w:val="24"/>
                <w14:textFill>
                  <w14:solidFill>
                    <w14:schemeClr w14:val="tx1"/>
                  </w14:solidFill>
                </w14:textFill>
              </w:rPr>
              <w:t>功能区划</w:t>
            </w:r>
          </w:p>
          <w:p w14:paraId="72E46C5C">
            <w:pPr>
              <w:adjustRightInd w:val="0"/>
              <w:spacing w:line="360" w:lineRule="auto"/>
              <w:ind w:firstLine="480" w:firstLineChars="200"/>
              <w:rPr>
                <w:rFonts w:hint="default" w:ascii="Times New Roman" w:hAnsi="Times New Roman" w:eastAsia="宋体" w:cs="Times New Roman"/>
                <w:b/>
                <w:bCs/>
                <w:color w:val="000000" w:themeColor="text1"/>
                <w:kern w:val="0"/>
                <w:sz w:val="24"/>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根据《新疆维吾尔自治区主体功能区规划》，喀什地区麦盖提县全域（包括其下辖的尕孜库勒乡）被划入限制开发区域中的“重点生态功能区”，具体位于国家级“塔里木河荒漠化防治生态功能区”内，发展活动需以生态保护与修复、防治土地沙漠化为核心，严格控制开发强度；而莎车县阿扎特巴格镇则属于限制开发区域中的“国家级农产品主产区”，并在县域国土空间规划中被进一步定位为“农旅型乡镇”，其发展以保障粮食安全和特色农业为基础，同时依托河流生态景观适度发展生态观光旅游，实现农业与旅游业的融合。</w:t>
            </w:r>
          </w:p>
          <w:p w14:paraId="424A26DA">
            <w:pPr>
              <w:adjustRightInd w:val="0"/>
              <w:spacing w:line="360" w:lineRule="auto"/>
              <w:ind w:firstLine="482" w:firstLineChars="200"/>
              <w:rPr>
                <w:rFonts w:hint="default" w:ascii="Times New Roman" w:hAnsi="Times New Roman" w:eastAsia="宋体" w:cs="Times New Roman"/>
                <w:b/>
                <w:bCs/>
                <w:color w:val="000000" w:themeColor="text1"/>
                <w:kern w:val="0"/>
                <w:sz w:val="24"/>
                <w14:textFill>
                  <w14:solidFill>
                    <w14:schemeClr w14:val="tx1"/>
                  </w14:solidFill>
                </w14:textFill>
              </w:rPr>
            </w:pPr>
            <w:r>
              <w:rPr>
                <w:rFonts w:hint="default" w:ascii="Times New Roman" w:hAnsi="Times New Roman" w:eastAsia="宋体" w:cs="Times New Roman"/>
                <w:b/>
                <w:bCs/>
                <w:color w:val="000000" w:themeColor="text1"/>
                <w:kern w:val="0"/>
                <w:sz w:val="24"/>
                <w14:textFill>
                  <w14:solidFill>
                    <w14:schemeClr w14:val="tx1"/>
                  </w14:solidFill>
                </w14:textFill>
              </w:rPr>
              <w:t>1.</w:t>
            </w:r>
            <w:r>
              <w:rPr>
                <w:rFonts w:hint="default" w:ascii="Times New Roman" w:hAnsi="Times New Roman" w:eastAsia="宋体" w:cs="Times New Roman"/>
                <w:b/>
                <w:bCs/>
                <w:color w:val="000000" w:themeColor="text1"/>
                <w:kern w:val="0"/>
                <w:sz w:val="24"/>
                <w:lang w:val="en-US" w:eastAsia="zh-CN"/>
                <w14:textFill>
                  <w14:solidFill>
                    <w14:schemeClr w14:val="tx1"/>
                  </w14:solidFill>
                </w14:textFill>
              </w:rPr>
              <w:t>2</w:t>
            </w:r>
            <w:r>
              <w:rPr>
                <w:rFonts w:hint="default" w:ascii="Times New Roman" w:hAnsi="Times New Roman" w:eastAsia="宋体" w:cs="Times New Roman"/>
                <w:b/>
                <w:bCs/>
                <w:color w:val="000000" w:themeColor="text1"/>
                <w:kern w:val="0"/>
                <w:sz w:val="24"/>
                <w14:textFill>
                  <w14:solidFill>
                    <w14:schemeClr w14:val="tx1"/>
                  </w14:solidFill>
                </w14:textFill>
              </w:rPr>
              <w:t>生态环境功能区划</w:t>
            </w:r>
          </w:p>
          <w:p w14:paraId="3637CF48">
            <w:pPr>
              <w:spacing w:line="360" w:lineRule="auto"/>
              <w:ind w:firstLine="480" w:firstLineChars="200"/>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本项目建设地点位于莎车县阿扎特巴格镇/麦盖提县尕孜库勒乡（叶尔羌河右岸），按照《新疆生态功能区划》，拟建项目区的生态功能区划属于</w:t>
            </w:r>
            <w:r>
              <w:rPr>
                <w:rFonts w:hint="default" w:ascii="Times New Roman" w:hAnsi="Times New Roman" w:eastAsia="宋体" w:cs="Times New Roman"/>
                <w:color w:val="000000" w:themeColor="text1"/>
                <w:sz w:val="24"/>
                <w:lang w:val="en-US" w:eastAsia="zh-CN"/>
                <w14:textFill>
                  <w14:solidFill>
                    <w14:schemeClr w14:val="tx1"/>
                  </w14:solidFill>
                </w14:textFill>
              </w:rPr>
              <w:fldChar w:fldCharType="begin"/>
            </w:r>
            <w:r>
              <w:rPr>
                <w:rFonts w:hint="default" w:ascii="Times New Roman" w:hAnsi="Times New Roman" w:eastAsia="宋体" w:cs="Times New Roman"/>
                <w:color w:val="000000" w:themeColor="text1"/>
                <w:sz w:val="24"/>
                <w:lang w:val="en-US" w:eastAsia="zh-CN"/>
                <w14:textFill>
                  <w14:solidFill>
                    <w14:schemeClr w14:val="tx1"/>
                  </w14:solidFill>
                </w14:textFill>
              </w:rPr>
              <w:instrText xml:space="preserve"> = 4 \* ROMAN </w:instrText>
            </w:r>
            <w:r>
              <w:rPr>
                <w:rFonts w:hint="default" w:ascii="Times New Roman" w:hAnsi="Times New Roman" w:eastAsia="宋体" w:cs="Times New Roman"/>
                <w:color w:val="000000" w:themeColor="text1"/>
                <w:sz w:val="24"/>
                <w:lang w:val="en-US" w:eastAsia="zh-CN"/>
                <w14:textFill>
                  <w14:solidFill>
                    <w14:schemeClr w14:val="tx1"/>
                  </w14:solidFill>
                </w14:textFill>
              </w:rPr>
              <w:fldChar w:fldCharType="separate"/>
            </w:r>
            <w:r>
              <w:rPr>
                <w:rFonts w:hint="default" w:ascii="Times New Roman" w:hAnsi="Times New Roman" w:eastAsia="宋体" w:cs="Times New Roman"/>
                <w:color w:val="000000" w:themeColor="text1"/>
                <w:sz w:val="24"/>
                <w:lang w:val="en-US" w:eastAsia="zh-CN"/>
                <w14:textFill>
                  <w14:solidFill>
                    <w14:schemeClr w14:val="tx1"/>
                  </w14:solidFill>
                </w14:textFill>
              </w:rPr>
              <w:t>IV</w:t>
            </w:r>
            <w:r>
              <w:rPr>
                <w:rFonts w:hint="default" w:ascii="Times New Roman" w:hAnsi="Times New Roman" w:eastAsia="宋体" w:cs="Times New Roman"/>
                <w:color w:val="000000" w:themeColor="text1"/>
                <w:sz w:val="24"/>
                <w:lang w:val="en-US" w:eastAsia="zh-CN"/>
                <w14:textFill>
                  <w14:solidFill>
                    <w14:schemeClr w14:val="tx1"/>
                  </w14:solidFill>
                </w14:textFill>
              </w:rPr>
              <w:fldChar w:fldCharType="end"/>
            </w:r>
            <w:r>
              <w:rPr>
                <w:rFonts w:hint="default" w:ascii="Times New Roman" w:hAnsi="Times New Roman" w:eastAsia="宋体" w:cs="Times New Roman"/>
                <w:color w:val="000000" w:themeColor="text1"/>
                <w:sz w:val="24"/>
                <w:lang w:val="en-US" w:eastAsia="zh-CN"/>
                <w14:textFill>
                  <w14:solidFill>
                    <w14:schemeClr w14:val="tx1"/>
                  </w14:solidFill>
                </w14:textFill>
              </w:rPr>
              <w:t>塔里木盆地西部、北部荒漠及绿洲农业生态亚区，具体见下表及附图4。</w:t>
            </w:r>
          </w:p>
          <w:p w14:paraId="52CB7AE1">
            <w:pPr>
              <w:jc w:val="center"/>
              <w:rPr>
                <w:rFonts w:hint="default" w:ascii="Times New Roman" w:hAnsi="Times New Roman" w:eastAsia="宋体" w:cs="Times New Roman"/>
                <w:b/>
                <w:color w:val="000000" w:themeColor="text1"/>
                <w:szCs w:val="21"/>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3-1</w:t>
            </w:r>
            <w:r>
              <w:rPr>
                <w:rFonts w:hint="default" w:ascii="Times New Roman" w:hAnsi="Times New Roman" w:eastAsia="宋体" w:cs="Times New Roman"/>
                <w:b/>
                <w:color w:val="000000" w:themeColor="text1"/>
                <w:szCs w:val="21"/>
                <w14:textFill>
                  <w14:solidFill>
                    <w14:schemeClr w14:val="tx1"/>
                  </w14:solidFill>
                </w14:textFill>
              </w:rPr>
              <w:t>评价区生态功能区划简表</w:t>
            </w:r>
          </w:p>
          <w:tbl>
            <w:tblPr>
              <w:tblStyle w:val="34"/>
              <w:tblW w:w="86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5"/>
              <w:gridCol w:w="6331"/>
            </w:tblGrid>
            <w:tr w14:paraId="031F7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325" w:type="dxa"/>
                  <w:vAlign w:val="center"/>
                </w:tcPr>
                <w:p w14:paraId="53ED26F4">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项目</w:t>
                  </w:r>
                </w:p>
              </w:tc>
              <w:tc>
                <w:tcPr>
                  <w:tcW w:w="6331" w:type="dxa"/>
                  <w:vAlign w:val="center"/>
                </w:tcPr>
                <w:p w14:paraId="1CF62923">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区划</w:t>
                  </w:r>
                </w:p>
              </w:tc>
            </w:tr>
            <w:tr w14:paraId="77531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325" w:type="dxa"/>
                  <w:vAlign w:val="center"/>
                </w:tcPr>
                <w:p w14:paraId="126E8472">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生态区</w:t>
                  </w:r>
                </w:p>
              </w:tc>
              <w:tc>
                <w:tcPr>
                  <w:tcW w:w="6331" w:type="dxa"/>
                  <w:vAlign w:val="center"/>
                </w:tcPr>
                <w:p w14:paraId="6359C4D2">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fldChar w:fldCharType="begin"/>
                  </w:r>
                  <w:r>
                    <w:rPr>
                      <w:rFonts w:hint="default" w:ascii="Times New Roman" w:hAnsi="Times New Roman" w:eastAsia="宋体" w:cs="Times New Roman"/>
                      <w:color w:val="000000" w:themeColor="text1"/>
                      <w:sz w:val="21"/>
                      <w:szCs w:val="21"/>
                      <w:highlight w:val="none"/>
                      <w14:textFill>
                        <w14:solidFill>
                          <w14:schemeClr w14:val="tx1"/>
                        </w14:solidFill>
                      </w14:textFill>
                    </w:rPr>
                    <w:instrText xml:space="preserve"> = 4 \* ROMAN </w:instrText>
                  </w:r>
                  <w:r>
                    <w:rPr>
                      <w:rFonts w:hint="default" w:ascii="Times New Roman" w:hAnsi="Times New Roman" w:eastAsia="宋体" w:cs="Times New Roman"/>
                      <w:color w:val="000000" w:themeColor="text1"/>
                      <w:sz w:val="21"/>
                      <w:szCs w:val="21"/>
                      <w:highlight w:val="none"/>
                      <w14:textFill>
                        <w14:solidFill>
                          <w14:schemeClr w14:val="tx1"/>
                        </w14:solidFill>
                      </w14:textFill>
                    </w:rPr>
                    <w:fldChar w:fldCharType="separate"/>
                  </w:r>
                  <w:r>
                    <w:rPr>
                      <w:rFonts w:hint="default" w:ascii="Times New Roman" w:hAnsi="Times New Roman" w:eastAsia="宋体" w:cs="Times New Roman"/>
                      <w:color w:val="000000" w:themeColor="text1"/>
                      <w:sz w:val="21"/>
                      <w:szCs w:val="21"/>
                      <w:highlight w:val="none"/>
                      <w14:textFill>
                        <w14:solidFill>
                          <w14:schemeClr w14:val="tx1"/>
                        </w14:solidFill>
                      </w14:textFill>
                    </w:rPr>
                    <w:t>IV</w:t>
                  </w:r>
                  <w:r>
                    <w:rPr>
                      <w:rFonts w:hint="default" w:ascii="Times New Roman" w:hAnsi="Times New Roman" w:eastAsia="宋体" w:cs="Times New Roman"/>
                      <w:color w:val="000000" w:themeColor="text1"/>
                      <w:sz w:val="21"/>
                      <w:szCs w:val="21"/>
                      <w:highlight w:val="none"/>
                      <w14:textFill>
                        <w14:solidFill>
                          <w14:schemeClr w14:val="tx1"/>
                        </w14:solidFill>
                      </w14:textFill>
                    </w:rPr>
                    <w:fldChar w:fldCharType="end"/>
                  </w:r>
                  <w:r>
                    <w:rPr>
                      <w:rFonts w:hint="default" w:ascii="Times New Roman" w:hAnsi="Times New Roman" w:eastAsia="宋体" w:cs="Times New Roman"/>
                      <w:color w:val="000000" w:themeColor="text1"/>
                      <w:sz w:val="21"/>
                      <w:szCs w:val="21"/>
                      <w:highlight w:val="none"/>
                      <w14:textFill>
                        <w14:solidFill>
                          <w14:schemeClr w14:val="tx1"/>
                        </w14:solidFill>
                      </w14:textFill>
                    </w:rPr>
                    <w:t>塔里木盆地暖温荒漠及绿洲农业生态区</w:t>
                  </w:r>
                </w:p>
              </w:tc>
            </w:tr>
            <w:tr w14:paraId="45591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2325" w:type="dxa"/>
                  <w:vAlign w:val="center"/>
                </w:tcPr>
                <w:p w14:paraId="035A02E8">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生态亚区</w:t>
                  </w:r>
                </w:p>
              </w:tc>
              <w:tc>
                <w:tcPr>
                  <w:tcW w:w="6331" w:type="dxa"/>
                  <w:vAlign w:val="center"/>
                </w:tcPr>
                <w:p w14:paraId="2339B151">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fldChar w:fldCharType="begin"/>
                  </w:r>
                  <w:r>
                    <w:rPr>
                      <w:rFonts w:hint="default" w:ascii="Times New Roman" w:hAnsi="Times New Roman" w:eastAsia="宋体" w:cs="Times New Roman"/>
                      <w:color w:val="000000" w:themeColor="text1"/>
                      <w:sz w:val="21"/>
                      <w:szCs w:val="21"/>
                      <w:highlight w:val="none"/>
                      <w14:textFill>
                        <w14:solidFill>
                          <w14:schemeClr w14:val="tx1"/>
                        </w14:solidFill>
                      </w14:textFill>
                    </w:rPr>
                    <w:instrText xml:space="preserve"> = 4 \* ROMAN </w:instrText>
                  </w:r>
                  <w:r>
                    <w:rPr>
                      <w:rFonts w:hint="default" w:ascii="Times New Roman" w:hAnsi="Times New Roman" w:eastAsia="宋体" w:cs="Times New Roman"/>
                      <w:color w:val="000000" w:themeColor="text1"/>
                      <w:sz w:val="21"/>
                      <w:szCs w:val="21"/>
                      <w:highlight w:val="none"/>
                      <w14:textFill>
                        <w14:solidFill>
                          <w14:schemeClr w14:val="tx1"/>
                        </w14:solidFill>
                      </w14:textFill>
                    </w:rPr>
                    <w:fldChar w:fldCharType="separate"/>
                  </w:r>
                  <w:r>
                    <w:rPr>
                      <w:rFonts w:hint="default" w:ascii="Times New Roman" w:hAnsi="Times New Roman" w:eastAsia="宋体" w:cs="Times New Roman"/>
                      <w:color w:val="000000" w:themeColor="text1"/>
                      <w:sz w:val="21"/>
                      <w:szCs w:val="21"/>
                      <w:highlight w:val="none"/>
                      <w14:textFill>
                        <w14:solidFill>
                          <w14:schemeClr w14:val="tx1"/>
                        </w14:solidFill>
                      </w14:textFill>
                    </w:rPr>
                    <w:t>IV</w:t>
                  </w:r>
                  <w:r>
                    <w:rPr>
                      <w:rFonts w:hint="default" w:ascii="Times New Roman" w:hAnsi="Times New Roman" w:eastAsia="宋体" w:cs="Times New Roman"/>
                      <w:color w:val="000000" w:themeColor="text1"/>
                      <w:sz w:val="21"/>
                      <w:szCs w:val="21"/>
                      <w:highlight w:val="none"/>
                      <w14:textFill>
                        <w14:solidFill>
                          <w14:schemeClr w14:val="tx1"/>
                        </w14:solidFill>
                      </w14:textFill>
                    </w:rPr>
                    <w:fldChar w:fldCharType="end"/>
                  </w:r>
                  <w:r>
                    <w:rPr>
                      <w:rFonts w:hint="default" w:ascii="Times New Roman" w:hAnsi="Times New Roman" w:eastAsia="宋体" w:cs="Times New Roman"/>
                      <w:color w:val="000000" w:themeColor="text1"/>
                      <w:sz w:val="21"/>
                      <w:szCs w:val="21"/>
                      <w:highlight w:val="none"/>
                      <w14:textFill>
                        <w14:solidFill>
                          <w14:schemeClr w14:val="tx1"/>
                        </w14:solidFill>
                      </w14:textFill>
                    </w:rPr>
                    <w:t>塔里木盆地西部、北部荒漠及绿洲农业生态亚区</w:t>
                  </w:r>
                </w:p>
              </w:tc>
            </w:tr>
            <w:tr w14:paraId="5DAA2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325" w:type="dxa"/>
                  <w:vAlign w:val="center"/>
                </w:tcPr>
                <w:p w14:paraId="7BAF4B5D">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生态功能区</w:t>
                  </w:r>
                </w:p>
              </w:tc>
              <w:tc>
                <w:tcPr>
                  <w:tcW w:w="6331" w:type="dxa"/>
                  <w:vAlign w:val="center"/>
                </w:tcPr>
                <w:p w14:paraId="7DD1B523">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58．叶尔羌河平原绿洲农业及荒漠河岸林保护生态功能区</w:t>
                  </w:r>
                </w:p>
              </w:tc>
            </w:tr>
            <w:tr w14:paraId="69C1C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325" w:type="dxa"/>
                  <w:vAlign w:val="center"/>
                </w:tcPr>
                <w:p w14:paraId="17E0F6AF">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主要生态服务功能</w:t>
                  </w:r>
                </w:p>
              </w:tc>
              <w:tc>
                <w:tcPr>
                  <w:tcW w:w="6331" w:type="dxa"/>
                  <w:vAlign w:val="center"/>
                </w:tcPr>
                <w:p w14:paraId="30103599">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农畜产品生产、油气资源开发、塔里木河水源补给</w:t>
                  </w:r>
                </w:p>
              </w:tc>
            </w:tr>
            <w:tr w14:paraId="4EF25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325" w:type="dxa"/>
                  <w:vAlign w:val="center"/>
                </w:tcPr>
                <w:p w14:paraId="72B3DC4B">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主要生态环境问题</w:t>
                  </w:r>
                </w:p>
              </w:tc>
              <w:tc>
                <w:tcPr>
                  <w:tcW w:w="6331" w:type="dxa"/>
                  <w:vAlign w:val="center"/>
                </w:tcPr>
                <w:p w14:paraId="1BBD0750">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土壤盐渍化、风沙危害、荒漠植被和胡杨林破坏、乱挖甘草、平原水库蒸发渗漏损失严重、油气开发污染环境、土壤环境质量下降</w:t>
                  </w:r>
                </w:p>
              </w:tc>
            </w:tr>
            <w:tr w14:paraId="2FAB4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325" w:type="dxa"/>
                  <w:vAlign w:val="center"/>
                </w:tcPr>
                <w:p w14:paraId="27678604">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生态敏感因子敏感程度</w:t>
                  </w:r>
                </w:p>
              </w:tc>
              <w:tc>
                <w:tcPr>
                  <w:tcW w:w="6331" w:type="dxa"/>
                  <w:vAlign w:val="center"/>
                </w:tcPr>
                <w:p w14:paraId="0528699D">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生物多样性及其生境中度敏感，土地沙漠化、土壤盐渍化轻度敏感</w:t>
                  </w:r>
                </w:p>
              </w:tc>
            </w:tr>
            <w:tr w14:paraId="23C69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325" w:type="dxa"/>
                  <w:vAlign w:val="center"/>
                </w:tcPr>
                <w:p w14:paraId="0B11D85A">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主要保护目标</w:t>
                  </w:r>
                </w:p>
              </w:tc>
              <w:tc>
                <w:tcPr>
                  <w:tcW w:w="6331" w:type="dxa"/>
                  <w:vAlign w:val="center"/>
                </w:tcPr>
                <w:p w14:paraId="7AC17B83">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保护荒漠植被、保护荒漠河岸林、保护</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耕地</w:t>
                  </w:r>
                  <w:r>
                    <w:rPr>
                      <w:rFonts w:hint="default" w:ascii="Times New Roman" w:hAnsi="Times New Roman" w:eastAsia="宋体" w:cs="Times New Roman"/>
                      <w:color w:val="000000" w:themeColor="text1"/>
                      <w:sz w:val="21"/>
                      <w:szCs w:val="21"/>
                      <w:highlight w:val="none"/>
                      <w14:textFill>
                        <w14:solidFill>
                          <w14:schemeClr w14:val="tx1"/>
                        </w14:solidFill>
                      </w14:textFill>
                    </w:rPr>
                    <w:t>土壤环境质量</w:t>
                  </w:r>
                </w:p>
              </w:tc>
            </w:tr>
            <w:tr w14:paraId="179C7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325" w:type="dxa"/>
                  <w:vAlign w:val="center"/>
                </w:tcPr>
                <w:p w14:paraId="59332DE8">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主要保护措施</w:t>
                  </w:r>
                </w:p>
              </w:tc>
              <w:tc>
                <w:tcPr>
                  <w:tcW w:w="6331" w:type="dxa"/>
                  <w:vAlign w:val="center"/>
                </w:tcPr>
                <w:p w14:paraId="1C5224EC">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适度开发地下水、增加向塔河输水量、退耕还林还草、废除部分平原水库、节水灌溉、增加</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耕地</w:t>
                  </w:r>
                  <w:r>
                    <w:rPr>
                      <w:rFonts w:hint="default" w:ascii="Times New Roman" w:hAnsi="Times New Roman" w:eastAsia="宋体" w:cs="Times New Roman"/>
                      <w:color w:val="000000" w:themeColor="text1"/>
                      <w:sz w:val="21"/>
                      <w:szCs w:val="21"/>
                      <w:highlight w:val="none"/>
                      <w14:textFill>
                        <w14:solidFill>
                          <w14:schemeClr w14:val="tx1"/>
                        </w14:solidFill>
                      </w14:textFill>
                    </w:rPr>
                    <w:t>投入品的使用管理</w:t>
                  </w:r>
                </w:p>
              </w:tc>
            </w:tr>
            <w:tr w14:paraId="56C32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325" w:type="dxa"/>
                  <w:vAlign w:val="center"/>
                </w:tcPr>
                <w:p w14:paraId="7430F719">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适宜发展方向</w:t>
                  </w:r>
                </w:p>
              </w:tc>
              <w:tc>
                <w:tcPr>
                  <w:tcW w:w="6331" w:type="dxa"/>
                  <w:vAlign w:val="center"/>
                </w:tcPr>
                <w:p w14:paraId="4082A565">
                  <w:pPr>
                    <w:pStyle w:val="114"/>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建成粮食、经济作物、林果业基地，发展农区畜牧业</w:t>
                  </w:r>
                </w:p>
              </w:tc>
            </w:tr>
          </w:tbl>
          <w:p w14:paraId="06D884D6">
            <w:pPr>
              <w:spacing w:line="360" w:lineRule="auto"/>
              <w:ind w:firstLine="482" w:firstLineChars="200"/>
              <w:rPr>
                <w:rFonts w:hint="default" w:ascii="Times New Roman" w:hAnsi="Times New Roman" w:eastAsia="宋体" w:cs="Times New Roman"/>
                <w:b/>
                <w:bCs/>
                <w:color w:val="000000" w:themeColor="text1"/>
                <w:kern w:val="0"/>
                <w:sz w:val="24"/>
                <w14:textFill>
                  <w14:solidFill>
                    <w14:schemeClr w14:val="tx1"/>
                  </w14:solidFill>
                </w14:textFill>
              </w:rPr>
            </w:pPr>
            <w:r>
              <w:rPr>
                <w:rFonts w:hint="default" w:ascii="Times New Roman" w:hAnsi="Times New Roman" w:eastAsia="宋体" w:cs="Times New Roman"/>
                <w:b/>
                <w:bCs/>
                <w:color w:val="000000" w:themeColor="text1"/>
                <w:kern w:val="0"/>
                <w:sz w:val="24"/>
                <w14:textFill>
                  <w14:solidFill>
                    <w14:schemeClr w14:val="tx1"/>
                  </w14:solidFill>
                </w14:textFill>
              </w:rPr>
              <w:t>1.</w:t>
            </w:r>
            <w:r>
              <w:rPr>
                <w:rFonts w:hint="default" w:ascii="Times New Roman" w:hAnsi="Times New Roman" w:eastAsia="宋体" w:cs="Times New Roman"/>
                <w:b/>
                <w:bCs/>
                <w:color w:val="000000" w:themeColor="text1"/>
                <w:kern w:val="0"/>
                <w:sz w:val="24"/>
                <w:lang w:val="en-US" w:eastAsia="zh-CN"/>
                <w14:textFill>
                  <w14:solidFill>
                    <w14:schemeClr w14:val="tx1"/>
                  </w14:solidFill>
                </w14:textFill>
              </w:rPr>
              <w:t>3</w:t>
            </w:r>
            <w:r>
              <w:rPr>
                <w:rFonts w:hint="default" w:ascii="Times New Roman" w:hAnsi="Times New Roman" w:eastAsia="宋体" w:cs="Times New Roman"/>
                <w:b/>
                <w:bCs/>
                <w:color w:val="000000" w:themeColor="text1"/>
                <w:kern w:val="0"/>
                <w:sz w:val="24"/>
                <w14:textFill>
                  <w14:solidFill>
                    <w14:schemeClr w14:val="tx1"/>
                  </w14:solidFill>
                </w14:textFill>
              </w:rPr>
              <w:t>生态现状调查</w:t>
            </w:r>
          </w:p>
          <w:p w14:paraId="5B285E3E">
            <w:pPr>
              <w:pStyle w:val="116"/>
              <w:ind w:firstLine="480"/>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eastAsia="宋体" w:cs="Times New Roman"/>
                <w:color w:val="000000" w:themeColor="text1"/>
                <w:lang w:val="en-US" w:eastAsia="zh-CN"/>
                <w14:textFill>
                  <w14:solidFill>
                    <w14:schemeClr w14:val="tx1"/>
                  </w14:solidFill>
                </w14:textFill>
              </w:rPr>
              <w:t>1</w:t>
            </w: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eastAsia="宋体" w:cs="Times New Roman"/>
                <w:color w:val="000000" w:themeColor="text1"/>
                <w:lang w:val="en-US" w:eastAsia="zh-CN"/>
                <w14:textFill>
                  <w14:solidFill>
                    <w14:schemeClr w14:val="tx1"/>
                  </w14:solidFill>
                </w14:textFill>
              </w:rPr>
              <w:t>土地利用现状调查</w:t>
            </w:r>
          </w:p>
          <w:p w14:paraId="1AFC707C">
            <w:pPr>
              <w:pStyle w:val="116"/>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项目永久占地19.02hm²，其中占耕地</w:t>
            </w: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eastAsia="宋体" w:cs="Times New Roman"/>
                <w:color w:val="000000" w:themeColor="text1"/>
                <w:lang w:val="en-US" w:eastAsia="zh-CN"/>
                <w14:textFill>
                  <w14:solidFill>
                    <w14:schemeClr w14:val="tx1"/>
                  </w14:solidFill>
                </w14:textFill>
              </w:rPr>
              <w:t>非基本农田</w:t>
            </w: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8.33hm²，草地1.47hm²，交通用地0.08hm²，水域及水利设施用地9.14hm²。永久征地范围内不涉及永久基本农田、不涉及生态红线保护区、公益林。</w:t>
            </w:r>
          </w:p>
          <w:p w14:paraId="72B0F905">
            <w:pPr>
              <w:pStyle w:val="116"/>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项目临时占地</w:t>
            </w:r>
            <w:r>
              <w:rPr>
                <w:rFonts w:hint="default" w:ascii="Times New Roman" w:hAnsi="Times New Roman" w:eastAsia="宋体" w:cs="Times New Roman"/>
                <w:color w:val="000000" w:themeColor="text1"/>
                <w:lang w:eastAsia="zh-CN"/>
                <w14:textFill>
                  <w14:solidFill>
                    <w14:schemeClr w14:val="tx1"/>
                  </w14:solidFill>
                </w14:textFill>
              </w:rPr>
              <w:t>22.461</w:t>
            </w:r>
            <w:r>
              <w:rPr>
                <w:rFonts w:hint="default" w:ascii="Times New Roman" w:hAnsi="Times New Roman" w:eastAsia="宋体" w:cs="Times New Roman"/>
                <w:color w:val="000000" w:themeColor="text1"/>
                <w14:textFill>
                  <w14:solidFill>
                    <w14:schemeClr w14:val="tx1"/>
                  </w14:solidFill>
                </w14:textFill>
              </w:rPr>
              <w:t>hm²，其中占耕地4.01hm²，草地0.30hm²，交通用地0.02hm²，水域及水利设施用地14.65hm²，其他土地3.48hm²。临时征地范围内不涉及永久基本农田、不涉及生态红线保护区、公益林。</w:t>
            </w:r>
            <w:r>
              <w:rPr>
                <w:rFonts w:hint="default" w:ascii="Times New Roman" w:hAnsi="Times New Roman" w:eastAsia="宋体" w:cs="Times New Roman"/>
                <w:color w:val="000000" w:themeColor="text1"/>
                <w:lang w:val="en-US" w:eastAsia="zh-CN"/>
                <w14:textFill>
                  <w14:solidFill>
                    <w14:schemeClr w14:val="tx1"/>
                  </w14:solidFill>
                </w14:textFill>
              </w:rPr>
              <w:t>土地利用现状图见附图7，基本农田分布图见附图10。</w:t>
            </w:r>
          </w:p>
          <w:p w14:paraId="5F03899C">
            <w:pPr>
              <w:pStyle w:val="116"/>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lang w:val="en-US" w:eastAsia="zh-CN"/>
                <w14:textFill>
                  <w14:solidFill>
                    <w14:schemeClr w14:val="tx1"/>
                  </w14:solidFill>
                </w14:textFill>
              </w:rPr>
              <w:t>2</w:t>
            </w:r>
            <w:r>
              <w:rPr>
                <w:rFonts w:hint="default" w:ascii="Times New Roman" w:hAnsi="Times New Roman" w:eastAsia="宋体" w:cs="Times New Roman"/>
                <w:color w:val="000000" w:themeColor="text1"/>
                <w14:textFill>
                  <w14:solidFill>
                    <w14:schemeClr w14:val="tx1"/>
                  </w14:solidFill>
                </w14:textFill>
              </w:rPr>
              <w:t>）土壤环境现状及评价</w:t>
            </w:r>
          </w:p>
          <w:p w14:paraId="6403FAD2">
            <w:pPr>
              <w:pStyle w:val="116"/>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项</w:t>
            </w:r>
            <w:r>
              <w:rPr>
                <w:rFonts w:hint="default" w:ascii="Times New Roman" w:hAnsi="Times New Roman" w:eastAsia="宋体" w:cs="Times New Roman"/>
                <w:color w:val="000000" w:themeColor="text1"/>
                <w:lang w:val="en-US" w:eastAsia="zh-CN"/>
                <w14:textFill>
                  <w14:solidFill>
                    <w14:schemeClr w14:val="tx1"/>
                  </w14:solidFill>
                </w14:textFill>
              </w:rPr>
              <w:t>目区位于叶尔羌河冲积平原，主要土壤类型为灌淤土、潮土和草甸土。灌淤土主要分布于护岸背水侧堤后耕地，土层深厚，肥力较高，是主要的耕作土壤。潮土主要分布于河滩地、临时占地及河岸带，受河水浸润影响，土壤水分条件较好。草甸土主要分布于取弃土场区及部分河滩高地，地表有盐结皮，植被稀疏。土壤类型分布图见附图8</w:t>
            </w:r>
            <w:r>
              <w:rPr>
                <w:rFonts w:hint="default" w:ascii="Times New Roman" w:hAnsi="Times New Roman" w:eastAsia="宋体" w:cs="Times New Roman"/>
                <w:color w:val="000000" w:themeColor="text1"/>
                <w14:textFill>
                  <w14:solidFill>
                    <w14:schemeClr w14:val="tx1"/>
                  </w14:solidFill>
                </w14:textFill>
              </w:rPr>
              <w:t>。</w:t>
            </w:r>
          </w:p>
          <w:p w14:paraId="786078E4">
            <w:pPr>
              <w:pStyle w:val="116"/>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lang w:val="en-US" w:eastAsia="zh-CN"/>
                <w14:textFill>
                  <w14:solidFill>
                    <w14:schemeClr w14:val="tx1"/>
                  </w14:solidFill>
                </w14:textFill>
              </w:rPr>
              <w:t>3</w:t>
            </w:r>
            <w:r>
              <w:rPr>
                <w:rFonts w:hint="default" w:ascii="Times New Roman" w:hAnsi="Times New Roman" w:eastAsia="宋体" w:cs="Times New Roman"/>
                <w:color w:val="000000" w:themeColor="text1"/>
                <w14:textFill>
                  <w14:solidFill>
                    <w14:schemeClr w14:val="tx1"/>
                  </w14:solidFill>
                </w14:textFill>
              </w:rPr>
              <w:t>）植被现状及评价</w:t>
            </w:r>
          </w:p>
          <w:p w14:paraId="73B68C4A">
            <w:pPr>
              <w:pStyle w:val="116"/>
              <w:ind w:firstLine="480"/>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项目区位于叶尔羌河右岸冲积平原，植被类型以</w:t>
            </w: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人工植被为主。</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主要植物种包括芦苇、骆驼刺、红柳（多枝柽柳）、怪柳（刚毛柽柳）、盐穗木、盐节木等，其中红柳和怪柳在河岸带呈带状分布，芦苇多见于河滩地和沟渠边，盐穗木和盐节木主要分布在取弃土场等盐碱化区域。项目区植被覆盖度总体较低，河岸灌丛覆盖度约20%～30%，荒漠草地覆盖度仅5%～10%，农田区域以玉米、小麦、棉花等栽培植被为主。</w:t>
            </w:r>
            <w:r>
              <w:rPr>
                <w:rFonts w:hint="default" w:ascii="Times New Roman" w:hAnsi="Times New Roman" w:eastAsia="宋体" w:cs="Times New Roman"/>
                <w:color w:val="000000" w:themeColor="text1"/>
                <w:lang w:val="en-US" w:eastAsia="zh-CN"/>
                <w14:textFill>
                  <w14:solidFill>
                    <w14:schemeClr w14:val="tx1"/>
                  </w14:solidFill>
                </w14:textFill>
              </w:rPr>
              <w:t>对照《新疆维吾尔自治区重点保护野生植物名录》（新政发〔2023〕63号），项目区植被无重点保护野生植物</w:t>
            </w:r>
            <w:r>
              <w:rPr>
                <w:rFonts w:hint="default" w:ascii="Times New Roman" w:hAnsi="Times New Roman" w:eastAsia="宋体" w:cs="Times New Roman"/>
                <w:color w:val="000000" w:themeColor="text1"/>
                <w:kern w:val="2"/>
                <w14:textFill>
                  <w14:solidFill>
                    <w14:schemeClr w14:val="tx1"/>
                  </w14:solidFill>
                </w14:textFill>
              </w:rPr>
              <w:t>。</w:t>
            </w:r>
            <w:r>
              <w:rPr>
                <w:rFonts w:hint="default" w:ascii="Times New Roman" w:hAnsi="Times New Roman" w:eastAsia="宋体" w:cs="Times New Roman"/>
                <w:color w:val="000000" w:themeColor="text1"/>
                <w:kern w:val="2"/>
                <w:lang w:val="en-US" w:eastAsia="zh-CN"/>
                <w14:textFill>
                  <w14:solidFill>
                    <w14:schemeClr w14:val="tx1"/>
                  </w14:solidFill>
                </w14:textFill>
              </w:rPr>
              <w:t>植被类型分布图见附图9</w:t>
            </w:r>
            <w:r>
              <w:rPr>
                <w:rFonts w:hint="default" w:ascii="Times New Roman" w:hAnsi="Times New Roman" w:eastAsia="宋体" w:cs="Times New Roman"/>
                <w:color w:val="000000" w:themeColor="text1"/>
                <w:kern w:val="2"/>
                <w14:textFill>
                  <w14:solidFill>
                    <w14:schemeClr w14:val="tx1"/>
                  </w14:solidFill>
                </w14:textFill>
              </w:rPr>
              <w:t>。</w:t>
            </w:r>
          </w:p>
          <w:p w14:paraId="53178B79">
            <w:pPr>
              <w:pStyle w:val="116"/>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lang w:val="en-US" w:eastAsia="zh-CN"/>
                <w14:textFill>
                  <w14:solidFill>
                    <w14:schemeClr w14:val="tx1"/>
                  </w14:solidFill>
                </w14:textFill>
              </w:rPr>
              <w:t>4</w:t>
            </w:r>
            <w:r>
              <w:rPr>
                <w:rFonts w:hint="default" w:ascii="Times New Roman" w:hAnsi="Times New Roman" w:eastAsia="宋体" w:cs="Times New Roman"/>
                <w:color w:val="000000" w:themeColor="text1"/>
                <w14:textFill>
                  <w14:solidFill>
                    <w14:schemeClr w14:val="tx1"/>
                  </w14:solidFill>
                </w14:textFill>
              </w:rPr>
              <w:t>）野生动物现状及评价</w:t>
            </w:r>
          </w:p>
          <w:p w14:paraId="40C5E733">
            <w:pPr>
              <w:pStyle w:val="116"/>
              <w:ind w:firstLine="480"/>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项目区地处农业种植区和河岸带，人类活动较为频繁，野生动物组成较为简单，以常见鸟类、啮齿类和爬行类为主。主要鸟类有家燕、麻雀、乌鸦等，其中家燕为夏候鸟，夏季常见于农田和村庄上空；哺乳动物以褐家鼠、小家鼠为主，多分布于农田、灌丛及堤后荒地；爬行类以沙蜥（叶城沙蜥）最为常见，主要栖息于河滩沙地和取弃土场等开阔区域；此外，河滩湿地偶见绿蟾蜍。</w:t>
            </w:r>
            <w:r>
              <w:rPr>
                <w:rFonts w:hint="default" w:ascii="Times New Roman" w:hAnsi="Times New Roman" w:eastAsia="宋体" w:cs="Times New Roman"/>
                <w:color w:val="000000" w:themeColor="text1"/>
                <w:lang w:val="en-US" w:eastAsia="zh-CN"/>
                <w14:textFill>
                  <w14:solidFill>
                    <w14:schemeClr w14:val="tx1"/>
                  </w14:solidFill>
                </w14:textFill>
              </w:rPr>
              <w:t>经对照《国家重点保护野生动物名录（2021版）》及《新疆维吾尔自治区重点保护野生动物名录》，项目区内无国家和自治区级保护野生动物分布。</w:t>
            </w:r>
          </w:p>
          <w:p w14:paraId="72652875">
            <w:pPr>
              <w:pStyle w:val="116"/>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lang w:val="en-US" w:eastAsia="zh-CN"/>
                <w14:textFill>
                  <w14:solidFill>
                    <w14:schemeClr w14:val="tx1"/>
                  </w14:solidFill>
                </w14:textFill>
              </w:rPr>
              <w:t>5</w:t>
            </w:r>
            <w:r>
              <w:rPr>
                <w:rFonts w:hint="default" w:ascii="Times New Roman" w:hAnsi="Times New Roman" w:eastAsia="宋体" w:cs="Times New Roman"/>
                <w:color w:val="000000" w:themeColor="text1"/>
                <w14:textFill>
                  <w14:solidFill>
                    <w14:schemeClr w14:val="tx1"/>
                  </w14:solidFill>
                </w14:textFill>
              </w:rPr>
              <w:t>）水土流失</w:t>
            </w:r>
          </w:p>
          <w:p w14:paraId="14CBA3C2">
            <w:pPr>
              <w:pStyle w:val="116"/>
              <w:ind w:firstLine="480"/>
              <w:rPr>
                <w:rFonts w:hint="default" w:ascii="Times New Roman" w:hAnsi="Times New Roman" w:eastAsia="宋体" w:cs="Times New Roman"/>
                <w:color w:val="000000" w:themeColor="text1"/>
                <w:spacing w:val="-2"/>
                <w:lang w:eastAsia="zh-CN"/>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根据《关于印发新疆</w:t>
            </w:r>
            <w:r>
              <w:rPr>
                <w:rFonts w:hint="eastAsia" w:ascii="Times New Roman" w:hAnsi="Times New Roman" w:cs="Times New Roman"/>
                <w:color w:val="000000" w:themeColor="text1"/>
                <w:spacing w:val="-2"/>
                <w:lang w:val="en-US" w:eastAsia="zh-CN"/>
                <w14:textFill>
                  <w14:solidFill>
                    <w14:schemeClr w14:val="tx1"/>
                  </w14:solidFill>
                </w14:textFill>
              </w:rPr>
              <w:t>维吾尔</w:t>
            </w:r>
            <w:r>
              <w:rPr>
                <w:rFonts w:hint="default" w:ascii="Times New Roman" w:hAnsi="Times New Roman" w:eastAsia="宋体" w:cs="Times New Roman"/>
                <w:color w:val="000000" w:themeColor="text1"/>
                <w:spacing w:val="-2"/>
                <w14:textFill>
                  <w14:solidFill>
                    <w14:schemeClr w14:val="tx1"/>
                  </w14:solidFill>
                </w14:textFill>
              </w:rPr>
              <w:t>自治区级水土流失重点预防区和重点治理区复核划分成果的通知》（新水水保〔2019〕4号），本工程所在莎车县和麦盖提县均属于塔里木河流域重点治理区。该区域水土流失类型以风力侵蚀和水力侵蚀并存，侵蚀强度为中度</w:t>
            </w:r>
            <w:r>
              <w:rPr>
                <w:rFonts w:hint="default" w:ascii="Times New Roman" w:hAnsi="Times New Roman" w:eastAsia="宋体" w:cs="Times New Roman"/>
                <w:color w:val="000000" w:themeColor="text1"/>
                <w:spacing w:val="-2"/>
                <w:lang w:eastAsia="zh-CN"/>
                <w14:textFill>
                  <w14:solidFill>
                    <w14:schemeClr w14:val="tx1"/>
                  </w14:solidFill>
                </w14:textFill>
              </w:rPr>
              <w:t>。</w:t>
            </w:r>
            <w:r>
              <w:rPr>
                <w:rFonts w:hint="default" w:ascii="Times New Roman" w:hAnsi="Times New Roman" w:eastAsia="宋体" w:cs="Times New Roman"/>
                <w:color w:val="000000" w:themeColor="text1"/>
                <w:spacing w:val="-2"/>
                <w14:textFill>
                  <w14:solidFill>
                    <w14:schemeClr w14:val="tx1"/>
                  </w14:solidFill>
                </w14:textFill>
              </w:rPr>
              <w:t>项目区土壤容许流失量为1000-2500t/(km²·a)。经现场勘查，项目区原生地貌以轻度风蚀为主，原生侵蚀模数为1500t/(km²·a)。施工扰动后，地面侵蚀模数预计上升至4500t/(km²·a)，属于中度至强度侵蚀。</w:t>
            </w:r>
          </w:p>
          <w:p w14:paraId="4D1B3CA7">
            <w:pPr>
              <w:pStyle w:val="116"/>
              <w:ind w:firstLine="480"/>
              <w:rPr>
                <w:rFonts w:hint="default" w:ascii="Times New Roman" w:hAnsi="Times New Roman" w:eastAsia="宋体" w:cs="Times New Roman"/>
                <w:color w:val="000000" w:themeColor="text1"/>
                <w:spacing w:val="-2"/>
                <w:lang w:val="en-US" w:eastAsia="zh-CN"/>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w:t>
            </w:r>
            <w:r>
              <w:rPr>
                <w:rFonts w:hint="default" w:ascii="Times New Roman" w:hAnsi="Times New Roman" w:eastAsia="宋体" w:cs="Times New Roman"/>
                <w:color w:val="000000" w:themeColor="text1"/>
                <w:spacing w:val="-2"/>
                <w:lang w:val="en-US" w:eastAsia="zh-CN"/>
                <w14:textFill>
                  <w14:solidFill>
                    <w14:schemeClr w14:val="tx1"/>
                  </w14:solidFill>
                </w14:textFill>
              </w:rPr>
              <w:t>6</w:t>
            </w:r>
            <w:r>
              <w:rPr>
                <w:rFonts w:hint="default" w:ascii="Times New Roman" w:hAnsi="Times New Roman" w:eastAsia="宋体" w:cs="Times New Roman"/>
                <w:color w:val="000000" w:themeColor="text1"/>
                <w:spacing w:val="-2"/>
                <w14:textFill>
                  <w14:solidFill>
                    <w14:schemeClr w14:val="tx1"/>
                  </w14:solidFill>
                </w14:textFill>
              </w:rPr>
              <w:t>）</w:t>
            </w:r>
            <w:r>
              <w:rPr>
                <w:rFonts w:hint="default" w:ascii="Times New Roman" w:hAnsi="Times New Roman" w:eastAsia="宋体" w:cs="Times New Roman"/>
                <w:color w:val="000000" w:themeColor="text1"/>
                <w:spacing w:val="-2"/>
                <w:lang w:val="en-US" w:eastAsia="zh-CN"/>
                <w14:textFill>
                  <w14:solidFill>
                    <w14:schemeClr w14:val="tx1"/>
                  </w14:solidFill>
                </w14:textFill>
              </w:rPr>
              <w:t>水生生态调查</w:t>
            </w:r>
          </w:p>
          <w:p w14:paraId="50F351C2">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根据《叶尔羌河流域规划水生生态影响专题研究报告》（新疆维吾尔自治区水产科学研究所，2022年）及2025年现场补充调查（采样点：本工程上段起点上游500m、下段终点下游500m），评价河段水生生态现状如下：</w:t>
            </w:r>
          </w:p>
          <w:p w14:paraId="55362C7A">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①鱼类资源：叶尔羌河莎车县段共有鱼类14种，其中土著鱼类6种（长身高原鳅、叶尔羌高原鳅、斯氏高原鳅、重穗唇高原鳅、塔里木裂腹鱼、宽口裂腹鱼），外来鱼类8种（鲤鱼、鲫鱼、草鱼、鲢鱼等）。根据《新疆维吾尔自治区重点保护水生野生动物名录》（新政发〔2022〕56号），塔里木裂腹鱼为自治区二级保护鱼类，在评价河段偶有出现。</w:t>
            </w:r>
          </w:p>
          <w:p w14:paraId="2C727764">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②鱼类“三场”及洄游通道：经现场勘查及查阅资料，本工程评价河段（K131+231～K143+360）内不涉及鱼类的集中产卵场、索饵场、越冬场及洄游通道。具体说明如下：</w:t>
            </w:r>
          </w:p>
          <w:p w14:paraId="00746D94">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产卵场：评价河段水流较急，底质为砂砾石，无大型水草，不具备粘性卵附着条件；叶尔羌河主要产卵场位于上游山区支流（如提孜那甫河）及库区回水段。</w:t>
            </w:r>
          </w:p>
          <w:p w14:paraId="2AFE69D1">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索饵场：评价河段饵料生物密度较低（浮游植物平均1.2×10⁴个/L，浮游动物0.5个/L），不足以支撑大规模索饵活动。</w:t>
            </w:r>
          </w:p>
          <w:p w14:paraId="1484106B">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越冬场：评价河段冬季水深较浅（部分河段&lt;1m），且存在冰封现象，不具备深潭、回水等越冬条件。鱼类主要向下游或支流深水区越冬。</w:t>
            </w:r>
          </w:p>
          <w:p w14:paraId="035F0234">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洄游通道：叶尔羌河未发现长距离洄游性鱼类，塔里木裂腹鱼仅在小范围内迁移，未形成固定洄游通道。</w:t>
            </w:r>
          </w:p>
          <w:p w14:paraId="210425C3">
            <w:pPr>
              <w:pStyle w:val="116"/>
              <w:ind w:firstLine="480"/>
              <w:rPr>
                <w:rFonts w:hint="default" w:ascii="Times New Roman" w:hAnsi="Times New Roman" w:eastAsia="宋体" w:cs="Times New Roman"/>
                <w:color w:val="000000" w:themeColor="text1"/>
                <w:spacing w:val="-2"/>
                <w:lang w:val="en-US" w:eastAsia="zh-CN"/>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w:t>
            </w:r>
            <w:r>
              <w:rPr>
                <w:rFonts w:hint="default" w:ascii="Times New Roman" w:hAnsi="Times New Roman" w:eastAsia="宋体" w:cs="Times New Roman"/>
                <w:color w:val="000000" w:themeColor="text1"/>
                <w:spacing w:val="-2"/>
                <w:lang w:val="en-US" w:eastAsia="zh-CN"/>
                <w14:textFill>
                  <w14:solidFill>
                    <w14:schemeClr w14:val="tx1"/>
                  </w14:solidFill>
                </w14:textFill>
              </w:rPr>
              <w:t>7）土地沙化现状调查</w:t>
            </w:r>
          </w:p>
          <w:p w14:paraId="3A3AA8E1">
            <w:pPr>
              <w:pStyle w:val="116"/>
              <w:ind w:firstLine="480"/>
              <w:rPr>
                <w:rFonts w:hint="default" w:ascii="Times New Roman" w:hAnsi="Times New Roman" w:eastAsia="宋体" w:cs="Times New Roman"/>
                <w:color w:val="000000" w:themeColor="text1"/>
                <w:spacing w:val="-2"/>
                <w:lang w:val="en-US" w:eastAsia="zh-CN"/>
                <w14:textFill>
                  <w14:solidFill>
                    <w14:schemeClr w14:val="tx1"/>
                  </w14:solidFill>
                </w14:textFill>
              </w:rPr>
            </w:pPr>
            <w:r>
              <w:rPr>
                <w:rFonts w:hint="default" w:ascii="Times New Roman" w:hAnsi="Times New Roman" w:eastAsia="宋体" w:cs="Times New Roman"/>
                <w:color w:val="000000" w:themeColor="text1"/>
                <w:spacing w:val="-2"/>
                <w:lang w:val="en-US" w:eastAsia="zh-CN"/>
                <w14:textFill>
                  <w14:solidFill>
                    <w14:schemeClr w14:val="tx1"/>
                  </w14:solidFill>
                </w14:textFill>
              </w:rPr>
              <w:t>根据《第六次沙化土地监测报告》（国家林业和草原局，2020年）及新疆沙化土地分布图，本工程所在区域属于塔克拉玛干沙漠边缘沙化土地扩展区，沙化土地类型以“沙质荒漠化”为主，沙化程度为“中度”。项目区周边沙化土地主要表现为半固定沙丘和流动沙丘，植被覆盖度低于10%，以骆驼刺、柽柳等耐旱灌丛为主。</w:t>
            </w:r>
          </w:p>
          <w:p w14:paraId="31E0C27F">
            <w:pPr>
              <w:pStyle w:val="116"/>
              <w:ind w:firstLine="480"/>
              <w:rPr>
                <w:rFonts w:hint="default" w:ascii="Times New Roman" w:hAnsi="Times New Roman" w:eastAsia="宋体" w:cs="Times New Roman"/>
                <w:color w:val="000000" w:themeColor="text1"/>
                <w:spacing w:val="-2"/>
                <w:lang w:val="en-US" w:eastAsia="zh-CN"/>
                <w14:textFill>
                  <w14:solidFill>
                    <w14:schemeClr w14:val="tx1"/>
                  </w14:solidFill>
                </w14:textFill>
              </w:rPr>
            </w:pPr>
            <w:r>
              <w:rPr>
                <w:rFonts w:hint="default" w:ascii="Times New Roman" w:hAnsi="Times New Roman" w:eastAsia="宋体" w:cs="Times New Roman"/>
                <w:color w:val="000000" w:themeColor="text1"/>
                <w:spacing w:val="-2"/>
                <w:lang w:val="en-US" w:eastAsia="zh-CN"/>
                <w14:textFill>
                  <w14:solidFill>
                    <w14:schemeClr w14:val="tx1"/>
                  </w14:solidFill>
                </w14:textFill>
              </w:rPr>
              <w:t>本工程永久占地不涉及沙化土地（占地类型为耕地、水域及水利设施用地）。临时占地中，取弃土场（3.06hm²）及部分施工排水区（约1.5hm²）位于沙化土地边缘，土地利用现状为裸土地（盐碱荒地），地表有盐结皮和沙质土。施工扰动可能破坏地表结皮，加剧局部土地沙化。</w:t>
            </w:r>
          </w:p>
          <w:p w14:paraId="69FB9479">
            <w:pPr>
              <w:spacing w:line="360" w:lineRule="auto"/>
              <w:ind w:firstLine="482" w:firstLineChars="200"/>
              <w:rPr>
                <w:rFonts w:hint="default" w:ascii="Times New Roman" w:hAnsi="Times New Roman" w:eastAsia="宋体" w:cs="Times New Roman"/>
                <w:b/>
                <w:bCs/>
                <w:color w:val="000000" w:themeColor="text1"/>
                <w:sz w:val="24"/>
                <w:lang w:val="zh-CN"/>
                <w14:textFill>
                  <w14:solidFill>
                    <w14:schemeClr w14:val="tx1"/>
                  </w14:solidFill>
                </w14:textFill>
              </w:rPr>
            </w:pPr>
            <w:r>
              <w:rPr>
                <w:rFonts w:hint="default" w:ascii="Times New Roman" w:hAnsi="Times New Roman" w:eastAsia="宋体" w:cs="Times New Roman"/>
                <w:b/>
                <w:bCs/>
                <w:color w:val="000000" w:themeColor="text1"/>
                <w:sz w:val="24"/>
                <w:lang w:val="zh-CN"/>
                <w14:textFill>
                  <w14:solidFill>
                    <w14:schemeClr w14:val="tx1"/>
                  </w14:solidFill>
                </w14:textFill>
              </w:rPr>
              <w:t>2环境质量现状</w:t>
            </w:r>
          </w:p>
          <w:p w14:paraId="7954BE39">
            <w:pPr>
              <w:spacing w:line="360" w:lineRule="auto"/>
              <w:ind w:firstLine="482" w:firstLineChars="200"/>
              <w:outlineLvl w:val="1"/>
              <w:rPr>
                <w:rFonts w:hint="default" w:ascii="Times New Roman" w:hAnsi="Times New Roman" w:eastAsia="宋体" w:cs="Times New Roman"/>
                <w:b/>
                <w:bCs/>
                <w:color w:val="000000" w:themeColor="text1"/>
                <w:sz w:val="24"/>
                <w14:textFill>
                  <w14:solidFill>
                    <w14:schemeClr w14:val="tx1"/>
                  </w14:solidFill>
                </w14:textFill>
              </w:rPr>
            </w:pPr>
            <w:bookmarkStart w:id="1" w:name="_Toc335315150"/>
            <w:bookmarkStart w:id="2" w:name="_Toc354572453"/>
            <w:bookmarkStart w:id="3" w:name="_Toc448762846"/>
            <w:bookmarkStart w:id="4" w:name="_Toc327458768"/>
            <w:r>
              <w:rPr>
                <w:rFonts w:hint="default" w:ascii="Times New Roman" w:hAnsi="Times New Roman" w:eastAsia="宋体" w:cs="Times New Roman"/>
                <w:b/>
                <w:bCs/>
                <w:color w:val="000000" w:themeColor="text1"/>
                <w:sz w:val="24"/>
                <w14:textFill>
                  <w14:solidFill>
                    <w14:schemeClr w14:val="tx1"/>
                  </w14:solidFill>
                </w14:textFill>
              </w:rPr>
              <w:t>2.1空气环境质量现状调查与评价</w:t>
            </w:r>
          </w:p>
          <w:p w14:paraId="3922A3AF">
            <w:pPr>
              <w:pStyle w:val="25"/>
              <w:spacing w:after="0" w:line="360" w:lineRule="auto"/>
              <w:ind w:left="0" w:leftChars="0" w:firstLine="480" w:firstLineChars="200"/>
              <w:rPr>
                <w:rFonts w:hint="default" w:ascii="Times New Roman" w:hAnsi="Times New Roman" w:eastAsia="宋体" w:cs="Times New Roman"/>
                <w:color w:val="000000" w:themeColor="text1"/>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bidi="ar"/>
                <w14:textFill>
                  <w14:solidFill>
                    <w14:schemeClr w14:val="tx1"/>
                  </w14:solidFill>
                </w14:textFill>
              </w:rPr>
              <w:t>2.1.1达标区判定</w:t>
            </w:r>
          </w:p>
          <w:p w14:paraId="5C130664">
            <w:pPr>
              <w:pStyle w:val="25"/>
              <w:spacing w:after="0" w:line="360" w:lineRule="auto"/>
              <w:ind w:left="0" w:leftChars="0" w:firstLine="480" w:firstLineChars="200"/>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lang w:bidi="ar"/>
                <w14:textFill>
                  <w14:solidFill>
                    <w14:schemeClr w14:val="tx1"/>
                  </w14:solidFill>
                </w14:textFill>
              </w:rPr>
              <w:t>（1）数据来源</w:t>
            </w:r>
          </w:p>
          <w:p w14:paraId="27D7CB27">
            <w:pPr>
              <w:spacing w:line="360" w:lineRule="auto"/>
              <w:ind w:firstLine="480"/>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选择中国环境影响评价网环境空气质量模型技术支持服务系统中</w:t>
            </w:r>
            <w:r>
              <w:rPr>
                <w:rFonts w:hint="default" w:ascii="Times New Roman" w:hAnsi="Times New Roman" w:eastAsia="宋体" w:cs="Times New Roman"/>
                <w:color w:val="000000" w:themeColor="text1"/>
                <w:sz w:val="24"/>
                <w:lang w:val="en-US" w:eastAsia="zh-CN"/>
                <w14:textFill>
                  <w14:solidFill>
                    <w14:schemeClr w14:val="tx1"/>
                  </w14:solidFill>
                </w14:textFill>
              </w:rPr>
              <w:t>喀什地区</w:t>
            </w:r>
            <w:r>
              <w:rPr>
                <w:rFonts w:hint="default" w:ascii="Times New Roman" w:hAnsi="Times New Roman" w:eastAsia="宋体" w:cs="Times New Roman"/>
                <w:color w:val="000000" w:themeColor="text1"/>
                <w:sz w:val="24"/>
                <w14:textFill>
                  <w14:solidFill>
                    <w14:schemeClr w14:val="tx1"/>
                  </w14:solidFill>
                </w14:textFill>
              </w:rPr>
              <w:t>202</w:t>
            </w:r>
            <w:r>
              <w:rPr>
                <w:rFonts w:hint="default" w:ascii="Times New Roman" w:hAnsi="Times New Roman" w:eastAsia="宋体" w:cs="Times New Roman"/>
                <w:color w:val="000000" w:themeColor="text1"/>
                <w:sz w:val="24"/>
                <w:lang w:val="en-US" w:eastAsia="zh-CN"/>
                <w14:textFill>
                  <w14:solidFill>
                    <w14:schemeClr w14:val="tx1"/>
                  </w14:solidFill>
                </w14:textFill>
              </w:rPr>
              <w:t>4</w:t>
            </w:r>
            <w:r>
              <w:rPr>
                <w:rFonts w:hint="default" w:ascii="Times New Roman" w:hAnsi="Times New Roman" w:eastAsia="宋体" w:cs="Times New Roman"/>
                <w:color w:val="000000" w:themeColor="text1"/>
                <w:sz w:val="24"/>
                <w14:textFill>
                  <w14:solidFill>
                    <w14:schemeClr w14:val="tx1"/>
                  </w14:solidFill>
                </w14:textFill>
              </w:rPr>
              <w:t>年的监测数据，作为基本污染物SO</w:t>
            </w:r>
            <w:r>
              <w:rPr>
                <w:rFonts w:hint="default" w:ascii="Times New Roman" w:hAnsi="Times New Roman" w:eastAsia="宋体" w:cs="Times New Roman"/>
                <w:color w:val="000000" w:themeColor="text1"/>
                <w:sz w:val="24"/>
                <w:vertAlign w:val="subscript"/>
                <w14:textFill>
                  <w14:solidFill>
                    <w14:schemeClr w14:val="tx1"/>
                  </w14:solidFill>
                </w14:textFill>
              </w:rPr>
              <w:t>2</w:t>
            </w:r>
            <w:r>
              <w:rPr>
                <w:rFonts w:hint="default" w:ascii="Times New Roman" w:hAnsi="Times New Roman" w:eastAsia="宋体" w:cs="Times New Roman"/>
                <w:color w:val="000000" w:themeColor="text1"/>
                <w:sz w:val="24"/>
                <w14:textFill>
                  <w14:solidFill>
                    <w14:schemeClr w14:val="tx1"/>
                  </w14:solidFill>
                </w14:textFill>
              </w:rPr>
              <w:t>、NO</w:t>
            </w:r>
            <w:r>
              <w:rPr>
                <w:rFonts w:hint="default" w:ascii="Times New Roman" w:hAnsi="Times New Roman" w:eastAsia="宋体" w:cs="Times New Roman"/>
                <w:color w:val="000000" w:themeColor="text1"/>
                <w:sz w:val="24"/>
                <w:vertAlign w:val="subscript"/>
                <w14:textFill>
                  <w14:solidFill>
                    <w14:schemeClr w14:val="tx1"/>
                  </w14:solidFill>
                </w14:textFill>
              </w:rPr>
              <w:t>2</w:t>
            </w:r>
            <w:r>
              <w:rPr>
                <w:rFonts w:hint="default" w:ascii="Times New Roman" w:hAnsi="Times New Roman" w:eastAsia="宋体" w:cs="Times New Roman"/>
                <w:color w:val="000000" w:themeColor="text1"/>
                <w:sz w:val="24"/>
                <w14:textFill>
                  <w14:solidFill>
                    <w14:schemeClr w14:val="tx1"/>
                  </w14:solidFill>
                </w14:textFill>
              </w:rPr>
              <w:t>、PM</w:t>
            </w:r>
            <w:r>
              <w:rPr>
                <w:rFonts w:hint="default" w:ascii="Times New Roman" w:hAnsi="Times New Roman" w:eastAsia="宋体" w:cs="Times New Roman"/>
                <w:color w:val="000000" w:themeColor="text1"/>
                <w:sz w:val="24"/>
                <w:vertAlign w:val="subscript"/>
                <w14:textFill>
                  <w14:solidFill>
                    <w14:schemeClr w14:val="tx1"/>
                  </w14:solidFill>
                </w14:textFill>
              </w:rPr>
              <w:t>10</w:t>
            </w:r>
            <w:r>
              <w:rPr>
                <w:rFonts w:hint="default" w:ascii="Times New Roman" w:hAnsi="Times New Roman" w:eastAsia="宋体" w:cs="Times New Roman"/>
                <w:color w:val="000000" w:themeColor="text1"/>
                <w:sz w:val="24"/>
                <w14:textFill>
                  <w14:solidFill>
                    <w14:schemeClr w14:val="tx1"/>
                  </w14:solidFill>
                </w14:textFill>
              </w:rPr>
              <w:t>、PM</w:t>
            </w:r>
            <w:r>
              <w:rPr>
                <w:rFonts w:hint="default" w:ascii="Times New Roman" w:hAnsi="Times New Roman" w:eastAsia="宋体" w:cs="Times New Roman"/>
                <w:color w:val="000000" w:themeColor="text1"/>
                <w:sz w:val="24"/>
                <w:vertAlign w:val="subscript"/>
                <w14:textFill>
                  <w14:solidFill>
                    <w14:schemeClr w14:val="tx1"/>
                  </w14:solidFill>
                </w14:textFill>
              </w:rPr>
              <w:t>2.5</w:t>
            </w:r>
            <w:r>
              <w:rPr>
                <w:rFonts w:hint="default" w:ascii="Times New Roman" w:hAnsi="Times New Roman" w:eastAsia="宋体" w:cs="Times New Roman"/>
                <w:color w:val="000000" w:themeColor="text1"/>
                <w:sz w:val="24"/>
                <w14:textFill>
                  <w14:solidFill>
                    <w14:schemeClr w14:val="tx1"/>
                  </w14:solidFill>
                </w14:textFill>
              </w:rPr>
              <w:t>、CO和O</w:t>
            </w:r>
            <w:r>
              <w:rPr>
                <w:rFonts w:hint="default" w:ascii="Times New Roman" w:hAnsi="Times New Roman" w:eastAsia="宋体" w:cs="Times New Roman"/>
                <w:color w:val="000000" w:themeColor="text1"/>
                <w:sz w:val="24"/>
                <w:vertAlign w:val="subscript"/>
                <w14:textFill>
                  <w14:solidFill>
                    <w14:schemeClr w14:val="tx1"/>
                  </w14:solidFill>
                </w14:textFill>
              </w:rPr>
              <w:t>3</w:t>
            </w:r>
            <w:r>
              <w:rPr>
                <w:rFonts w:hint="default" w:ascii="Times New Roman" w:hAnsi="Times New Roman" w:eastAsia="宋体" w:cs="Times New Roman"/>
                <w:color w:val="000000" w:themeColor="text1"/>
                <w:sz w:val="24"/>
                <w14:textFill>
                  <w14:solidFill>
                    <w14:schemeClr w14:val="tx1"/>
                  </w14:solidFill>
                </w14:textFill>
              </w:rPr>
              <w:t>的数据来源。</w:t>
            </w:r>
          </w:p>
          <w:p w14:paraId="2FEB77CD">
            <w:pPr>
              <w:pStyle w:val="25"/>
              <w:spacing w:after="0" w:line="360" w:lineRule="auto"/>
              <w:ind w:left="0" w:leftChars="0" w:firstLine="480" w:firstLineChars="200"/>
              <w:rPr>
                <w:rFonts w:hint="default" w:ascii="Times New Roman" w:hAnsi="Times New Roman" w:eastAsia="宋体" w:cs="Times New Roman"/>
                <w:color w:val="000000" w:themeColor="text1"/>
                <w:sz w:val="24"/>
                <w:szCs w:val="24"/>
                <w:lang w:bidi="ar"/>
                <w14:textFill>
                  <w14:solidFill>
                    <w14:schemeClr w14:val="tx1"/>
                  </w14:solidFill>
                </w14:textFill>
              </w:rPr>
            </w:pPr>
            <w:r>
              <w:rPr>
                <w:rFonts w:hint="default" w:ascii="Times New Roman" w:hAnsi="Times New Roman" w:eastAsia="宋体" w:cs="Times New Roman"/>
                <w:color w:val="000000" w:themeColor="text1"/>
                <w:sz w:val="24"/>
                <w:szCs w:val="24"/>
                <w:lang w:bidi="ar"/>
                <w14:textFill>
                  <w14:solidFill>
                    <w14:schemeClr w14:val="tx1"/>
                  </w14:solidFill>
                </w14:textFill>
              </w:rPr>
              <w:t>（2）评价标准</w:t>
            </w:r>
          </w:p>
          <w:p w14:paraId="11C1381B">
            <w:pPr>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基本污染物SO</w:t>
            </w:r>
            <w:r>
              <w:rPr>
                <w:rFonts w:hint="default" w:ascii="Times New Roman" w:hAnsi="Times New Roman" w:eastAsia="宋体" w:cs="Times New Roman"/>
                <w:color w:val="000000" w:themeColor="text1"/>
                <w:sz w:val="24"/>
                <w:vertAlign w:val="subscript"/>
                <w14:textFill>
                  <w14:solidFill>
                    <w14:schemeClr w14:val="tx1"/>
                  </w14:solidFill>
                </w14:textFill>
              </w:rPr>
              <w:t>2</w:t>
            </w:r>
            <w:r>
              <w:rPr>
                <w:rFonts w:hint="default" w:ascii="Times New Roman" w:hAnsi="Times New Roman" w:eastAsia="宋体" w:cs="Times New Roman"/>
                <w:color w:val="000000" w:themeColor="text1"/>
                <w:sz w:val="24"/>
                <w14:textFill>
                  <w14:solidFill>
                    <w14:schemeClr w14:val="tx1"/>
                  </w14:solidFill>
                </w14:textFill>
              </w:rPr>
              <w:t>、NO</w:t>
            </w:r>
            <w:r>
              <w:rPr>
                <w:rFonts w:hint="default" w:ascii="Times New Roman" w:hAnsi="Times New Roman" w:eastAsia="宋体" w:cs="Times New Roman"/>
                <w:color w:val="000000" w:themeColor="text1"/>
                <w:sz w:val="24"/>
                <w:vertAlign w:val="subscript"/>
                <w14:textFill>
                  <w14:solidFill>
                    <w14:schemeClr w14:val="tx1"/>
                  </w14:solidFill>
                </w14:textFill>
              </w:rPr>
              <w:t>2</w:t>
            </w:r>
            <w:r>
              <w:rPr>
                <w:rFonts w:hint="default" w:ascii="Times New Roman" w:hAnsi="Times New Roman" w:eastAsia="宋体" w:cs="Times New Roman"/>
                <w:color w:val="000000" w:themeColor="text1"/>
                <w:sz w:val="24"/>
                <w14:textFill>
                  <w14:solidFill>
                    <w14:schemeClr w14:val="tx1"/>
                  </w14:solidFill>
                </w14:textFill>
              </w:rPr>
              <w:t>、PM</w:t>
            </w:r>
            <w:r>
              <w:rPr>
                <w:rFonts w:hint="default" w:ascii="Times New Roman" w:hAnsi="Times New Roman" w:eastAsia="宋体" w:cs="Times New Roman"/>
                <w:color w:val="000000" w:themeColor="text1"/>
                <w:sz w:val="24"/>
                <w:vertAlign w:val="subscript"/>
                <w14:textFill>
                  <w14:solidFill>
                    <w14:schemeClr w14:val="tx1"/>
                  </w14:solidFill>
                </w14:textFill>
              </w:rPr>
              <w:t>10</w:t>
            </w:r>
            <w:r>
              <w:rPr>
                <w:rFonts w:hint="default" w:ascii="Times New Roman" w:hAnsi="Times New Roman" w:eastAsia="宋体" w:cs="Times New Roman"/>
                <w:color w:val="000000" w:themeColor="text1"/>
                <w:sz w:val="24"/>
                <w14:textFill>
                  <w14:solidFill>
                    <w14:schemeClr w14:val="tx1"/>
                  </w14:solidFill>
                </w14:textFill>
              </w:rPr>
              <w:t>、PM</w:t>
            </w:r>
            <w:r>
              <w:rPr>
                <w:rFonts w:hint="default" w:ascii="Times New Roman" w:hAnsi="Times New Roman" w:eastAsia="宋体" w:cs="Times New Roman"/>
                <w:color w:val="000000" w:themeColor="text1"/>
                <w:sz w:val="24"/>
                <w:vertAlign w:val="subscript"/>
                <w14:textFill>
                  <w14:solidFill>
                    <w14:schemeClr w14:val="tx1"/>
                  </w14:solidFill>
                </w14:textFill>
              </w:rPr>
              <w:t>2.5</w:t>
            </w:r>
            <w:r>
              <w:rPr>
                <w:rFonts w:hint="default" w:ascii="Times New Roman" w:hAnsi="Times New Roman" w:eastAsia="宋体" w:cs="Times New Roman"/>
                <w:color w:val="000000" w:themeColor="text1"/>
                <w:sz w:val="24"/>
                <w14:textFill>
                  <w14:solidFill>
                    <w14:schemeClr w14:val="tx1"/>
                  </w14:solidFill>
                </w14:textFill>
              </w:rPr>
              <w:t>、CO和O</w:t>
            </w:r>
            <w:r>
              <w:rPr>
                <w:rFonts w:hint="default" w:ascii="Times New Roman" w:hAnsi="Times New Roman" w:eastAsia="宋体" w:cs="Times New Roman"/>
                <w:color w:val="000000" w:themeColor="text1"/>
                <w:sz w:val="24"/>
                <w:vertAlign w:val="subscript"/>
                <w14:textFill>
                  <w14:solidFill>
                    <w14:schemeClr w14:val="tx1"/>
                  </w14:solidFill>
                </w14:textFill>
              </w:rPr>
              <w:t>3</w:t>
            </w:r>
            <w:r>
              <w:rPr>
                <w:rFonts w:hint="default" w:ascii="Times New Roman" w:hAnsi="Times New Roman" w:eastAsia="宋体" w:cs="Times New Roman"/>
                <w:color w:val="000000" w:themeColor="text1"/>
                <w:sz w:val="24"/>
                <w14:textFill>
                  <w14:solidFill>
                    <w14:schemeClr w14:val="tx1"/>
                  </w14:solidFill>
                </w14:textFill>
              </w:rPr>
              <w:t>执行《环境空气质量标准》（</w:t>
            </w:r>
            <w:r>
              <w:rPr>
                <w:rFonts w:hint="default" w:ascii="Times New Roman" w:hAnsi="Times New Roman" w:eastAsia="宋体" w:cs="Times New Roman"/>
                <w:color w:val="000000" w:themeColor="text1"/>
                <w:sz w:val="24"/>
                <w:lang w:eastAsia="zh-CN"/>
                <w14:textFill>
                  <w14:solidFill>
                    <w14:schemeClr w14:val="tx1"/>
                  </w14:solidFill>
                </w14:textFill>
              </w:rPr>
              <w:t>GB3095-2026</w:t>
            </w:r>
            <w:r>
              <w:rPr>
                <w:rFonts w:hint="default" w:ascii="Times New Roman" w:hAnsi="Times New Roman" w:eastAsia="宋体" w:cs="Times New Roman"/>
                <w:color w:val="000000" w:themeColor="text1"/>
                <w:sz w:val="24"/>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表1过渡阶段浓度限值</w:t>
            </w:r>
            <w:r>
              <w:rPr>
                <w:rFonts w:hint="default" w:ascii="Times New Roman" w:hAnsi="Times New Roman" w:eastAsia="宋体" w:cs="Times New Roman"/>
                <w:color w:val="000000" w:themeColor="text1"/>
                <w:sz w:val="24"/>
                <w:highlight w:val="none"/>
                <w14:textFill>
                  <w14:solidFill>
                    <w14:schemeClr w14:val="tx1"/>
                  </w14:solidFill>
                </w14:textFill>
              </w:rPr>
              <w:t>二级标准</w:t>
            </w:r>
            <w:r>
              <w:rPr>
                <w:rFonts w:hint="default" w:ascii="Times New Roman" w:hAnsi="Times New Roman" w:eastAsia="宋体" w:cs="Times New Roman"/>
                <w:color w:val="000000" w:themeColor="text1"/>
                <w:sz w:val="24"/>
                <w14:textFill>
                  <w14:solidFill>
                    <w14:schemeClr w14:val="tx1"/>
                  </w14:solidFill>
                </w14:textFill>
              </w:rPr>
              <w:t>。</w:t>
            </w:r>
          </w:p>
          <w:p w14:paraId="23B09299">
            <w:pPr>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（3）评价方法</w:t>
            </w:r>
          </w:p>
          <w:p w14:paraId="7C4FEA16">
            <w:pPr>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评价方法：年评价指标中的年均浓度和相应百分位数24h平均或8h平均质量浓度满足GB3095中浓度限值要求的即为达标。对于超标的污染物，计算其超标倍数和超标率。</w:t>
            </w:r>
          </w:p>
          <w:p w14:paraId="009CA99B">
            <w:pPr>
              <w:numPr>
                <w:ilvl w:val="0"/>
                <w:numId w:val="2"/>
              </w:numPr>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空气质量达标区判定</w:t>
            </w:r>
          </w:p>
          <w:p w14:paraId="25F438CE">
            <w:pPr>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喀什地区</w:t>
            </w:r>
            <w:r>
              <w:rPr>
                <w:rFonts w:hint="default" w:ascii="Times New Roman" w:hAnsi="Times New Roman" w:eastAsia="宋体" w:cs="Times New Roman"/>
                <w:color w:val="000000" w:themeColor="text1"/>
                <w:sz w:val="24"/>
                <w14:textFill>
                  <w14:solidFill>
                    <w14:schemeClr w14:val="tx1"/>
                  </w14:solidFill>
                </w14:textFill>
              </w:rPr>
              <w:t>202</w:t>
            </w:r>
            <w:r>
              <w:rPr>
                <w:rFonts w:hint="default" w:ascii="Times New Roman" w:hAnsi="Times New Roman" w:eastAsia="宋体" w:cs="Times New Roman"/>
                <w:color w:val="000000" w:themeColor="text1"/>
                <w:sz w:val="24"/>
                <w:lang w:val="en-US" w:eastAsia="zh-CN"/>
                <w14:textFill>
                  <w14:solidFill>
                    <w14:schemeClr w14:val="tx1"/>
                  </w14:solidFill>
                </w14:textFill>
              </w:rPr>
              <w:t>4</w:t>
            </w:r>
            <w:r>
              <w:rPr>
                <w:rFonts w:hint="default" w:ascii="Times New Roman" w:hAnsi="Times New Roman" w:eastAsia="宋体" w:cs="Times New Roman"/>
                <w:color w:val="000000" w:themeColor="text1"/>
                <w:sz w:val="24"/>
                <w14:textFill>
                  <w14:solidFill>
                    <w14:schemeClr w14:val="tx1"/>
                  </w14:solidFill>
                </w14:textFill>
              </w:rPr>
              <w:t>空气质量达标区判定结果见表</w:t>
            </w:r>
            <w:r>
              <w:rPr>
                <w:rFonts w:hint="default" w:ascii="Times New Roman" w:hAnsi="Times New Roman" w:eastAsia="宋体" w:cs="Times New Roman"/>
                <w:color w:val="000000" w:themeColor="text1"/>
                <w:sz w:val="24"/>
                <w:lang w:val="en-US" w:eastAsia="zh-CN"/>
                <w14:textFill>
                  <w14:solidFill>
                    <w14:schemeClr w14:val="tx1"/>
                  </w14:solidFill>
                </w14:textFill>
              </w:rPr>
              <w:t>3-2</w:t>
            </w:r>
            <w:r>
              <w:rPr>
                <w:rFonts w:hint="default" w:ascii="Times New Roman" w:hAnsi="Times New Roman" w:eastAsia="宋体" w:cs="Times New Roman"/>
                <w:color w:val="000000" w:themeColor="text1"/>
                <w:sz w:val="24"/>
                <w14:textFill>
                  <w14:solidFill>
                    <w14:schemeClr w14:val="tx1"/>
                  </w14:solidFill>
                </w14:textFill>
              </w:rPr>
              <w:t>。</w:t>
            </w:r>
          </w:p>
          <w:p w14:paraId="7940128D">
            <w:pPr>
              <w:ind w:firstLine="482"/>
              <w:jc w:val="center"/>
              <w:rPr>
                <w:rFonts w:hint="default" w:ascii="Times New Roman" w:hAnsi="Times New Roman" w:eastAsia="宋体" w:cs="Times New Roman"/>
                <w:b/>
                <w:color w:val="000000" w:themeColor="text1"/>
                <w:szCs w:val="21"/>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3-2</w:t>
            </w:r>
            <w:r>
              <w:rPr>
                <w:rFonts w:hint="default" w:ascii="Times New Roman" w:hAnsi="Times New Roman" w:eastAsia="宋体" w:cs="Times New Roman"/>
                <w:b/>
                <w:color w:val="000000" w:themeColor="text1"/>
                <w:szCs w:val="21"/>
                <w14:textFill>
                  <w14:solidFill>
                    <w14:schemeClr w14:val="tx1"/>
                  </w14:solidFill>
                </w14:textFill>
              </w:rPr>
              <w:t>区域空气质量现状评价结果一览表</w:t>
            </w:r>
          </w:p>
          <w:tbl>
            <w:tblPr>
              <w:tblStyle w:val="34"/>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2"/>
              <w:gridCol w:w="2980"/>
              <w:gridCol w:w="1314"/>
              <w:gridCol w:w="1703"/>
              <w:gridCol w:w="1478"/>
            </w:tblGrid>
            <w:tr w14:paraId="2E3C4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7" w:type="pct"/>
                  <w:noWrap w:val="0"/>
                  <w:vAlign w:val="center"/>
                </w:tcPr>
                <w:p w14:paraId="716D61C9">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评价因子</w:t>
                  </w:r>
                </w:p>
              </w:tc>
              <w:tc>
                <w:tcPr>
                  <w:tcW w:w="1715" w:type="pct"/>
                  <w:noWrap w:val="0"/>
                  <w:vAlign w:val="center"/>
                </w:tcPr>
                <w:p w14:paraId="439D624A">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年评价指标</w:t>
                  </w:r>
                </w:p>
              </w:tc>
              <w:tc>
                <w:tcPr>
                  <w:tcW w:w="756" w:type="pct"/>
                  <w:noWrap w:val="0"/>
                  <w:vAlign w:val="center"/>
                </w:tcPr>
                <w:p w14:paraId="68E43863">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现状浓度</w:t>
                  </w:r>
                </w:p>
              </w:tc>
              <w:tc>
                <w:tcPr>
                  <w:tcW w:w="980" w:type="pct"/>
                  <w:noWrap w:val="0"/>
                  <w:vAlign w:val="center"/>
                </w:tcPr>
                <w:p w14:paraId="43BAA6B2">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标准限值</w:t>
                  </w:r>
                </w:p>
              </w:tc>
              <w:tc>
                <w:tcPr>
                  <w:tcW w:w="850" w:type="pct"/>
                  <w:noWrap w:val="0"/>
                  <w:vAlign w:val="center"/>
                </w:tcPr>
                <w:p w14:paraId="48A54569">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达标情况</w:t>
                  </w:r>
                </w:p>
              </w:tc>
            </w:tr>
            <w:tr w14:paraId="7CE30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7" w:type="pct"/>
                  <w:vMerge w:val="restart"/>
                  <w:noWrap w:val="0"/>
                  <w:vAlign w:val="center"/>
                </w:tcPr>
                <w:p w14:paraId="29B27AC7">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SO</w:t>
                  </w:r>
                  <w:r>
                    <w:rPr>
                      <w:rFonts w:hint="default" w:ascii="Times New Roman" w:hAnsi="Times New Roman" w:eastAsia="宋体" w:cs="Times New Roman"/>
                      <w:color w:val="000000" w:themeColor="text1"/>
                      <w:highlight w:val="none"/>
                      <w:vertAlign w:val="subscript"/>
                      <w14:textFill>
                        <w14:solidFill>
                          <w14:schemeClr w14:val="tx1"/>
                        </w14:solidFill>
                      </w14:textFill>
                    </w:rPr>
                    <w:t>2</w:t>
                  </w:r>
                </w:p>
              </w:tc>
              <w:tc>
                <w:tcPr>
                  <w:tcW w:w="1715" w:type="pct"/>
                  <w:noWrap w:val="0"/>
                  <w:vAlign w:val="center"/>
                </w:tcPr>
                <w:p w14:paraId="6DCEEA7F">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年平均</w:t>
                  </w:r>
                </w:p>
              </w:tc>
              <w:tc>
                <w:tcPr>
                  <w:tcW w:w="756" w:type="pct"/>
                  <w:noWrap w:val="0"/>
                  <w:vAlign w:val="center"/>
                </w:tcPr>
                <w:p w14:paraId="03858C36">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980" w:type="pct"/>
                  <w:noWrap w:val="0"/>
                  <w:vAlign w:val="center"/>
                </w:tcPr>
                <w:p w14:paraId="1243F759">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60μg/m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850" w:type="pct"/>
                  <w:noWrap w:val="0"/>
                  <w:vAlign w:val="center"/>
                </w:tcPr>
                <w:p w14:paraId="24FF3AA5">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达标</w:t>
                  </w:r>
                </w:p>
              </w:tc>
            </w:tr>
            <w:tr w14:paraId="28D69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97" w:type="pct"/>
                  <w:vMerge w:val="continue"/>
                  <w:noWrap w:val="0"/>
                  <w:vAlign w:val="center"/>
                </w:tcPr>
                <w:p w14:paraId="0AC586B3">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p>
              </w:tc>
              <w:tc>
                <w:tcPr>
                  <w:tcW w:w="1715" w:type="pct"/>
                  <w:noWrap w:val="0"/>
                  <w:vAlign w:val="center"/>
                </w:tcPr>
                <w:p w14:paraId="0C176758">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第98百分位数日平均浓度</w:t>
                  </w:r>
                </w:p>
              </w:tc>
              <w:tc>
                <w:tcPr>
                  <w:tcW w:w="756" w:type="pct"/>
                  <w:noWrap w:val="0"/>
                  <w:vAlign w:val="center"/>
                </w:tcPr>
                <w:p w14:paraId="28125C41">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w:t>
                  </w:r>
                </w:p>
              </w:tc>
              <w:tc>
                <w:tcPr>
                  <w:tcW w:w="980" w:type="pct"/>
                  <w:noWrap w:val="0"/>
                  <w:vAlign w:val="center"/>
                </w:tcPr>
                <w:p w14:paraId="2BF87EFE">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150μg/m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850" w:type="pct"/>
                  <w:noWrap w:val="0"/>
                  <w:vAlign w:val="center"/>
                </w:tcPr>
                <w:p w14:paraId="2CB97416">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w:t>
                  </w:r>
                </w:p>
              </w:tc>
            </w:tr>
            <w:tr w14:paraId="6960C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7" w:type="pct"/>
                  <w:vMerge w:val="restart"/>
                  <w:noWrap w:val="0"/>
                  <w:vAlign w:val="center"/>
                </w:tcPr>
                <w:p w14:paraId="01D4E401">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NO</w:t>
                  </w:r>
                  <w:r>
                    <w:rPr>
                      <w:rFonts w:hint="default" w:ascii="Times New Roman" w:hAnsi="Times New Roman" w:eastAsia="宋体" w:cs="Times New Roman"/>
                      <w:color w:val="000000" w:themeColor="text1"/>
                      <w:highlight w:val="none"/>
                      <w:vertAlign w:val="subscript"/>
                      <w14:textFill>
                        <w14:solidFill>
                          <w14:schemeClr w14:val="tx1"/>
                        </w14:solidFill>
                      </w14:textFill>
                    </w:rPr>
                    <w:t>2</w:t>
                  </w:r>
                </w:p>
              </w:tc>
              <w:tc>
                <w:tcPr>
                  <w:tcW w:w="1715" w:type="pct"/>
                  <w:noWrap w:val="0"/>
                  <w:vAlign w:val="center"/>
                </w:tcPr>
                <w:p w14:paraId="2C44F235">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年平均</w:t>
                  </w:r>
                </w:p>
              </w:tc>
              <w:tc>
                <w:tcPr>
                  <w:tcW w:w="756" w:type="pct"/>
                  <w:noWrap w:val="0"/>
                  <w:vAlign w:val="center"/>
                </w:tcPr>
                <w:p w14:paraId="415F1DF9">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3</w:t>
                  </w:r>
                  <w:r>
                    <w:rPr>
                      <w:rFonts w:hint="default" w:ascii="Times New Roman" w:hAnsi="Times New Roman" w:eastAsia="宋体" w:cs="Times New Roman"/>
                      <w:color w:val="000000" w:themeColor="text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highlight w:val="none"/>
                      <w14:textFill>
                        <w14:solidFill>
                          <w14:schemeClr w14:val="tx1"/>
                        </w14:solidFill>
                      </w14:textFill>
                    </w:rPr>
                    <w:t>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980" w:type="pct"/>
                  <w:noWrap w:val="0"/>
                  <w:vAlign w:val="center"/>
                </w:tcPr>
                <w:p w14:paraId="25C8E37B">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40μg/m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850" w:type="pct"/>
                  <w:noWrap w:val="0"/>
                  <w:vAlign w:val="center"/>
                </w:tcPr>
                <w:p w14:paraId="33EF49CF">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达标</w:t>
                  </w:r>
                </w:p>
              </w:tc>
            </w:tr>
            <w:tr w14:paraId="154DE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7" w:type="pct"/>
                  <w:vMerge w:val="continue"/>
                  <w:noWrap w:val="0"/>
                  <w:vAlign w:val="center"/>
                </w:tcPr>
                <w:p w14:paraId="1AABDDD7">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p>
              </w:tc>
              <w:tc>
                <w:tcPr>
                  <w:tcW w:w="1715" w:type="pct"/>
                  <w:noWrap w:val="0"/>
                  <w:vAlign w:val="center"/>
                </w:tcPr>
                <w:p w14:paraId="12CC4BBB">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第98百分位数日平均浓度</w:t>
                  </w:r>
                </w:p>
              </w:tc>
              <w:tc>
                <w:tcPr>
                  <w:tcW w:w="756" w:type="pct"/>
                  <w:noWrap w:val="0"/>
                  <w:vAlign w:val="center"/>
                </w:tcPr>
                <w:p w14:paraId="4B2C6C50">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w:t>
                  </w:r>
                </w:p>
              </w:tc>
              <w:tc>
                <w:tcPr>
                  <w:tcW w:w="980" w:type="pct"/>
                  <w:noWrap w:val="0"/>
                  <w:vAlign w:val="center"/>
                </w:tcPr>
                <w:p w14:paraId="1109B6C0">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highlight w:val="none"/>
                      <w14:textFill>
                        <w14:solidFill>
                          <w14:schemeClr w14:val="tx1"/>
                        </w14:solidFill>
                      </w14:textFill>
                    </w:rPr>
                    <w:t>0μg/m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850" w:type="pct"/>
                  <w:noWrap w:val="0"/>
                  <w:vAlign w:val="center"/>
                </w:tcPr>
                <w:p w14:paraId="193CBBD4">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w:t>
                  </w:r>
                </w:p>
              </w:tc>
            </w:tr>
            <w:tr w14:paraId="6740B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7" w:type="pct"/>
                  <w:noWrap w:val="0"/>
                  <w:vAlign w:val="center"/>
                </w:tcPr>
                <w:p w14:paraId="59D45678">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CO</w:t>
                  </w:r>
                </w:p>
              </w:tc>
              <w:tc>
                <w:tcPr>
                  <w:tcW w:w="1715" w:type="pct"/>
                  <w:noWrap w:val="0"/>
                  <w:vAlign w:val="center"/>
                </w:tcPr>
                <w:p w14:paraId="41FFBDA8">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24h平均第95百分位数</w:t>
                  </w:r>
                </w:p>
              </w:tc>
              <w:tc>
                <w:tcPr>
                  <w:tcW w:w="756" w:type="pct"/>
                  <w:noWrap w:val="0"/>
                  <w:vAlign w:val="center"/>
                </w:tcPr>
                <w:p w14:paraId="4A50BA18">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2.7</w:t>
                  </w:r>
                  <w:r>
                    <w:rPr>
                      <w:rFonts w:hint="default" w:ascii="Times New Roman" w:hAnsi="Times New Roman" w:eastAsia="宋体" w:cs="Times New Roman"/>
                      <w:color w:val="000000" w:themeColor="text1"/>
                      <w:highlight w:val="none"/>
                      <w14:textFill>
                        <w14:solidFill>
                          <w14:schemeClr w14:val="tx1"/>
                        </w14:solidFill>
                      </w14:textFill>
                    </w:rPr>
                    <w:t>mg/m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980" w:type="pct"/>
                  <w:noWrap w:val="0"/>
                  <w:vAlign w:val="center"/>
                </w:tcPr>
                <w:p w14:paraId="62003AB1">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4mg/m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850" w:type="pct"/>
                  <w:noWrap w:val="0"/>
                  <w:vAlign w:val="center"/>
                </w:tcPr>
                <w:p w14:paraId="1F89D07F">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达标</w:t>
                  </w:r>
                </w:p>
              </w:tc>
            </w:tr>
            <w:tr w14:paraId="04262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7" w:type="pct"/>
                  <w:noWrap w:val="0"/>
                  <w:vAlign w:val="center"/>
                </w:tcPr>
                <w:p w14:paraId="78998615">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O</w:t>
                  </w:r>
                  <w:r>
                    <w:rPr>
                      <w:rFonts w:hint="default" w:ascii="Times New Roman" w:hAnsi="Times New Roman" w:eastAsia="宋体" w:cs="Times New Roman"/>
                      <w:color w:val="000000" w:themeColor="text1"/>
                      <w:highlight w:val="none"/>
                      <w:vertAlign w:val="subscript"/>
                      <w14:textFill>
                        <w14:solidFill>
                          <w14:schemeClr w14:val="tx1"/>
                        </w14:solidFill>
                      </w14:textFill>
                    </w:rPr>
                    <w:t>3</w:t>
                  </w:r>
                </w:p>
              </w:tc>
              <w:tc>
                <w:tcPr>
                  <w:tcW w:w="1715" w:type="pct"/>
                  <w:noWrap w:val="0"/>
                  <w:vAlign w:val="center"/>
                </w:tcPr>
                <w:p w14:paraId="204A5A9A">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日最大8h平均第90百分位数</w:t>
                  </w:r>
                </w:p>
              </w:tc>
              <w:tc>
                <w:tcPr>
                  <w:tcW w:w="756" w:type="pct"/>
                  <w:noWrap w:val="0"/>
                  <w:vAlign w:val="center"/>
                </w:tcPr>
                <w:p w14:paraId="27AC0336">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134</w:t>
                  </w:r>
                  <w:r>
                    <w:rPr>
                      <w:rFonts w:hint="default" w:ascii="Times New Roman" w:hAnsi="Times New Roman" w:eastAsia="宋体" w:cs="Times New Roman"/>
                      <w:color w:val="000000" w:themeColor="text1"/>
                      <w:highlight w:val="none"/>
                      <w14:textFill>
                        <w14:solidFill>
                          <w14:schemeClr w14:val="tx1"/>
                        </w14:solidFill>
                      </w14:textFill>
                    </w:rPr>
                    <w:t>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980" w:type="pct"/>
                  <w:noWrap w:val="0"/>
                  <w:vAlign w:val="center"/>
                </w:tcPr>
                <w:p w14:paraId="1857C637">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160μg/m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850" w:type="pct"/>
                  <w:noWrap w:val="0"/>
                  <w:vAlign w:val="center"/>
                </w:tcPr>
                <w:p w14:paraId="0E06E9F8">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达标</w:t>
                  </w:r>
                </w:p>
              </w:tc>
            </w:tr>
            <w:tr w14:paraId="3B10C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7" w:type="pct"/>
                  <w:noWrap w:val="0"/>
                  <w:vAlign w:val="center"/>
                </w:tcPr>
                <w:p w14:paraId="3B260D97">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PM</w:t>
                  </w:r>
                  <w:r>
                    <w:rPr>
                      <w:rFonts w:hint="default" w:ascii="Times New Roman" w:hAnsi="Times New Roman" w:eastAsia="宋体" w:cs="Times New Roman"/>
                      <w:color w:val="000000" w:themeColor="text1"/>
                      <w:highlight w:val="none"/>
                      <w:vertAlign w:val="subscript"/>
                      <w14:textFill>
                        <w14:solidFill>
                          <w14:schemeClr w14:val="tx1"/>
                        </w14:solidFill>
                      </w14:textFill>
                    </w:rPr>
                    <w:t>10</w:t>
                  </w:r>
                </w:p>
              </w:tc>
              <w:tc>
                <w:tcPr>
                  <w:tcW w:w="1715" w:type="pct"/>
                  <w:noWrap w:val="0"/>
                  <w:vAlign w:val="center"/>
                </w:tcPr>
                <w:p w14:paraId="26443C6A">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年平均</w:t>
                  </w:r>
                </w:p>
              </w:tc>
              <w:tc>
                <w:tcPr>
                  <w:tcW w:w="756" w:type="pct"/>
                  <w:noWrap w:val="0"/>
                  <w:vAlign w:val="center"/>
                </w:tcPr>
                <w:p w14:paraId="766F6C6F">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94</w:t>
                  </w:r>
                  <w:r>
                    <w:rPr>
                      <w:rFonts w:hint="default" w:ascii="Times New Roman" w:hAnsi="Times New Roman" w:eastAsia="宋体" w:cs="Times New Roman"/>
                      <w:color w:val="000000" w:themeColor="text1"/>
                      <w:highlight w:val="none"/>
                      <w14:textFill>
                        <w14:solidFill>
                          <w14:schemeClr w14:val="tx1"/>
                        </w14:solidFill>
                      </w14:textFill>
                    </w:rPr>
                    <w:t>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980" w:type="pct"/>
                  <w:noWrap w:val="0"/>
                  <w:vAlign w:val="center"/>
                </w:tcPr>
                <w:p w14:paraId="3D0682F7">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highlight w:val="none"/>
                      <w14:textFill>
                        <w14:solidFill>
                          <w14:schemeClr w14:val="tx1"/>
                        </w14:solidFill>
                      </w14:textFill>
                    </w:rPr>
                    <w:t>0μg/m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850" w:type="pct"/>
                  <w:noWrap w:val="0"/>
                  <w:vAlign w:val="center"/>
                </w:tcPr>
                <w:p w14:paraId="1433F291">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超标</w:t>
                  </w:r>
                </w:p>
              </w:tc>
            </w:tr>
            <w:tr w14:paraId="23696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7" w:type="pct"/>
                  <w:noWrap w:val="0"/>
                  <w:vAlign w:val="center"/>
                </w:tcPr>
                <w:p w14:paraId="134295D4">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PM</w:t>
                  </w:r>
                  <w:r>
                    <w:rPr>
                      <w:rFonts w:hint="default" w:ascii="Times New Roman" w:hAnsi="Times New Roman" w:eastAsia="宋体" w:cs="Times New Roman"/>
                      <w:color w:val="000000" w:themeColor="text1"/>
                      <w:highlight w:val="none"/>
                      <w:vertAlign w:val="subscript"/>
                      <w14:textFill>
                        <w14:solidFill>
                          <w14:schemeClr w14:val="tx1"/>
                        </w14:solidFill>
                      </w14:textFill>
                    </w:rPr>
                    <w:t>2.5</w:t>
                  </w:r>
                </w:p>
              </w:tc>
              <w:tc>
                <w:tcPr>
                  <w:tcW w:w="1715" w:type="pct"/>
                  <w:noWrap w:val="0"/>
                  <w:vAlign w:val="center"/>
                </w:tcPr>
                <w:p w14:paraId="3A771560">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年平均</w:t>
                  </w:r>
                </w:p>
              </w:tc>
              <w:tc>
                <w:tcPr>
                  <w:tcW w:w="756" w:type="pct"/>
                  <w:noWrap w:val="0"/>
                  <w:vAlign w:val="center"/>
                </w:tcPr>
                <w:p w14:paraId="25D4A545">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33</w:t>
                  </w:r>
                  <w:r>
                    <w:rPr>
                      <w:rFonts w:hint="default" w:ascii="Times New Roman" w:hAnsi="Times New Roman" w:eastAsia="宋体" w:cs="Times New Roman"/>
                      <w:color w:val="000000" w:themeColor="text1"/>
                      <w:highlight w:val="none"/>
                      <w14:textFill>
                        <w14:solidFill>
                          <w14:schemeClr w14:val="tx1"/>
                        </w14:solidFill>
                      </w14:textFill>
                    </w:rPr>
                    <w:t>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980" w:type="pct"/>
                  <w:noWrap w:val="0"/>
                  <w:vAlign w:val="center"/>
                </w:tcPr>
                <w:p w14:paraId="3E834954">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3</w:t>
                  </w:r>
                  <w:r>
                    <w:rPr>
                      <w:rFonts w:hint="default" w:ascii="Times New Roman" w:hAnsi="Times New Roman" w:eastAsia="宋体" w:cs="Times New Roman"/>
                      <w:color w:val="000000" w:themeColor="text1"/>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highlight w:val="none"/>
                      <w14:textFill>
                        <w14:solidFill>
                          <w14:schemeClr w14:val="tx1"/>
                        </w14:solidFill>
                      </w14:textFill>
                    </w:rPr>
                    <w:t>μg/m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c>
                <w:tcPr>
                  <w:tcW w:w="850" w:type="pct"/>
                  <w:noWrap w:val="0"/>
                  <w:vAlign w:val="center"/>
                </w:tcPr>
                <w:p w14:paraId="4B14CD37">
                  <w:pPr>
                    <w:pStyle w:val="114"/>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超标</w:t>
                  </w:r>
                </w:p>
              </w:tc>
            </w:tr>
          </w:tbl>
          <w:p w14:paraId="4B649D75">
            <w:pPr>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喀什地区</w:t>
            </w:r>
            <w:r>
              <w:rPr>
                <w:rFonts w:hint="default" w:ascii="Times New Roman" w:hAnsi="Times New Roman" w:eastAsia="宋体" w:cs="Times New Roman"/>
                <w:color w:val="000000" w:themeColor="text1"/>
                <w:sz w:val="24"/>
                <w14:textFill>
                  <w14:solidFill>
                    <w14:schemeClr w14:val="tx1"/>
                  </w14:solidFill>
                </w14:textFill>
              </w:rPr>
              <w:t>PM</w:t>
            </w:r>
            <w:r>
              <w:rPr>
                <w:rFonts w:hint="default" w:ascii="Times New Roman" w:hAnsi="Times New Roman" w:eastAsia="宋体" w:cs="Times New Roman"/>
                <w:color w:val="000000" w:themeColor="text1"/>
                <w:sz w:val="24"/>
                <w:vertAlign w:val="subscript"/>
                <w14:textFill>
                  <w14:solidFill>
                    <w14:schemeClr w14:val="tx1"/>
                  </w14:solidFill>
                </w14:textFill>
              </w:rPr>
              <w:t>10</w:t>
            </w:r>
            <w:r>
              <w:rPr>
                <w:rFonts w:hint="default" w:ascii="Times New Roman" w:hAnsi="Times New Roman" w:eastAsia="宋体" w:cs="Times New Roman"/>
                <w:color w:val="000000" w:themeColor="text1"/>
                <w:sz w:val="24"/>
                <w14:textFill>
                  <w14:solidFill>
                    <w14:schemeClr w14:val="tx1"/>
                  </w14:solidFill>
                </w14:textFill>
              </w:rPr>
              <w:t>、PM</w:t>
            </w:r>
            <w:r>
              <w:rPr>
                <w:rFonts w:hint="default" w:ascii="Times New Roman" w:hAnsi="Times New Roman" w:eastAsia="宋体" w:cs="Times New Roman"/>
                <w:color w:val="000000" w:themeColor="text1"/>
                <w:sz w:val="24"/>
                <w:vertAlign w:val="subscript"/>
                <w14:textFill>
                  <w14:solidFill>
                    <w14:schemeClr w14:val="tx1"/>
                  </w14:solidFill>
                </w14:textFill>
              </w:rPr>
              <w:t>2.5</w:t>
            </w:r>
            <w:r>
              <w:rPr>
                <w:rFonts w:hint="default" w:ascii="Times New Roman" w:hAnsi="Times New Roman" w:eastAsia="宋体" w:cs="Times New Roman"/>
                <w:color w:val="000000" w:themeColor="text1"/>
                <w:sz w:val="24"/>
                <w14:textFill>
                  <w14:solidFill>
                    <w14:schemeClr w14:val="tx1"/>
                  </w14:solidFill>
                </w14:textFill>
              </w:rPr>
              <w:t>年平均浓度均超过《环境空气质量标准》（</w:t>
            </w:r>
            <w:r>
              <w:rPr>
                <w:rFonts w:hint="default" w:ascii="Times New Roman" w:hAnsi="Times New Roman" w:eastAsia="宋体" w:cs="Times New Roman"/>
                <w:color w:val="000000" w:themeColor="text1"/>
                <w:sz w:val="24"/>
                <w:lang w:eastAsia="zh-CN"/>
                <w14:textFill>
                  <w14:solidFill>
                    <w14:schemeClr w14:val="tx1"/>
                  </w14:solidFill>
                </w14:textFill>
              </w:rPr>
              <w:t>GB3095-2026</w:t>
            </w:r>
            <w:r>
              <w:rPr>
                <w:rFonts w:hint="default" w:ascii="Times New Roman" w:hAnsi="Times New Roman" w:eastAsia="宋体" w:cs="Times New Roman"/>
                <w:color w:val="000000" w:themeColor="text1"/>
                <w:sz w:val="24"/>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表1过渡阶段浓度限值</w:t>
            </w:r>
            <w:r>
              <w:rPr>
                <w:rFonts w:hint="default" w:ascii="Times New Roman" w:hAnsi="Times New Roman" w:eastAsia="宋体" w:cs="Times New Roman"/>
                <w:color w:val="000000" w:themeColor="text1"/>
                <w:sz w:val="24"/>
                <w:highlight w:val="none"/>
                <w14:textFill>
                  <w14:solidFill>
                    <w14:schemeClr w14:val="tx1"/>
                  </w14:solidFill>
                </w14:textFill>
              </w:rPr>
              <w:t>二级标准</w:t>
            </w: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14:textFill>
                  <w14:solidFill>
                    <w14:schemeClr w14:val="tx1"/>
                  </w14:solidFill>
                </w14:textFill>
              </w:rPr>
              <w:t>O</w:t>
            </w:r>
            <w:r>
              <w:rPr>
                <w:rFonts w:hint="default" w:ascii="Times New Roman" w:hAnsi="Times New Roman" w:eastAsia="宋体" w:cs="Times New Roman"/>
                <w:color w:val="000000" w:themeColor="text1"/>
                <w:sz w:val="24"/>
                <w:vertAlign w:val="subscript"/>
                <w14:textFill>
                  <w14:solidFill>
                    <w14:schemeClr w14:val="tx1"/>
                  </w14:solidFill>
                </w14:textFill>
              </w:rPr>
              <w:t>3</w:t>
            </w:r>
            <w:r>
              <w:rPr>
                <w:rFonts w:hint="default" w:ascii="Times New Roman" w:hAnsi="Times New Roman" w:eastAsia="宋体" w:cs="Times New Roman"/>
                <w:color w:val="000000" w:themeColor="text1"/>
                <w:sz w:val="24"/>
                <w14:textFill>
                  <w14:solidFill>
                    <w14:schemeClr w14:val="tx1"/>
                  </w14:solidFill>
                </w14:textFill>
              </w:rPr>
              <w:t>第90百分位数日平均浓度及CO第95百分位数日平均浓度满足</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表1过渡阶段浓度限值</w:t>
            </w:r>
            <w:r>
              <w:rPr>
                <w:rFonts w:hint="default" w:ascii="Times New Roman" w:hAnsi="Times New Roman" w:eastAsia="宋体" w:cs="Times New Roman"/>
                <w:color w:val="000000" w:themeColor="text1"/>
                <w:sz w:val="24"/>
                <w:highlight w:val="none"/>
                <w14:textFill>
                  <w14:solidFill>
                    <w14:schemeClr w14:val="tx1"/>
                  </w14:solidFill>
                </w14:textFill>
              </w:rPr>
              <w:t>二级标准</w:t>
            </w: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14:textFill>
                  <w14:solidFill>
                    <w14:schemeClr w14:val="tx1"/>
                  </w14:solidFill>
                </w14:textFill>
              </w:rPr>
              <w:t>NO</w:t>
            </w:r>
            <w:r>
              <w:rPr>
                <w:rFonts w:hint="default" w:ascii="Times New Roman" w:hAnsi="Times New Roman" w:eastAsia="宋体" w:cs="Times New Roman"/>
                <w:color w:val="000000" w:themeColor="text1"/>
                <w:sz w:val="24"/>
                <w:vertAlign w:val="subscript"/>
                <w14:textFill>
                  <w14:solidFill>
                    <w14:schemeClr w14:val="tx1"/>
                  </w14:solidFill>
                </w14:textFill>
              </w:rPr>
              <w:t>2</w:t>
            </w:r>
            <w:r>
              <w:rPr>
                <w:rFonts w:hint="default" w:ascii="Times New Roman" w:hAnsi="Times New Roman" w:eastAsia="宋体" w:cs="Times New Roman"/>
                <w:color w:val="000000" w:themeColor="text1"/>
                <w:sz w:val="24"/>
                <w14:textFill>
                  <w14:solidFill>
                    <w14:schemeClr w14:val="tx1"/>
                  </w14:solidFill>
                </w14:textFill>
              </w:rPr>
              <w:t>、SO</w:t>
            </w:r>
            <w:r>
              <w:rPr>
                <w:rFonts w:hint="default" w:ascii="Times New Roman" w:hAnsi="Times New Roman" w:eastAsia="宋体" w:cs="Times New Roman"/>
                <w:color w:val="000000" w:themeColor="text1"/>
                <w:sz w:val="24"/>
                <w:vertAlign w:val="subscript"/>
                <w14:textFill>
                  <w14:solidFill>
                    <w14:schemeClr w14:val="tx1"/>
                  </w14:solidFill>
                </w14:textFill>
              </w:rPr>
              <w:t>2</w:t>
            </w:r>
            <w:r>
              <w:rPr>
                <w:rFonts w:hint="default" w:ascii="Times New Roman" w:hAnsi="Times New Roman" w:eastAsia="宋体" w:cs="Times New Roman"/>
                <w:color w:val="000000" w:themeColor="text1"/>
                <w:sz w:val="24"/>
                <w14:textFill>
                  <w14:solidFill>
                    <w14:schemeClr w14:val="tx1"/>
                  </w14:solidFill>
                </w14:textFill>
              </w:rPr>
              <w:t>的年均浓度均满足</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表1过渡阶段浓度限值</w:t>
            </w:r>
            <w:r>
              <w:rPr>
                <w:rFonts w:hint="default" w:ascii="Times New Roman" w:hAnsi="Times New Roman" w:eastAsia="宋体" w:cs="Times New Roman"/>
                <w:color w:val="000000" w:themeColor="text1"/>
                <w:sz w:val="24"/>
                <w:highlight w:val="none"/>
                <w14:textFill>
                  <w14:solidFill>
                    <w14:schemeClr w14:val="tx1"/>
                  </w14:solidFill>
                </w14:textFill>
              </w:rPr>
              <w:t>二级标准</w:t>
            </w:r>
            <w:r>
              <w:rPr>
                <w:rFonts w:hint="default" w:ascii="Times New Roman" w:hAnsi="Times New Roman" w:eastAsia="宋体" w:cs="Times New Roman"/>
                <w:color w:val="000000" w:themeColor="text1"/>
                <w:sz w:val="24"/>
                <w14:textFill>
                  <w14:solidFill>
                    <w14:schemeClr w14:val="tx1"/>
                  </w14:solidFill>
                </w14:textFill>
              </w:rPr>
              <w:t>，</w:t>
            </w:r>
            <w:r>
              <w:rPr>
                <w:rFonts w:hint="default" w:ascii="Times New Roman" w:hAnsi="Times New Roman" w:eastAsia="宋体" w:cs="Times New Roman"/>
                <w:color w:val="000000" w:themeColor="text1"/>
                <w:sz w:val="24"/>
                <w:lang w:eastAsia="zh-CN"/>
                <w14:textFill>
                  <w14:solidFill>
                    <w14:schemeClr w14:val="tx1"/>
                  </w14:solidFill>
                </w14:textFill>
              </w:rPr>
              <w:t>本项目</w:t>
            </w:r>
            <w:r>
              <w:rPr>
                <w:rFonts w:hint="default" w:ascii="Times New Roman" w:hAnsi="Times New Roman" w:eastAsia="宋体" w:cs="Times New Roman"/>
                <w:color w:val="000000" w:themeColor="text1"/>
                <w:sz w:val="24"/>
                <w14:textFill>
                  <w14:solidFill>
                    <w14:schemeClr w14:val="tx1"/>
                  </w14:solidFill>
                </w14:textFill>
              </w:rPr>
              <w:t>所在区域为非达标区域，超标原因是监测区域气候干燥，风起扬尘所致。</w:t>
            </w:r>
          </w:p>
          <w:p w14:paraId="006540C6">
            <w:pPr>
              <w:pStyle w:val="25"/>
              <w:spacing w:after="0" w:line="360" w:lineRule="auto"/>
              <w:ind w:left="0" w:leftChars="0" w:firstLine="480" w:firstLineChars="200"/>
              <w:rPr>
                <w:rFonts w:hint="default" w:ascii="Times New Roman" w:hAnsi="Times New Roman" w:eastAsia="宋体" w:cs="Times New Roman"/>
                <w:color w:val="000000" w:themeColor="text1"/>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bidi="ar"/>
                <w14:textFill>
                  <w14:solidFill>
                    <w14:schemeClr w14:val="tx1"/>
                  </w14:solidFill>
                </w14:textFill>
              </w:rPr>
              <w:t>2.1.2特征因子监测</w:t>
            </w:r>
          </w:p>
          <w:p w14:paraId="1CC45E9D">
            <w:pPr>
              <w:pStyle w:val="116"/>
              <w:keepNext w:val="0"/>
              <w:keepLines w:val="0"/>
              <w:suppressLineNumbers w:val="0"/>
              <w:spacing w:before="0" w:beforeAutospacing="0" w:after="0" w:afterAutospacing="0"/>
              <w:ind w:left="0" w:right="0" w:firstLine="480"/>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根据《建设项目环境影响报告表编制技术指南（污染影响类）（试行）》要求：排放国家、地方环境空气质量标准中有标准限值的特征污染物时，应引用或监测其现状</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w:t>
            </w:r>
          </w:p>
          <w:p w14:paraId="1FFE02B1">
            <w:pPr>
              <w:pStyle w:val="116"/>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①监测因子及监测单位</w:t>
            </w:r>
          </w:p>
          <w:p w14:paraId="03F919AC">
            <w:pPr>
              <w:pStyle w:val="116"/>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新疆腾龙环境监测有限公司于2026年6月10-12日对项目所在地TSP进行了现状监测。</w:t>
            </w:r>
          </w:p>
          <w:p w14:paraId="2AF84AF6">
            <w:pPr>
              <w:pStyle w:val="116"/>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②监测频率及监测时间</w:t>
            </w:r>
          </w:p>
          <w:p w14:paraId="3256F4A1">
            <w:pPr>
              <w:pStyle w:val="116"/>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TSP监测日均值，连续监测3天，每天不少于2</w:t>
            </w:r>
            <w:r>
              <w:rPr>
                <w:rFonts w:hint="default" w:ascii="Times New Roman" w:hAnsi="Times New Roman" w:eastAsia="宋体"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h采样时间。</w:t>
            </w:r>
          </w:p>
          <w:p w14:paraId="3156D968">
            <w:pPr>
              <w:pStyle w:val="116"/>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③监测结果</w:t>
            </w:r>
          </w:p>
          <w:p w14:paraId="618E4440">
            <w:pPr>
              <w:pStyle w:val="116"/>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监测结果见下表及附件监测报告。</w:t>
            </w:r>
          </w:p>
          <w:p w14:paraId="19DA6F7A">
            <w:pPr>
              <w:pStyle w:val="95"/>
              <w:keepNext w:val="0"/>
              <w:keepLines w:val="0"/>
              <w:suppressLineNumbers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表3-2TSP大气环境质量现状监测结果</w:t>
            </w:r>
          </w:p>
          <w:tbl>
            <w:tblPr>
              <w:tblStyle w:val="3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1"/>
              <w:gridCol w:w="1599"/>
              <w:gridCol w:w="5155"/>
            </w:tblGrid>
            <w:tr w14:paraId="66CDC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1778" w:type="dxa"/>
                  <w:vMerge w:val="restart"/>
                  <w:tcBorders>
                    <w:top w:val="single" w:color="auto" w:sz="4" w:space="0"/>
                    <w:left w:val="single" w:color="auto" w:sz="4" w:space="0"/>
                    <w:bottom w:val="single" w:color="auto" w:sz="4" w:space="0"/>
                    <w:right w:val="single" w:color="auto" w:sz="4" w:space="0"/>
                  </w:tcBorders>
                  <w:vAlign w:val="center"/>
                </w:tcPr>
                <w:p w14:paraId="4EAA983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采样点位</w:t>
                  </w:r>
                </w:p>
              </w:tc>
              <w:tc>
                <w:tcPr>
                  <w:tcW w:w="1465" w:type="dxa"/>
                  <w:vMerge w:val="restart"/>
                  <w:tcBorders>
                    <w:top w:val="single" w:color="auto" w:sz="4" w:space="0"/>
                    <w:left w:val="nil"/>
                    <w:bottom w:val="single" w:color="auto" w:sz="4" w:space="0"/>
                    <w:right w:val="single" w:color="auto" w:sz="4" w:space="0"/>
                  </w:tcBorders>
                  <w:vAlign w:val="center"/>
                </w:tcPr>
                <w:p w14:paraId="7662AA4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采样日期</w:t>
                  </w:r>
                </w:p>
              </w:tc>
              <w:tc>
                <w:tcPr>
                  <w:tcW w:w="4721" w:type="dxa"/>
                  <w:tcBorders>
                    <w:top w:val="single" w:color="auto" w:sz="4" w:space="0"/>
                    <w:left w:val="nil"/>
                    <w:bottom w:val="single" w:color="auto" w:sz="4" w:space="0"/>
                    <w:right w:val="single" w:color="auto" w:sz="4" w:space="0"/>
                  </w:tcBorders>
                  <w:vAlign w:val="center"/>
                </w:tcPr>
                <w:p w14:paraId="626E1E9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vertAlign w:val="superscript"/>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检测项目及结果</w:t>
                  </w:r>
                </w:p>
              </w:tc>
            </w:tr>
            <w:tr w14:paraId="402A4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 w:hRule="atLeast"/>
                <w:jc w:val="center"/>
              </w:trPr>
              <w:tc>
                <w:tcPr>
                  <w:tcW w:w="1778" w:type="dxa"/>
                  <w:vMerge w:val="continue"/>
                  <w:tcBorders>
                    <w:top w:val="single" w:color="auto" w:sz="4" w:space="0"/>
                    <w:left w:val="single" w:color="auto" w:sz="4" w:space="0"/>
                    <w:bottom w:val="single" w:color="auto" w:sz="4" w:space="0"/>
                    <w:right w:val="single" w:color="auto" w:sz="4" w:space="0"/>
                  </w:tcBorders>
                  <w:vAlign w:val="center"/>
                </w:tcPr>
                <w:p w14:paraId="0830ED0C">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000000" w:themeColor="text1"/>
                      <w:szCs w:val="21"/>
                      <w:highlight w:val="none"/>
                      <w14:textFill>
                        <w14:solidFill>
                          <w14:schemeClr w14:val="tx1"/>
                        </w14:solidFill>
                      </w14:textFill>
                    </w:rPr>
                  </w:pPr>
                </w:p>
              </w:tc>
              <w:tc>
                <w:tcPr>
                  <w:tcW w:w="1465" w:type="dxa"/>
                  <w:vMerge w:val="continue"/>
                  <w:tcBorders>
                    <w:top w:val="single" w:color="auto" w:sz="4" w:space="0"/>
                    <w:left w:val="nil"/>
                    <w:bottom w:val="single" w:color="auto" w:sz="4" w:space="0"/>
                    <w:right w:val="single" w:color="auto" w:sz="4" w:space="0"/>
                  </w:tcBorders>
                  <w:vAlign w:val="center"/>
                </w:tcPr>
                <w:p w14:paraId="5D87A824">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000000" w:themeColor="text1"/>
                      <w:szCs w:val="21"/>
                      <w:highlight w:val="none"/>
                      <w14:textFill>
                        <w14:solidFill>
                          <w14:schemeClr w14:val="tx1"/>
                        </w14:solidFill>
                      </w14:textFill>
                    </w:rPr>
                  </w:pPr>
                </w:p>
              </w:tc>
              <w:tc>
                <w:tcPr>
                  <w:tcW w:w="4721" w:type="dxa"/>
                  <w:tcBorders>
                    <w:top w:val="single" w:color="auto" w:sz="4" w:space="0"/>
                    <w:left w:val="nil"/>
                    <w:bottom w:val="single" w:color="auto" w:sz="4" w:space="0"/>
                    <w:right w:val="single" w:color="auto" w:sz="4" w:space="0"/>
                  </w:tcBorders>
                  <w:vAlign w:val="center"/>
                </w:tcPr>
                <w:p w14:paraId="0C7B9AA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TSPmg/m</w:t>
                  </w:r>
                  <w:r>
                    <w:rPr>
                      <w:rFonts w:hint="default" w:ascii="Times New Roman" w:hAnsi="Times New Roman" w:eastAsia="宋体" w:cs="Times New Roman"/>
                      <w:color w:val="000000" w:themeColor="text1"/>
                      <w:highlight w:val="none"/>
                      <w:vertAlign w:val="superscript"/>
                      <w14:textFill>
                        <w14:solidFill>
                          <w14:schemeClr w14:val="tx1"/>
                        </w14:solidFill>
                      </w14:textFill>
                    </w:rPr>
                    <w:t>3</w:t>
                  </w:r>
                </w:p>
              </w:tc>
            </w:tr>
            <w:tr w14:paraId="7D03E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78" w:type="dxa"/>
                  <w:vMerge w:val="restart"/>
                  <w:tcBorders>
                    <w:top w:val="nil"/>
                    <w:left w:val="single" w:color="auto" w:sz="4" w:space="0"/>
                    <w:bottom w:val="single" w:color="auto" w:sz="4" w:space="0"/>
                    <w:right w:val="single" w:color="auto" w:sz="4" w:space="0"/>
                  </w:tcBorders>
                  <w:vAlign w:val="center"/>
                </w:tcPr>
                <w:p w14:paraId="547ED8C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lang w:val="en-US"/>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项目所在地</w:t>
                  </w:r>
                </w:p>
              </w:tc>
              <w:tc>
                <w:tcPr>
                  <w:tcW w:w="1465" w:type="dxa"/>
                  <w:tcBorders>
                    <w:top w:val="single" w:color="auto" w:sz="4" w:space="0"/>
                    <w:left w:val="nil"/>
                    <w:bottom w:val="single" w:color="auto" w:sz="4" w:space="0"/>
                    <w:right w:val="single" w:color="auto" w:sz="4" w:space="0"/>
                  </w:tcBorders>
                  <w:vAlign w:val="center"/>
                </w:tcPr>
                <w:p w14:paraId="1EEF567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highlight w:val="none"/>
                      <w14:textFill>
                        <w14:solidFill>
                          <w14:schemeClr w14:val="tx1"/>
                        </w14:solidFill>
                      </w14:textFill>
                    </w:rPr>
                    <w:t>月</w:t>
                  </w:r>
                  <w:r>
                    <w:rPr>
                      <w:rFonts w:hint="default" w:ascii="Times New Roman" w:hAnsi="Times New Roman" w:eastAsia="宋体" w:cs="Times New Roman"/>
                      <w:color w:val="000000" w:themeColor="text1"/>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highlight w:val="none"/>
                      <w14:textFill>
                        <w14:solidFill>
                          <w14:schemeClr w14:val="tx1"/>
                        </w14:solidFill>
                      </w14:textFill>
                    </w:rPr>
                    <w:t>日</w:t>
                  </w:r>
                </w:p>
              </w:tc>
              <w:tc>
                <w:tcPr>
                  <w:tcW w:w="4721" w:type="dxa"/>
                  <w:tcBorders>
                    <w:top w:val="single" w:color="auto" w:sz="4" w:space="0"/>
                    <w:left w:val="nil"/>
                    <w:bottom w:val="single" w:color="auto" w:sz="4" w:space="0"/>
                    <w:right w:val="single" w:color="auto" w:sz="4" w:space="0"/>
                  </w:tcBorders>
                  <w:vAlign w:val="center"/>
                </w:tcPr>
                <w:p w14:paraId="5C9F045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0.169</w:t>
                  </w:r>
                </w:p>
              </w:tc>
            </w:tr>
            <w:tr w14:paraId="60BAF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78" w:type="dxa"/>
                  <w:vMerge w:val="continue"/>
                  <w:tcBorders>
                    <w:top w:val="nil"/>
                    <w:left w:val="single" w:color="auto" w:sz="4" w:space="0"/>
                    <w:bottom w:val="single" w:color="auto" w:sz="4" w:space="0"/>
                    <w:right w:val="single" w:color="auto" w:sz="4" w:space="0"/>
                  </w:tcBorders>
                  <w:vAlign w:val="center"/>
                </w:tcPr>
                <w:p w14:paraId="42DAB621">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000000" w:themeColor="text1"/>
                      <w:szCs w:val="21"/>
                      <w:highlight w:val="none"/>
                      <w14:textFill>
                        <w14:solidFill>
                          <w14:schemeClr w14:val="tx1"/>
                        </w14:solidFill>
                      </w14:textFill>
                    </w:rPr>
                  </w:pPr>
                </w:p>
              </w:tc>
              <w:tc>
                <w:tcPr>
                  <w:tcW w:w="1465" w:type="dxa"/>
                  <w:tcBorders>
                    <w:top w:val="single" w:color="auto" w:sz="4" w:space="0"/>
                    <w:left w:val="nil"/>
                    <w:bottom w:val="single" w:color="auto" w:sz="4" w:space="0"/>
                    <w:right w:val="single" w:color="auto" w:sz="4" w:space="0"/>
                  </w:tcBorders>
                  <w:vAlign w:val="center"/>
                </w:tcPr>
                <w:p w14:paraId="2C29E6E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highlight w:val="none"/>
                      <w14:textFill>
                        <w14:solidFill>
                          <w14:schemeClr w14:val="tx1"/>
                        </w14:solidFill>
                      </w14:textFill>
                    </w:rPr>
                    <w:t>月</w:t>
                  </w:r>
                  <w:r>
                    <w:rPr>
                      <w:rFonts w:hint="default" w:ascii="Times New Roman" w:hAnsi="Times New Roman" w:eastAsia="宋体" w:cs="Times New Roman"/>
                      <w:color w:val="000000" w:themeColor="text1"/>
                      <w:highlight w:val="none"/>
                      <w:lang w:val="en-US" w:eastAsia="zh-CN"/>
                      <w14:textFill>
                        <w14:solidFill>
                          <w14:schemeClr w14:val="tx1"/>
                        </w14:solidFill>
                      </w14:textFill>
                    </w:rPr>
                    <w:t>11</w:t>
                  </w:r>
                  <w:r>
                    <w:rPr>
                      <w:rFonts w:hint="default" w:ascii="Times New Roman" w:hAnsi="Times New Roman" w:eastAsia="宋体" w:cs="Times New Roman"/>
                      <w:color w:val="000000" w:themeColor="text1"/>
                      <w:highlight w:val="none"/>
                      <w14:textFill>
                        <w14:solidFill>
                          <w14:schemeClr w14:val="tx1"/>
                        </w14:solidFill>
                      </w14:textFill>
                    </w:rPr>
                    <w:t>日</w:t>
                  </w:r>
                </w:p>
              </w:tc>
              <w:tc>
                <w:tcPr>
                  <w:tcW w:w="4721" w:type="dxa"/>
                  <w:tcBorders>
                    <w:top w:val="single" w:color="auto" w:sz="4" w:space="0"/>
                    <w:left w:val="nil"/>
                    <w:bottom w:val="single" w:color="auto" w:sz="4" w:space="0"/>
                    <w:right w:val="single" w:color="auto" w:sz="4" w:space="0"/>
                  </w:tcBorders>
                  <w:vAlign w:val="center"/>
                </w:tcPr>
                <w:p w14:paraId="0E87586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0.175</w:t>
                  </w:r>
                </w:p>
              </w:tc>
            </w:tr>
            <w:tr w14:paraId="03F74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jc w:val="center"/>
              </w:trPr>
              <w:tc>
                <w:tcPr>
                  <w:tcW w:w="1778" w:type="dxa"/>
                  <w:vMerge w:val="continue"/>
                  <w:tcBorders>
                    <w:top w:val="nil"/>
                    <w:left w:val="single" w:color="auto" w:sz="4" w:space="0"/>
                    <w:bottom w:val="single" w:color="auto" w:sz="4" w:space="0"/>
                    <w:right w:val="single" w:color="auto" w:sz="4" w:space="0"/>
                  </w:tcBorders>
                  <w:vAlign w:val="center"/>
                </w:tcPr>
                <w:p w14:paraId="7422143A">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000000" w:themeColor="text1"/>
                      <w:szCs w:val="21"/>
                      <w:highlight w:val="none"/>
                      <w14:textFill>
                        <w14:solidFill>
                          <w14:schemeClr w14:val="tx1"/>
                        </w14:solidFill>
                      </w14:textFill>
                    </w:rPr>
                  </w:pPr>
                </w:p>
              </w:tc>
              <w:tc>
                <w:tcPr>
                  <w:tcW w:w="1465" w:type="dxa"/>
                  <w:tcBorders>
                    <w:top w:val="single" w:color="auto" w:sz="4" w:space="0"/>
                    <w:left w:val="nil"/>
                    <w:bottom w:val="single" w:color="auto" w:sz="4" w:space="0"/>
                    <w:right w:val="single" w:color="auto" w:sz="4" w:space="0"/>
                  </w:tcBorders>
                  <w:vAlign w:val="center"/>
                </w:tcPr>
                <w:p w14:paraId="5BF3D3A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highlight w:val="none"/>
                      <w14:textFill>
                        <w14:solidFill>
                          <w14:schemeClr w14:val="tx1"/>
                        </w14:solidFill>
                      </w14:textFill>
                    </w:rPr>
                    <w:t>月</w:t>
                  </w:r>
                  <w:r>
                    <w:rPr>
                      <w:rFonts w:hint="default" w:ascii="Times New Roman" w:hAnsi="Times New Roman" w:eastAsia="宋体" w:cs="Times New Roman"/>
                      <w:color w:val="000000" w:themeColor="text1"/>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highlight w:val="none"/>
                      <w14:textFill>
                        <w14:solidFill>
                          <w14:schemeClr w14:val="tx1"/>
                        </w14:solidFill>
                      </w14:textFill>
                    </w:rPr>
                    <w:t>日</w:t>
                  </w:r>
                </w:p>
              </w:tc>
              <w:tc>
                <w:tcPr>
                  <w:tcW w:w="4721" w:type="dxa"/>
                  <w:tcBorders>
                    <w:top w:val="single" w:color="auto" w:sz="4" w:space="0"/>
                    <w:left w:val="nil"/>
                    <w:bottom w:val="single" w:color="auto" w:sz="4" w:space="0"/>
                    <w:right w:val="single" w:color="auto" w:sz="4" w:space="0"/>
                  </w:tcBorders>
                  <w:vAlign w:val="center"/>
                </w:tcPr>
                <w:p w14:paraId="05DC973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0.172</w:t>
                  </w:r>
                </w:p>
              </w:tc>
            </w:tr>
          </w:tbl>
          <w:p w14:paraId="4FF40549">
            <w:pPr>
              <w:pStyle w:val="99"/>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④评价标准</w:t>
            </w:r>
          </w:p>
          <w:p w14:paraId="1C9117DF">
            <w:pPr>
              <w:pStyle w:val="99"/>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TSP参照《</w:t>
            </w:r>
            <w:r>
              <w:rPr>
                <w:rFonts w:hint="default" w:ascii="Times New Roman" w:hAnsi="Times New Roman" w:eastAsia="宋体" w:cs="Times New Roman"/>
                <w:color w:val="000000" w:themeColor="text1"/>
                <w:sz w:val="24"/>
                <w:szCs w:val="24"/>
                <w:highlight w:val="none"/>
                <w14:textFill>
                  <w14:solidFill>
                    <w14:schemeClr w14:val="tx1"/>
                  </w14:solidFill>
                </w14:textFill>
              </w:rPr>
              <w:fldChar w:fldCharType="begin"/>
            </w:r>
            <w:r>
              <w:rPr>
                <w:rFonts w:hint="default" w:ascii="Times New Roman" w:hAnsi="Times New Roman" w:eastAsia="宋体" w:cs="Times New Roman"/>
                <w:color w:val="000000" w:themeColor="text1"/>
                <w:sz w:val="24"/>
                <w:szCs w:val="24"/>
                <w:highlight w:val="none"/>
                <w14:textFill>
                  <w14:solidFill>
                    <w14:schemeClr w14:val="tx1"/>
                  </w14:solidFill>
                </w14:textFill>
              </w:rPr>
              <w:instrText xml:space="preserve"> HYPERLINK "http://www.baidu.com/link?url=fhm7Zsb-TOcQMlsrJa4GqUPqltfJVcOZzaUHL4sSxP9Eu_MsZmfxXjCy7HEJj02X0y_U5uvNgyewOtB1FzQx-_" </w:instrText>
            </w:r>
            <w:r>
              <w:rPr>
                <w:rFonts w:hint="default" w:ascii="Times New Roman" w:hAnsi="Times New Roman" w:eastAsia="宋体" w:cs="Times New Roman"/>
                <w:color w:val="000000" w:themeColor="text1"/>
                <w:sz w:val="24"/>
                <w:szCs w:val="24"/>
                <w:highlight w:val="none"/>
                <w14:textFill>
                  <w14:solidFill>
                    <w14:schemeClr w14:val="tx1"/>
                  </w14:solidFill>
                </w14:textFill>
              </w:rPr>
              <w:fldChar w:fldCharType="separate"/>
            </w:r>
            <w:r>
              <w:rPr>
                <w:rStyle w:val="82"/>
                <w:rFonts w:hint="default" w:ascii="Times New Roman" w:hAnsi="Times New Roman" w:eastAsia="宋体" w:cs="Times New Roman"/>
                <w:color w:val="000000" w:themeColor="text1"/>
                <w:sz w:val="24"/>
                <w:szCs w:val="24"/>
                <w:highlight w:val="none"/>
                <w14:textFill>
                  <w14:solidFill>
                    <w14:schemeClr w14:val="tx1"/>
                  </w14:solidFill>
                </w14:textFill>
              </w:rPr>
              <w:t>环境空气质量标准</w:t>
            </w:r>
            <w:r>
              <w:rPr>
                <w:rStyle w:val="82"/>
                <w:rFonts w:hint="default" w:ascii="Times New Roman" w:hAnsi="Times New Roman" w:eastAsia="宋体" w:cs="Times New Roman"/>
                <w:color w:val="000000" w:themeColor="text1"/>
                <w:sz w:val="24"/>
                <w:szCs w:val="24"/>
                <w:highlight w:val="none"/>
                <w14:textFill>
                  <w14:solidFill>
                    <w14:schemeClr w14:val="tx1"/>
                  </w14:solidFill>
                </w14:textFill>
              </w:rPr>
              <w:fldChar w:fldCharType="end"/>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（GB3095-2026）</w:t>
            </w:r>
            <w:r>
              <w:rPr>
                <w:rFonts w:hint="default" w:ascii="Times New Roman" w:hAnsi="Times New Roman" w:eastAsia="宋体" w:cs="Times New Roman"/>
                <w:color w:val="000000" w:themeColor="text1"/>
                <w:sz w:val="24"/>
                <w:szCs w:val="24"/>
                <w:highlight w:val="none"/>
                <w14:textFill>
                  <w14:solidFill>
                    <w14:schemeClr w14:val="tx1"/>
                  </w14:solidFill>
                </w14:textFill>
              </w:rPr>
              <w:t>标准值：0.3mg/m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（日均值）。</w:t>
            </w:r>
          </w:p>
          <w:p w14:paraId="3ED1D969">
            <w:pPr>
              <w:pStyle w:val="99"/>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⑤评价方法</w:t>
            </w:r>
          </w:p>
          <w:p w14:paraId="5A79C76B">
            <w:pPr>
              <w:pStyle w:val="99"/>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根据环境空气质量现状调查和监测数据，空气环境质量现状评价方法采用</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单因子指数法</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9F180F8">
            <w:pPr>
              <w:pStyle w:val="99"/>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Ii=Ci/Si</w:t>
            </w:r>
          </w:p>
          <w:p w14:paraId="67F36D32">
            <w:pPr>
              <w:pStyle w:val="99"/>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式中：C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szCs w:val="24"/>
                <w:highlight w:val="none"/>
                <w14:textFill>
                  <w14:solidFill>
                    <w14:schemeClr w14:val="tx1"/>
                  </w14:solidFill>
                </w14:textFill>
              </w:rPr>
              <w:t>―某项污染物质监测浓度，mg/m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07068009">
            <w:pPr>
              <w:pStyle w:val="99"/>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S</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szCs w:val="24"/>
                <w:highlight w:val="none"/>
                <w14:textFill>
                  <w14:solidFill>
                    <w14:schemeClr w14:val="tx1"/>
                  </w14:solidFill>
                </w14:textFill>
              </w:rPr>
              <w:t>―某项污染物质标准浓度，mg/m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5FF6B14F">
            <w:pPr>
              <w:pStyle w:val="99"/>
              <w:keepNext w:val="0"/>
              <w:keepLines w:val="0"/>
              <w:suppressLineNumbers w:val="0"/>
              <w:spacing w:before="0" w:beforeAutospacing="0" w:after="0" w:afterAutospacing="0"/>
              <w:ind w:left="0" w:right="0" w:firstLine="48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⑥评价结果</w:t>
            </w:r>
          </w:p>
          <w:p w14:paraId="5E519D6D">
            <w:pPr>
              <w:spacing w:line="360" w:lineRule="auto"/>
              <w:ind w:firstLine="480" w:firstLineChars="200"/>
              <w:rPr>
                <w:rFonts w:hint="default" w:ascii="Times New Roman" w:hAnsi="Times New Roman" w:eastAsia="宋体" w:cs="Times New Roman"/>
                <w:b/>
                <w:bCs/>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评价区域内大气环境监测结果表明，TSP</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日均值单因子指数0.56-0.58，</w:t>
            </w:r>
            <w:r>
              <w:rPr>
                <w:rFonts w:hint="default" w:ascii="Times New Roman" w:hAnsi="Times New Roman" w:eastAsia="宋体" w:cs="Times New Roman"/>
                <w:color w:val="000000" w:themeColor="text1"/>
                <w:sz w:val="24"/>
                <w:szCs w:val="24"/>
                <w:highlight w:val="none"/>
                <w14:textFill>
                  <w14:solidFill>
                    <w14:schemeClr w14:val="tx1"/>
                  </w14:solidFill>
                </w14:textFill>
              </w:rPr>
              <w:t>满足《</w:t>
            </w:r>
            <w:r>
              <w:rPr>
                <w:rFonts w:hint="default" w:ascii="Times New Roman" w:hAnsi="Times New Roman" w:eastAsia="宋体" w:cs="Times New Roman"/>
                <w:color w:val="000000" w:themeColor="text1"/>
                <w:sz w:val="24"/>
                <w:szCs w:val="24"/>
                <w:highlight w:val="none"/>
                <w14:textFill>
                  <w14:solidFill>
                    <w14:schemeClr w14:val="tx1"/>
                  </w14:solidFill>
                </w14:textFill>
              </w:rPr>
              <w:fldChar w:fldCharType="begin"/>
            </w:r>
            <w:r>
              <w:rPr>
                <w:rFonts w:hint="default" w:ascii="Times New Roman" w:hAnsi="Times New Roman" w:eastAsia="宋体" w:cs="Times New Roman"/>
                <w:color w:val="000000" w:themeColor="text1"/>
                <w:sz w:val="24"/>
                <w:szCs w:val="24"/>
                <w:highlight w:val="none"/>
                <w14:textFill>
                  <w14:solidFill>
                    <w14:schemeClr w14:val="tx1"/>
                  </w14:solidFill>
                </w14:textFill>
              </w:rPr>
              <w:instrText xml:space="preserve"> HYPERLINK "http://www.baidu.com/link?url=fhm7Zsb-TOcQMlsrJa4GqUPqltfJVcOZzaUHL4sSxP9Eu_MsZmfxXjCy7HEJj02X0y_U5uvNgyewOtB1FzQx-_" </w:instrText>
            </w:r>
            <w:r>
              <w:rPr>
                <w:rFonts w:hint="default" w:ascii="Times New Roman" w:hAnsi="Times New Roman" w:eastAsia="宋体" w:cs="Times New Roman"/>
                <w:color w:val="000000" w:themeColor="text1"/>
                <w:sz w:val="24"/>
                <w:szCs w:val="24"/>
                <w:highlight w:val="none"/>
                <w14:textFill>
                  <w14:solidFill>
                    <w14:schemeClr w14:val="tx1"/>
                  </w14:solidFill>
                </w14:textFill>
              </w:rPr>
              <w:fldChar w:fldCharType="separate"/>
            </w:r>
            <w:r>
              <w:rPr>
                <w:rFonts w:hint="default" w:ascii="Times New Roman" w:hAnsi="Times New Roman" w:eastAsia="宋体" w:cs="Times New Roman"/>
                <w:color w:val="000000" w:themeColor="text1"/>
                <w:sz w:val="24"/>
                <w:szCs w:val="24"/>
                <w:highlight w:val="none"/>
                <w14:textFill>
                  <w14:solidFill>
                    <w14:schemeClr w14:val="tx1"/>
                  </w14:solidFill>
                </w14:textFill>
              </w:rPr>
              <w:t>环境空气质量标准</w:t>
            </w:r>
            <w:r>
              <w:rPr>
                <w:rFonts w:hint="default" w:ascii="Times New Roman" w:hAnsi="Times New Roman" w:eastAsia="宋体" w:cs="Times New Roman"/>
                <w:color w:val="000000" w:themeColor="text1"/>
                <w:sz w:val="24"/>
                <w:szCs w:val="24"/>
                <w:highlight w:val="none"/>
                <w14:textFill>
                  <w14:solidFill>
                    <w14:schemeClr w14:val="tx1"/>
                  </w14:solidFill>
                </w14:textFill>
              </w:rPr>
              <w:fldChar w:fldCharType="end"/>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（GB3095-2026）</w:t>
            </w:r>
            <w:r>
              <w:rPr>
                <w:rFonts w:hint="default" w:ascii="Times New Roman" w:hAnsi="Times New Roman" w:eastAsia="宋体" w:cs="Times New Roman"/>
                <w:color w:val="000000" w:themeColor="text1"/>
                <w:sz w:val="24"/>
                <w:szCs w:val="24"/>
                <w:highlight w:val="none"/>
                <w14:textFill>
                  <w14:solidFill>
                    <w14:schemeClr w14:val="tx1"/>
                  </w14:solidFill>
                </w14:textFill>
              </w:rPr>
              <w:t>二级标准要求。</w:t>
            </w:r>
          </w:p>
          <w:p w14:paraId="2FE00C5D">
            <w:pPr>
              <w:spacing w:line="360" w:lineRule="auto"/>
              <w:ind w:firstLine="482" w:firstLineChars="200"/>
              <w:rPr>
                <w:rFonts w:hint="default" w:ascii="Times New Roman" w:hAnsi="Times New Roman" w:eastAsia="宋体" w:cs="Times New Roman"/>
                <w:b/>
                <w:bCs/>
                <w:color w:val="000000" w:themeColor="text1"/>
                <w:sz w:val="24"/>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2.2地下水环境现状调查及分析</w:t>
            </w:r>
          </w:p>
          <w:p w14:paraId="2F9E52A9">
            <w:pPr>
              <w:spacing w:line="360" w:lineRule="auto"/>
              <w:ind w:firstLine="480" w:firstLineChars="200"/>
              <w:rPr>
                <w:rFonts w:hint="default" w:ascii="Times New Roman" w:hAnsi="Times New Roman" w:eastAsia="宋体" w:cs="Times New Roman"/>
                <w:bCs/>
                <w:color w:val="000000" w:themeColor="text1"/>
                <w:sz w:val="24"/>
                <w14:textFill>
                  <w14:solidFill>
                    <w14:schemeClr w14:val="tx1"/>
                  </w14:solidFill>
                </w14:textFill>
              </w:rPr>
            </w:pPr>
            <w:r>
              <w:rPr>
                <w:rFonts w:hint="default" w:ascii="Times New Roman" w:hAnsi="Times New Roman" w:eastAsia="宋体" w:cs="Times New Roman"/>
                <w:bCs/>
                <w:color w:val="000000" w:themeColor="text1"/>
                <w:sz w:val="24"/>
                <w:lang w:val="en-US" w:eastAsia="zh-CN"/>
                <w14:textFill>
                  <w14:solidFill>
                    <w14:schemeClr w14:val="tx1"/>
                  </w14:solidFill>
                </w14:textFill>
              </w:rPr>
              <w:t>根据</w:t>
            </w:r>
            <w:r>
              <w:rPr>
                <w:rFonts w:hint="default" w:ascii="Times New Roman" w:hAnsi="Times New Roman" w:eastAsia="宋体" w:cs="Times New Roman"/>
                <w:bCs/>
                <w:color w:val="000000" w:themeColor="text1"/>
                <w:sz w:val="24"/>
                <w14:textFill>
                  <w14:solidFill>
                    <w14:schemeClr w14:val="tx1"/>
                  </w14:solidFill>
                </w14:textFill>
              </w:rPr>
              <w:t>《环境影响评价技术导则地下水环境》（HJ610-2016）中附录A（规范性附录）地下水环境影响评价行业分类表，根据地下水导则附录A《地下水环境影响评价行业分类表》</w:t>
            </w:r>
            <w:r>
              <w:rPr>
                <w:rFonts w:hint="default" w:ascii="Times New Roman" w:hAnsi="Times New Roman" w:eastAsia="宋体" w:cs="Times New Roman"/>
                <w:bCs/>
                <w:color w:val="000000" w:themeColor="text1"/>
                <w:sz w:val="24"/>
                <w:lang w:eastAsia="zh-CN"/>
                <w14:textFill>
                  <w14:solidFill>
                    <w14:schemeClr w14:val="tx1"/>
                  </w14:solidFill>
                </w14:textFill>
              </w:rPr>
              <w:t>本项目</w:t>
            </w:r>
            <w:r>
              <w:rPr>
                <w:rFonts w:hint="default" w:ascii="Times New Roman" w:hAnsi="Times New Roman" w:eastAsia="宋体" w:cs="Times New Roman"/>
                <w:bCs/>
                <w:color w:val="000000" w:themeColor="text1"/>
                <w:sz w:val="24"/>
                <w14:textFill>
                  <w14:solidFill>
                    <w14:schemeClr w14:val="tx1"/>
                  </w14:solidFill>
                </w14:textFill>
              </w:rPr>
              <w:t>行业类别为Ⅳ类。《环境影响评价技术导则地下水环境》（HJ610-2016）中规</w:t>
            </w:r>
            <w:r>
              <w:rPr>
                <w:rFonts w:hint="default" w:ascii="Times New Roman" w:hAnsi="Times New Roman" w:eastAsia="宋体" w:cs="Times New Roman"/>
                <w:bCs/>
                <w:color w:val="000000" w:themeColor="text1"/>
                <w:sz w:val="24"/>
                <w:lang w:eastAsia="zh-CN"/>
                <w14:textFill>
                  <w14:solidFill>
                    <w14:schemeClr w14:val="tx1"/>
                  </w14:solidFill>
                </w14:textFill>
              </w:rPr>
              <w:t>Ⅳ类</w:t>
            </w:r>
            <w:r>
              <w:rPr>
                <w:rFonts w:hint="default" w:ascii="Times New Roman" w:hAnsi="Times New Roman" w:eastAsia="宋体" w:cs="Times New Roman"/>
                <w:bCs/>
                <w:color w:val="000000" w:themeColor="text1"/>
                <w:sz w:val="24"/>
                <w14:textFill>
                  <w14:solidFill>
                    <w14:schemeClr w14:val="tx1"/>
                  </w14:solidFill>
                </w14:textFill>
              </w:rPr>
              <w:t>建设项目不开展地下水环境影响评价。</w:t>
            </w:r>
          </w:p>
          <w:p w14:paraId="6926AA32">
            <w:pPr>
              <w:spacing w:line="360" w:lineRule="auto"/>
              <w:ind w:firstLine="482" w:firstLineChars="200"/>
              <w:rPr>
                <w:rFonts w:hint="default" w:ascii="Times New Roman" w:hAnsi="Times New Roman" w:eastAsia="宋体" w:cs="Times New Roman"/>
                <w:b/>
                <w:bCs/>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2.3地表水环境现状调查及分析</w:t>
            </w:r>
          </w:p>
          <w:bookmarkEnd w:id="1"/>
          <w:bookmarkEnd w:id="2"/>
          <w:bookmarkEnd w:id="3"/>
          <w:bookmarkEnd w:id="4"/>
          <w:p w14:paraId="5B79798D">
            <w:pPr>
              <w:spacing w:line="360" w:lineRule="auto"/>
              <w:ind w:firstLine="480" w:firstLineChars="200"/>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监测单位及监测时间</w:t>
            </w:r>
          </w:p>
          <w:p w14:paraId="3FB428D4">
            <w:pPr>
              <w:spacing w:line="360" w:lineRule="auto"/>
              <w:ind w:firstLine="480" w:firstLineChars="200"/>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监测单位：新疆腾龙环境监测有限公司，监测时间：2026年4月28日-30日，报告编号腾监字第(2026·HP-106)号。</w:t>
            </w:r>
          </w:p>
          <w:p w14:paraId="29A26715">
            <w:pPr>
              <w:spacing w:line="360" w:lineRule="auto"/>
              <w:ind w:firstLine="480" w:firstLineChars="200"/>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pP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采样点位</w:t>
            </w:r>
          </w:p>
          <w:p w14:paraId="7F1E58A8">
            <w:pPr>
              <w:spacing w:line="360" w:lineRule="auto"/>
              <w:ind w:firstLine="480" w:firstLineChars="200"/>
              <w:rPr>
                <w:rFonts w:hint="default"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color="auto" w:fill="FFFFFF"/>
                <w14:textFill>
                  <w14:solidFill>
                    <w14:schemeClr w14:val="tx1"/>
                  </w14:solidFill>
                </w14:textFill>
              </w:rPr>
              <w:t>根据HJ2.3-2018中三级B评价的要求，结合工程特点，</w:t>
            </w:r>
            <w:r>
              <w:rPr>
                <w:rFonts w:hint="default" w:ascii="Times New Roman" w:hAnsi="Times New Roman" w:eastAsia="宋体" w:cs="Times New Roman"/>
                <w:color w:val="000000" w:themeColor="text1"/>
                <w:sz w:val="24"/>
                <w14:textFill>
                  <w14:solidFill>
                    <w14:schemeClr w14:val="tx1"/>
                  </w14:solidFill>
                </w14:textFill>
              </w:rPr>
              <w:t>在</w:t>
            </w:r>
            <w:r>
              <w:rPr>
                <w:rFonts w:hint="default" w:ascii="Times New Roman" w:hAnsi="Times New Roman" w:eastAsia="宋体" w:cs="Times New Roman"/>
                <w:color w:val="000000" w:themeColor="text1"/>
                <w:sz w:val="24"/>
                <w:lang w:val="en-US" w:eastAsia="zh-CN"/>
                <w14:textFill>
                  <w14:solidFill>
                    <w14:schemeClr w14:val="tx1"/>
                  </w14:solidFill>
                </w14:textFill>
              </w:rPr>
              <w:t>叶尔羌河右岸</w:t>
            </w:r>
            <w:r>
              <w:rPr>
                <w:rFonts w:hint="default" w:ascii="Times New Roman" w:hAnsi="Times New Roman" w:eastAsia="宋体" w:cs="Times New Roman"/>
                <w:color w:val="000000" w:themeColor="text1"/>
                <w:sz w:val="24"/>
                <w14:textFill>
                  <w14:solidFill>
                    <w14:schemeClr w14:val="tx1"/>
                  </w14:solidFill>
                </w14:textFill>
              </w:rPr>
              <w:t>设</w:t>
            </w:r>
            <w:r>
              <w:rPr>
                <w:rFonts w:hint="default" w:ascii="Times New Roman" w:hAnsi="Times New Roman" w:eastAsia="宋体" w:cs="Times New Roman"/>
                <w:color w:val="000000" w:themeColor="text1"/>
                <w:sz w:val="24"/>
                <w:lang w:val="en-US" w:eastAsia="zh-CN"/>
                <w14:textFill>
                  <w14:solidFill>
                    <w14:schemeClr w14:val="tx1"/>
                  </w14:solidFill>
                </w14:textFill>
              </w:rPr>
              <w:t>2个</w:t>
            </w:r>
            <w:r>
              <w:rPr>
                <w:rFonts w:hint="default" w:ascii="Times New Roman" w:hAnsi="Times New Roman" w:eastAsia="宋体" w:cs="Times New Roman"/>
                <w:color w:val="000000" w:themeColor="text1"/>
                <w:sz w:val="24"/>
                <w14:textFill>
                  <w14:solidFill>
                    <w14:schemeClr w14:val="tx1"/>
                  </w14:solidFill>
                </w14:textFill>
              </w:rPr>
              <w:t>地表水现状监测点，具体情况见下表。</w:t>
            </w:r>
          </w:p>
          <w:p w14:paraId="14D4C667">
            <w:pPr>
              <w:ind w:firstLine="482"/>
              <w:jc w:val="center"/>
              <w:rPr>
                <w:rFonts w:hint="default" w:ascii="Times New Roman" w:hAnsi="Times New Roman" w:eastAsia="宋体" w:cs="Times New Roman"/>
                <w:b/>
                <w:color w:val="000000" w:themeColor="text1"/>
                <w:szCs w:val="21"/>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3-3</w:t>
            </w:r>
            <w:r>
              <w:rPr>
                <w:rFonts w:hint="default" w:ascii="Times New Roman" w:hAnsi="Times New Roman" w:eastAsia="宋体" w:cs="Times New Roman"/>
                <w:b/>
                <w:color w:val="000000" w:themeColor="text1"/>
                <w:szCs w:val="21"/>
                <w14:textFill>
                  <w14:solidFill>
                    <w14:schemeClr w14:val="tx1"/>
                  </w14:solidFill>
                </w14:textFill>
              </w:rPr>
              <w:t>地表水现状监测布点情况表</w:t>
            </w:r>
          </w:p>
          <w:tbl>
            <w:tblPr>
              <w:tblStyle w:val="34"/>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9"/>
              <w:gridCol w:w="2134"/>
              <w:gridCol w:w="2149"/>
              <w:gridCol w:w="1637"/>
              <w:gridCol w:w="1926"/>
            </w:tblGrid>
            <w:tr w14:paraId="2C5FF6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15" w:type="dxa"/>
                  <w:noWrap w:val="0"/>
                  <w:vAlign w:val="center"/>
                </w:tcPr>
                <w:p w14:paraId="0EBE61BA">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编号</w:t>
                  </w:r>
                </w:p>
              </w:tc>
              <w:tc>
                <w:tcPr>
                  <w:tcW w:w="2096" w:type="dxa"/>
                  <w:tcBorders>
                    <w:right w:val="single" w:color="auto" w:sz="4" w:space="0"/>
                  </w:tcBorders>
                  <w:noWrap w:val="0"/>
                  <w:vAlign w:val="center"/>
                </w:tcPr>
                <w:p w14:paraId="5626885A">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监测断面位置</w:t>
                  </w:r>
                </w:p>
              </w:tc>
              <w:tc>
                <w:tcPr>
                  <w:tcW w:w="2111" w:type="dxa"/>
                  <w:tcBorders>
                    <w:left w:val="single" w:color="auto" w:sz="4" w:space="0"/>
                    <w:right w:val="single" w:color="auto" w:sz="4" w:space="0"/>
                  </w:tcBorders>
                  <w:noWrap w:val="0"/>
                  <w:vAlign w:val="center"/>
                </w:tcPr>
                <w:p w14:paraId="73735533">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经纬度</w:t>
                  </w:r>
                </w:p>
              </w:tc>
              <w:tc>
                <w:tcPr>
                  <w:tcW w:w="1608" w:type="dxa"/>
                  <w:tcBorders>
                    <w:left w:val="single" w:color="auto" w:sz="4" w:space="0"/>
                  </w:tcBorders>
                  <w:noWrap w:val="0"/>
                  <w:vAlign w:val="center"/>
                </w:tcPr>
                <w:p w14:paraId="0F83CB6C">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设置意义</w:t>
                  </w:r>
                </w:p>
              </w:tc>
              <w:tc>
                <w:tcPr>
                  <w:tcW w:w="1892" w:type="dxa"/>
                  <w:noWrap w:val="0"/>
                  <w:vAlign w:val="center"/>
                </w:tcPr>
                <w:p w14:paraId="4F3535FF">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断面类型</w:t>
                  </w:r>
                </w:p>
              </w:tc>
            </w:tr>
            <w:tr w14:paraId="66790F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15" w:type="dxa"/>
                  <w:noWrap w:val="0"/>
                  <w:vAlign w:val="center"/>
                </w:tcPr>
                <w:p w14:paraId="58117284">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W1</w:t>
                  </w:r>
                </w:p>
              </w:tc>
              <w:tc>
                <w:tcPr>
                  <w:tcW w:w="2096" w:type="dxa"/>
                  <w:tcBorders>
                    <w:right w:val="single" w:color="auto" w:sz="4" w:space="0"/>
                  </w:tcBorders>
                  <w:noWrap w:val="0"/>
                  <w:vAlign w:val="center"/>
                </w:tcPr>
                <w:p w14:paraId="00D41A7A">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工程上段起点上游500m（叶尔羌河）</w:t>
                  </w:r>
                </w:p>
              </w:tc>
              <w:tc>
                <w:tcPr>
                  <w:tcW w:w="2111" w:type="dxa"/>
                  <w:tcBorders>
                    <w:left w:val="single" w:color="auto" w:sz="4" w:space="0"/>
                    <w:right w:val="single" w:color="auto" w:sz="4" w:space="0"/>
                  </w:tcBorders>
                  <w:noWrap w:val="0"/>
                  <w:vAlign w:val="center"/>
                </w:tcPr>
                <w:p w14:paraId="0C4A3F02">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东经77°26′15″，北纬38°41′45″</w:t>
                  </w:r>
                </w:p>
              </w:tc>
              <w:tc>
                <w:tcPr>
                  <w:tcW w:w="1608" w:type="dxa"/>
                  <w:tcBorders>
                    <w:left w:val="single" w:color="auto" w:sz="4" w:space="0"/>
                  </w:tcBorders>
                  <w:noWrap w:val="0"/>
                  <w:vAlign w:val="center"/>
                </w:tcPr>
                <w:p w14:paraId="648810A4">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了解工程河段上游水质背景</w:t>
                  </w:r>
                </w:p>
              </w:tc>
              <w:tc>
                <w:tcPr>
                  <w:tcW w:w="1892" w:type="dxa"/>
                  <w:noWrap w:val="0"/>
                  <w:vAlign w:val="center"/>
                </w:tcPr>
                <w:p w14:paraId="578FE824">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背景断面</w:t>
                  </w:r>
                </w:p>
              </w:tc>
            </w:tr>
            <w:tr w14:paraId="652C3D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15" w:type="dxa"/>
                  <w:noWrap w:val="0"/>
                  <w:vAlign w:val="center"/>
                </w:tcPr>
                <w:p w14:paraId="3E9DD072">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W2</w:t>
                  </w:r>
                </w:p>
              </w:tc>
              <w:tc>
                <w:tcPr>
                  <w:tcW w:w="2096" w:type="dxa"/>
                  <w:tcBorders>
                    <w:right w:val="single" w:color="auto" w:sz="4" w:space="0"/>
                  </w:tcBorders>
                  <w:noWrap w:val="0"/>
                  <w:vAlign w:val="center"/>
                </w:tcPr>
                <w:p w14:paraId="637F6D1B">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工程下段终点下游1000m（叶尔羌河）</w:t>
                  </w:r>
                </w:p>
              </w:tc>
              <w:tc>
                <w:tcPr>
                  <w:tcW w:w="2111" w:type="dxa"/>
                  <w:tcBorders>
                    <w:left w:val="single" w:color="auto" w:sz="4" w:space="0"/>
                    <w:right w:val="single" w:color="auto" w:sz="4" w:space="0"/>
                  </w:tcBorders>
                  <w:noWrap w:val="0"/>
                  <w:vAlign w:val="center"/>
                </w:tcPr>
                <w:p w14:paraId="64DCCBEF">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东经77°31′00″，北纬38°42′50″</w:t>
                  </w:r>
                </w:p>
              </w:tc>
              <w:tc>
                <w:tcPr>
                  <w:tcW w:w="1608" w:type="dxa"/>
                  <w:tcBorders>
                    <w:left w:val="single" w:color="auto" w:sz="4" w:space="0"/>
                  </w:tcBorders>
                  <w:noWrap w:val="0"/>
                  <w:vAlign w:val="center"/>
                </w:tcPr>
                <w:p w14:paraId="708782D3">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了解工程河段下游水质状况</w:t>
                  </w:r>
                </w:p>
              </w:tc>
              <w:tc>
                <w:tcPr>
                  <w:tcW w:w="1892" w:type="dxa"/>
                  <w:noWrap w:val="0"/>
                  <w:vAlign w:val="center"/>
                </w:tcPr>
                <w:p w14:paraId="0E349552">
                  <w:pPr>
                    <w:pStyle w:val="156"/>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控制断面</w:t>
                  </w:r>
                </w:p>
              </w:tc>
            </w:tr>
          </w:tbl>
          <w:p w14:paraId="175CCCD9">
            <w:pPr>
              <w:spacing w:line="360" w:lineRule="auto"/>
              <w:ind w:firstLine="480" w:firstLineChars="200"/>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pP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）监测项目</w:t>
            </w:r>
          </w:p>
          <w:p w14:paraId="21FEBA25">
            <w:pPr>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监测项目为：pH、化学需氧量（CODcr）、五日生化需氧量（BOD₅）、氨氮（NH₃-N）、总磷（TP）、溶解氧（DO）、悬浮物（SS）、石油类、阴离子表面活性剂（LAS），共9项。同时测量各断面的水温、流量、河宽、流速等水文参数。</w:t>
            </w:r>
          </w:p>
          <w:p w14:paraId="29ED1000">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24"/>
                <w:sz w:val="24"/>
                <w:highlight w:val="none"/>
                <w14:textFill>
                  <w14:solidFill>
                    <w14:schemeClr w14:val="tx1"/>
                  </w14:solidFill>
                </w14:textFill>
              </w:rPr>
              <w:t>水质现状评价</w:t>
            </w:r>
          </w:p>
          <w:p w14:paraId="1A807B05">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本次评价采用标准指数法进行评价。如水质参数的标准指数＞1，则说明该水质参数超过了规定的水质标准，已不能满足使用功能要求。评价标准采用《地表水环境质量标准》（GB3838-2002）</w:t>
            </w:r>
            <w:r>
              <w:rPr>
                <w:rFonts w:hint="default" w:ascii="Times New Roman" w:hAnsi="Times New Roman" w:eastAsia="宋体" w:cs="Times New Roman"/>
                <w:color w:val="000000" w:themeColor="text1"/>
                <w:kern w:val="24"/>
                <w:sz w:val="24"/>
                <w:highlight w:val="none"/>
                <w14:textFill>
                  <w14:solidFill>
                    <w14:schemeClr w14:val="tx1"/>
                  </w14:solidFill>
                </w14:textFill>
              </w:rPr>
              <w:fldChar w:fldCharType="begin"/>
            </w:r>
            <w:r>
              <w:rPr>
                <w:rFonts w:hint="default" w:ascii="Times New Roman" w:hAnsi="Times New Roman" w:eastAsia="宋体" w:cs="Times New Roman"/>
                <w:color w:val="000000" w:themeColor="text1"/>
                <w:kern w:val="24"/>
                <w:sz w:val="24"/>
                <w:highlight w:val="none"/>
                <w14:textFill>
                  <w14:solidFill>
                    <w14:schemeClr w14:val="tx1"/>
                  </w14:solidFill>
                </w14:textFill>
              </w:rPr>
              <w:instrText xml:space="preserve"> = 3 \* ROMAN \* MERGEFORMAT </w:instrText>
            </w:r>
            <w:r>
              <w:rPr>
                <w:rFonts w:hint="default" w:ascii="Times New Roman" w:hAnsi="Times New Roman" w:eastAsia="宋体" w:cs="Times New Roman"/>
                <w:color w:val="000000" w:themeColor="text1"/>
                <w:kern w:val="24"/>
                <w:sz w:val="24"/>
                <w:highlight w:val="none"/>
                <w14:textFill>
                  <w14:solidFill>
                    <w14:schemeClr w14:val="tx1"/>
                  </w14:solidFill>
                </w14:textFill>
              </w:rPr>
              <w:fldChar w:fldCharType="separate"/>
            </w:r>
            <w:r>
              <w:rPr>
                <w:rFonts w:hint="default" w:ascii="Times New Roman" w:hAnsi="Times New Roman" w:eastAsia="宋体" w:cs="Times New Roman"/>
                <w:color w:val="000000" w:themeColor="text1"/>
                <w:kern w:val="24"/>
                <w:sz w:val="24"/>
                <w:highlight w:val="none"/>
                <w14:textFill>
                  <w14:solidFill>
                    <w14:schemeClr w14:val="tx1"/>
                  </w14:solidFill>
                </w14:textFill>
              </w:rPr>
              <w:t>III</w:t>
            </w:r>
            <w:r>
              <w:rPr>
                <w:rFonts w:hint="default" w:ascii="Times New Roman" w:hAnsi="Times New Roman" w:eastAsia="宋体" w:cs="Times New Roman"/>
                <w:color w:val="000000" w:themeColor="text1"/>
                <w:kern w:val="24"/>
                <w:sz w:val="24"/>
                <w:highlight w:val="none"/>
                <w14:textFill>
                  <w14:solidFill>
                    <w14:schemeClr w14:val="tx1"/>
                  </w14:solidFill>
                </w14:textFill>
              </w:rPr>
              <w:fldChar w:fldCharType="end"/>
            </w:r>
            <w:r>
              <w:rPr>
                <w:rFonts w:hint="default" w:ascii="Times New Roman" w:hAnsi="Times New Roman" w:eastAsia="宋体" w:cs="Times New Roman"/>
                <w:color w:val="000000" w:themeColor="text1"/>
                <w:kern w:val="24"/>
                <w:sz w:val="24"/>
                <w:highlight w:val="none"/>
                <w14:textFill>
                  <w14:solidFill>
                    <w14:schemeClr w14:val="tx1"/>
                  </w14:solidFill>
                </w14:textFill>
              </w:rPr>
              <w:t>类标准，水质现状评价结果列于表</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3-3</w:t>
            </w:r>
            <w:r>
              <w:rPr>
                <w:rFonts w:hint="default" w:ascii="Times New Roman" w:hAnsi="Times New Roman" w:eastAsia="宋体" w:cs="Times New Roman"/>
                <w:color w:val="000000" w:themeColor="text1"/>
                <w:kern w:val="24"/>
                <w:sz w:val="24"/>
                <w:highlight w:val="none"/>
                <w14:textFill>
                  <w14:solidFill>
                    <w14:schemeClr w14:val="tx1"/>
                  </w14:solidFill>
                </w14:textFill>
              </w:rPr>
              <w:t>。</w:t>
            </w:r>
            <w:r>
              <w:rPr>
                <w:rFonts w:hint="default" w:ascii="Times New Roman" w:hAnsi="Times New Roman" w:eastAsia="宋体" w:cs="Times New Roman"/>
                <w:color w:val="000000" w:themeColor="text1"/>
                <w:kern w:val="24"/>
                <w:sz w:val="24"/>
                <w:highlight w:val="none"/>
                <w14:textFill>
                  <w14:solidFill>
                    <w14:schemeClr w14:val="tx1"/>
                  </w14:solidFill>
                </w14:textFill>
              </w:rPr>
              <w:tab/>
            </w:r>
          </w:p>
          <w:p w14:paraId="520D0780">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单因子水质参数评价模式：</w:t>
            </w:r>
          </w:p>
          <w:p w14:paraId="7F7001F3">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S</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ij</w:t>
            </w:r>
            <w:r>
              <w:rPr>
                <w:rFonts w:hint="default" w:ascii="Times New Roman" w:hAnsi="Times New Roman" w:eastAsia="宋体" w:cs="Times New Roman"/>
                <w:color w:val="000000" w:themeColor="text1"/>
                <w:kern w:val="24"/>
                <w:sz w:val="24"/>
                <w:highlight w:val="none"/>
                <w14:textFill>
                  <w14:solidFill>
                    <w14:schemeClr w14:val="tx1"/>
                  </w14:solidFill>
                </w14:textFill>
              </w:rPr>
              <w:t>=C</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ij</w:t>
            </w:r>
            <w:r>
              <w:rPr>
                <w:rFonts w:hint="default" w:ascii="Times New Roman" w:hAnsi="Times New Roman" w:eastAsia="宋体" w:cs="Times New Roman"/>
                <w:color w:val="000000" w:themeColor="text1"/>
                <w:kern w:val="24"/>
                <w:sz w:val="24"/>
                <w:highlight w:val="none"/>
                <w14:textFill>
                  <w14:solidFill>
                    <w14:schemeClr w14:val="tx1"/>
                  </w14:solidFill>
                </w14:textFill>
              </w:rPr>
              <w:t>/C</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sj</w:t>
            </w:r>
          </w:p>
          <w:p w14:paraId="0FA461FC">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式中：S</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ij</w:t>
            </w:r>
            <w:r>
              <w:rPr>
                <w:rFonts w:hint="default" w:ascii="Times New Roman" w:hAnsi="Times New Roman" w:eastAsia="宋体" w:cs="Times New Roman"/>
                <w:color w:val="000000" w:themeColor="text1"/>
                <w:kern w:val="24"/>
                <w:sz w:val="24"/>
                <w:highlight w:val="none"/>
                <w14:textFill>
                  <w14:solidFill>
                    <w14:schemeClr w14:val="tx1"/>
                  </w14:solidFill>
                </w14:textFill>
              </w:rPr>
              <w:t>：第i种污染物在第j点的标准指数；</w:t>
            </w:r>
          </w:p>
          <w:p w14:paraId="490A79B5">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C</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ij</w:t>
            </w:r>
            <w:r>
              <w:rPr>
                <w:rFonts w:hint="default" w:ascii="Times New Roman" w:hAnsi="Times New Roman" w:eastAsia="宋体" w:cs="Times New Roman"/>
                <w:color w:val="000000" w:themeColor="text1"/>
                <w:kern w:val="24"/>
                <w:sz w:val="24"/>
                <w:highlight w:val="none"/>
                <w14:textFill>
                  <w14:solidFill>
                    <w14:schemeClr w14:val="tx1"/>
                  </w14:solidFill>
                </w14:textFill>
              </w:rPr>
              <w:t>：第i种污染物在第j点的监测平均浓度值，mg/L；</w:t>
            </w:r>
          </w:p>
          <w:p w14:paraId="212EFDA8">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C</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Sj</w:t>
            </w:r>
            <w:r>
              <w:rPr>
                <w:rFonts w:hint="default" w:ascii="Times New Roman" w:hAnsi="Times New Roman" w:eastAsia="宋体" w:cs="Times New Roman"/>
                <w:color w:val="000000" w:themeColor="text1"/>
                <w:kern w:val="24"/>
                <w:sz w:val="24"/>
                <w:highlight w:val="none"/>
                <w14:textFill>
                  <w14:solidFill>
                    <w14:schemeClr w14:val="tx1"/>
                  </w14:solidFill>
                </w14:textFill>
              </w:rPr>
              <w:t>：第i种污染物的地表水水质标准值，mg/L；</w:t>
            </w:r>
          </w:p>
          <w:p w14:paraId="168BBFAB">
            <w:pPr>
              <w:spacing w:line="360" w:lineRule="auto"/>
              <w:ind w:firstLine="480" w:firstLineChars="200"/>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其中溶解氧为</w:t>
            </w: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w:t>
            </w:r>
          </w:p>
          <w:p w14:paraId="4D0735B7">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drawing>
                <wp:inline distT="0" distB="0" distL="114300" distR="114300">
                  <wp:extent cx="1341755" cy="498475"/>
                  <wp:effectExtent l="0" t="0" r="10795" b="1587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7"/>
                          <a:stretch>
                            <a:fillRect/>
                          </a:stretch>
                        </pic:blipFill>
                        <pic:spPr>
                          <a:xfrm>
                            <a:off x="0" y="0"/>
                            <a:ext cx="1341755" cy="498475"/>
                          </a:xfrm>
                          <a:prstGeom prst="rect">
                            <a:avLst/>
                          </a:prstGeom>
                          <a:noFill/>
                          <a:ln>
                            <a:noFill/>
                          </a:ln>
                        </pic:spPr>
                      </pic:pic>
                    </a:graphicData>
                  </a:graphic>
                </wp:inline>
              </w:drawing>
            </w:r>
            <w:r>
              <w:rPr>
                <w:rFonts w:hint="default" w:ascii="Times New Roman" w:hAnsi="Times New Roman" w:eastAsia="宋体" w:cs="Times New Roman"/>
                <w:color w:val="000000" w:themeColor="text1"/>
                <w:kern w:val="24"/>
                <w:sz w:val="24"/>
                <w:highlight w:val="none"/>
                <w14:textFill>
                  <w14:solidFill>
                    <w14:schemeClr w14:val="tx1"/>
                  </w14:solidFill>
                </w14:textFill>
              </w:rPr>
              <w:t>DOj≥DOs</w:t>
            </w:r>
          </w:p>
          <w:p w14:paraId="5E53ADA5">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drawing>
                <wp:inline distT="0" distB="0" distL="114300" distR="114300">
                  <wp:extent cx="1235075" cy="474980"/>
                  <wp:effectExtent l="0" t="0" r="0" b="127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8"/>
                          <a:stretch>
                            <a:fillRect/>
                          </a:stretch>
                        </pic:blipFill>
                        <pic:spPr>
                          <a:xfrm>
                            <a:off x="0" y="0"/>
                            <a:ext cx="1235075" cy="474980"/>
                          </a:xfrm>
                          <a:prstGeom prst="rect">
                            <a:avLst/>
                          </a:prstGeom>
                          <a:noFill/>
                          <a:ln>
                            <a:noFill/>
                          </a:ln>
                        </pic:spPr>
                      </pic:pic>
                    </a:graphicData>
                  </a:graphic>
                </wp:inline>
              </w:drawing>
            </w:r>
            <w:r>
              <w:rPr>
                <w:rFonts w:hint="default" w:ascii="Times New Roman" w:hAnsi="Times New Roman" w:eastAsia="宋体" w:cs="Times New Roman"/>
                <w:color w:val="000000" w:themeColor="text1"/>
                <w:kern w:val="24"/>
                <w:sz w:val="24"/>
                <w:highlight w:val="none"/>
                <w14:textFill>
                  <w14:solidFill>
                    <w14:schemeClr w14:val="tx1"/>
                  </w14:solidFill>
                </w14:textFill>
              </w:rPr>
              <w:t>DOj＜DOs</w:t>
            </w:r>
          </w:p>
          <w:p w14:paraId="336B025C">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drawing>
                <wp:inline distT="0" distB="0" distL="114300" distR="114300">
                  <wp:extent cx="1056640" cy="391795"/>
                  <wp:effectExtent l="0" t="0" r="0" b="762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19"/>
                          <a:stretch>
                            <a:fillRect/>
                          </a:stretch>
                        </pic:blipFill>
                        <pic:spPr>
                          <a:xfrm>
                            <a:off x="0" y="0"/>
                            <a:ext cx="1056640" cy="391795"/>
                          </a:xfrm>
                          <a:prstGeom prst="rect">
                            <a:avLst/>
                          </a:prstGeom>
                          <a:noFill/>
                          <a:ln>
                            <a:noFill/>
                          </a:ln>
                        </pic:spPr>
                      </pic:pic>
                    </a:graphicData>
                  </a:graphic>
                </wp:inline>
              </w:drawing>
            </w:r>
          </w:p>
          <w:p w14:paraId="0139F7DD">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PH为：</w:t>
            </w:r>
          </w:p>
          <w:p w14:paraId="541E61C0">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drawing>
                <wp:inline distT="0" distB="0" distL="114300" distR="114300">
                  <wp:extent cx="1247140" cy="474980"/>
                  <wp:effectExtent l="0" t="0" r="10160" b="127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20"/>
                          <a:stretch>
                            <a:fillRect/>
                          </a:stretch>
                        </pic:blipFill>
                        <pic:spPr>
                          <a:xfrm>
                            <a:off x="0" y="0"/>
                            <a:ext cx="1247140" cy="474980"/>
                          </a:xfrm>
                          <a:prstGeom prst="rect">
                            <a:avLst/>
                          </a:prstGeom>
                          <a:noFill/>
                          <a:ln>
                            <a:noFill/>
                          </a:ln>
                        </pic:spPr>
                      </pic:pic>
                    </a:graphicData>
                  </a:graphic>
                </wp:inline>
              </w:drawing>
            </w:r>
            <w:r>
              <w:rPr>
                <w:rFonts w:hint="default" w:ascii="Times New Roman" w:hAnsi="Times New Roman" w:eastAsia="宋体" w:cs="Times New Roman"/>
                <w:color w:val="000000" w:themeColor="text1"/>
                <w:kern w:val="24"/>
                <w:sz w:val="24"/>
                <w:highlight w:val="none"/>
                <w14:textFill>
                  <w14:solidFill>
                    <w14:schemeClr w14:val="tx1"/>
                  </w14:solidFill>
                </w14:textFill>
              </w:rPr>
              <w:t>PH</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j</w:t>
            </w:r>
            <w:r>
              <w:rPr>
                <w:rFonts w:hint="default" w:ascii="Times New Roman" w:hAnsi="Times New Roman" w:eastAsia="宋体" w:cs="Times New Roman"/>
                <w:color w:val="000000" w:themeColor="text1"/>
                <w:kern w:val="24"/>
                <w:sz w:val="24"/>
                <w:highlight w:val="none"/>
                <w14:textFill>
                  <w14:solidFill>
                    <w14:schemeClr w14:val="tx1"/>
                  </w14:solidFill>
                </w14:textFill>
              </w:rPr>
              <w:t>≤7.0</w:t>
            </w:r>
          </w:p>
          <w:p w14:paraId="547EC037">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drawing>
                <wp:inline distT="0" distB="0" distL="114300" distR="114300">
                  <wp:extent cx="1235075" cy="474980"/>
                  <wp:effectExtent l="0" t="0" r="3175" b="127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21"/>
                          <a:stretch>
                            <a:fillRect/>
                          </a:stretch>
                        </pic:blipFill>
                        <pic:spPr>
                          <a:xfrm>
                            <a:off x="0" y="0"/>
                            <a:ext cx="1235075" cy="474980"/>
                          </a:xfrm>
                          <a:prstGeom prst="rect">
                            <a:avLst/>
                          </a:prstGeom>
                          <a:noFill/>
                          <a:ln>
                            <a:noFill/>
                          </a:ln>
                        </pic:spPr>
                      </pic:pic>
                    </a:graphicData>
                  </a:graphic>
                </wp:inline>
              </w:drawing>
            </w:r>
            <w:r>
              <w:rPr>
                <w:rFonts w:hint="default" w:ascii="Times New Roman" w:hAnsi="Times New Roman" w:eastAsia="宋体" w:cs="Times New Roman"/>
                <w:color w:val="000000" w:themeColor="text1"/>
                <w:kern w:val="24"/>
                <w:sz w:val="24"/>
                <w:highlight w:val="none"/>
                <w14:textFill>
                  <w14:solidFill>
                    <w14:schemeClr w14:val="tx1"/>
                  </w14:solidFill>
                </w14:textFill>
              </w:rPr>
              <w:t>PH</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j</w:t>
            </w:r>
            <w:r>
              <w:rPr>
                <w:rFonts w:hint="default" w:ascii="Times New Roman" w:hAnsi="Times New Roman" w:eastAsia="宋体" w:cs="Times New Roman"/>
                <w:color w:val="000000" w:themeColor="text1"/>
                <w:kern w:val="24"/>
                <w:sz w:val="24"/>
                <w:highlight w:val="none"/>
                <w14:textFill>
                  <w14:solidFill>
                    <w14:schemeClr w14:val="tx1"/>
                  </w14:solidFill>
                </w14:textFill>
              </w:rPr>
              <w:t>＞7.0</w:t>
            </w:r>
          </w:p>
          <w:p w14:paraId="64D0BFBE">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式中：SPH</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j</w:t>
            </w:r>
            <w:r>
              <w:rPr>
                <w:rFonts w:hint="default" w:ascii="Times New Roman" w:hAnsi="Times New Roman" w:eastAsia="宋体" w:cs="Times New Roman"/>
                <w:color w:val="000000" w:themeColor="text1"/>
                <w:kern w:val="24"/>
                <w:sz w:val="24"/>
                <w:highlight w:val="none"/>
                <w14:textFill>
                  <w14:solidFill>
                    <w14:schemeClr w14:val="tx1"/>
                  </w14:solidFill>
                </w14:textFill>
              </w:rPr>
              <w:t>：为水质参数PH在j点的标准指数；</w:t>
            </w:r>
          </w:p>
          <w:p w14:paraId="6611CBD4">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PH</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j</w:t>
            </w:r>
            <w:r>
              <w:rPr>
                <w:rFonts w:hint="default" w:ascii="Times New Roman" w:hAnsi="Times New Roman" w:eastAsia="宋体" w:cs="Times New Roman"/>
                <w:color w:val="000000" w:themeColor="text1"/>
                <w:kern w:val="24"/>
                <w:sz w:val="24"/>
                <w:highlight w:val="none"/>
                <w14:textFill>
                  <w14:solidFill>
                    <w14:schemeClr w14:val="tx1"/>
                  </w14:solidFill>
                </w14:textFill>
              </w:rPr>
              <w:t>：为j点的</w:t>
            </w: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pH值</w:t>
            </w:r>
            <w:r>
              <w:rPr>
                <w:rFonts w:hint="default" w:ascii="Times New Roman" w:hAnsi="Times New Roman" w:eastAsia="宋体" w:cs="Times New Roman"/>
                <w:color w:val="000000" w:themeColor="text1"/>
                <w:kern w:val="24"/>
                <w:sz w:val="24"/>
                <w:highlight w:val="none"/>
                <w14:textFill>
                  <w14:solidFill>
                    <w14:schemeClr w14:val="tx1"/>
                  </w14:solidFill>
                </w14:textFill>
              </w:rPr>
              <w:t>；</w:t>
            </w:r>
          </w:p>
          <w:p w14:paraId="53521412">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PH</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su</w:t>
            </w:r>
            <w:r>
              <w:rPr>
                <w:rFonts w:hint="default" w:ascii="Times New Roman" w:hAnsi="Times New Roman" w:eastAsia="宋体" w:cs="Times New Roman"/>
                <w:color w:val="000000" w:themeColor="text1"/>
                <w:kern w:val="24"/>
                <w:sz w:val="24"/>
                <w:highlight w:val="none"/>
                <w14:textFill>
                  <w14:solidFill>
                    <w14:schemeClr w14:val="tx1"/>
                  </w14:solidFill>
                </w14:textFill>
              </w:rPr>
              <w:t>：为地表水水质标准中规定的</w:t>
            </w: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pH值</w:t>
            </w:r>
            <w:r>
              <w:rPr>
                <w:rFonts w:hint="default" w:ascii="Times New Roman" w:hAnsi="Times New Roman" w:eastAsia="宋体" w:cs="Times New Roman"/>
                <w:color w:val="000000" w:themeColor="text1"/>
                <w:kern w:val="24"/>
                <w:sz w:val="24"/>
                <w:highlight w:val="none"/>
                <w14:textFill>
                  <w14:solidFill>
                    <w14:schemeClr w14:val="tx1"/>
                  </w14:solidFill>
                </w14:textFill>
              </w:rPr>
              <w:t>上限；</w:t>
            </w:r>
          </w:p>
          <w:p w14:paraId="15A4FE50">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PH</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sd</w:t>
            </w:r>
            <w:r>
              <w:rPr>
                <w:rFonts w:hint="default" w:ascii="Times New Roman" w:hAnsi="Times New Roman" w:eastAsia="宋体" w:cs="Times New Roman"/>
                <w:color w:val="000000" w:themeColor="text1"/>
                <w:kern w:val="24"/>
                <w:sz w:val="24"/>
                <w:highlight w:val="none"/>
                <w14:textFill>
                  <w14:solidFill>
                    <w14:schemeClr w14:val="tx1"/>
                  </w14:solidFill>
                </w14:textFill>
              </w:rPr>
              <w:t>：为地表水水质标准中规定的</w:t>
            </w: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pH值</w:t>
            </w:r>
            <w:r>
              <w:rPr>
                <w:rFonts w:hint="default" w:ascii="Times New Roman" w:hAnsi="Times New Roman" w:eastAsia="宋体" w:cs="Times New Roman"/>
                <w:color w:val="000000" w:themeColor="text1"/>
                <w:kern w:val="24"/>
                <w:sz w:val="24"/>
                <w:highlight w:val="none"/>
                <w14:textFill>
                  <w14:solidFill>
                    <w14:schemeClr w14:val="tx1"/>
                  </w14:solidFill>
                </w14:textFill>
              </w:rPr>
              <w:t>下限；</w:t>
            </w:r>
          </w:p>
          <w:p w14:paraId="2683AB60">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SDO</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j</w:t>
            </w:r>
            <w:r>
              <w:rPr>
                <w:rFonts w:hint="default" w:ascii="Times New Roman" w:hAnsi="Times New Roman" w:eastAsia="宋体" w:cs="Times New Roman"/>
                <w:color w:val="000000" w:themeColor="text1"/>
                <w:kern w:val="24"/>
                <w:sz w:val="24"/>
                <w:highlight w:val="none"/>
                <w14:textFill>
                  <w14:solidFill>
                    <w14:schemeClr w14:val="tx1"/>
                  </w14:solidFill>
                </w14:textFill>
              </w:rPr>
              <w:t>：为水质参数DO在j点的标准指数；</w:t>
            </w:r>
          </w:p>
          <w:p w14:paraId="176819D4">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DO</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f</w:t>
            </w:r>
            <w:r>
              <w:rPr>
                <w:rFonts w:hint="default" w:ascii="Times New Roman" w:hAnsi="Times New Roman" w:eastAsia="宋体" w:cs="Times New Roman"/>
                <w:color w:val="000000" w:themeColor="text1"/>
                <w:kern w:val="24"/>
                <w:sz w:val="24"/>
                <w:highlight w:val="none"/>
                <w14:textFill>
                  <w14:solidFill>
                    <w14:schemeClr w14:val="tx1"/>
                  </w14:solidFill>
                </w14:textFill>
              </w:rPr>
              <w:t>：为该水温的饱和溶解氧值，mg/L；</w:t>
            </w:r>
          </w:p>
          <w:p w14:paraId="64A93EC1">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DO</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j</w:t>
            </w:r>
            <w:r>
              <w:rPr>
                <w:rFonts w:hint="default" w:ascii="Times New Roman" w:hAnsi="Times New Roman" w:eastAsia="宋体" w:cs="Times New Roman"/>
                <w:color w:val="000000" w:themeColor="text1"/>
                <w:kern w:val="24"/>
                <w:sz w:val="24"/>
                <w:highlight w:val="none"/>
                <w14:textFill>
                  <w14:solidFill>
                    <w14:schemeClr w14:val="tx1"/>
                  </w14:solidFill>
                </w14:textFill>
              </w:rPr>
              <w:t>：为实测溶解氧值，mg/L；</w:t>
            </w:r>
          </w:p>
          <w:p w14:paraId="0B0238C2">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DO</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s</w:t>
            </w:r>
            <w:r>
              <w:rPr>
                <w:rFonts w:hint="default" w:ascii="Times New Roman" w:hAnsi="Times New Roman" w:eastAsia="宋体" w:cs="Times New Roman"/>
                <w:color w:val="000000" w:themeColor="text1"/>
                <w:kern w:val="24"/>
                <w:sz w:val="24"/>
                <w:highlight w:val="none"/>
                <w14:textFill>
                  <w14:solidFill>
                    <w14:schemeClr w14:val="tx1"/>
                  </w14:solidFill>
                </w14:textFill>
              </w:rPr>
              <w:t>：为溶解氧的标准值，mg/L；</w:t>
            </w:r>
          </w:p>
          <w:p w14:paraId="3FCEB91F">
            <w:pPr>
              <w:spacing w:line="360" w:lineRule="auto"/>
              <w:ind w:firstLine="480" w:firstLineChars="200"/>
              <w:rPr>
                <w:rFonts w:hint="default" w:ascii="Times New Roman" w:hAnsi="Times New Roman" w:eastAsia="宋体" w:cs="Times New Roman"/>
                <w:color w:val="000000" w:themeColor="text1"/>
                <w:kern w:val="24"/>
                <w:sz w:val="24"/>
                <w:highlight w:val="none"/>
                <w14:textFill>
                  <w14:solidFill>
                    <w14:schemeClr w14:val="tx1"/>
                  </w14:solidFill>
                </w14:textFill>
              </w:rPr>
            </w:pPr>
            <w:r>
              <w:rPr>
                <w:rFonts w:hint="default" w:ascii="Times New Roman" w:hAnsi="Times New Roman" w:eastAsia="宋体" w:cs="Times New Roman"/>
                <w:color w:val="000000" w:themeColor="text1"/>
                <w:kern w:val="24"/>
                <w:sz w:val="24"/>
                <w:highlight w:val="none"/>
                <w14:textFill>
                  <w14:solidFill>
                    <w14:schemeClr w14:val="tx1"/>
                  </w14:solidFill>
                </w14:textFill>
              </w:rPr>
              <w:t>T</w:t>
            </w:r>
            <w:r>
              <w:rPr>
                <w:rFonts w:hint="default" w:ascii="Times New Roman" w:hAnsi="Times New Roman" w:eastAsia="宋体" w:cs="Times New Roman"/>
                <w:color w:val="000000" w:themeColor="text1"/>
                <w:kern w:val="24"/>
                <w:sz w:val="24"/>
                <w:highlight w:val="none"/>
                <w:vertAlign w:val="subscript"/>
                <w14:textFill>
                  <w14:solidFill>
                    <w14:schemeClr w14:val="tx1"/>
                  </w14:solidFill>
                </w14:textFill>
              </w:rPr>
              <w:t>j</w:t>
            </w:r>
            <w:r>
              <w:rPr>
                <w:rFonts w:hint="default" w:ascii="Times New Roman" w:hAnsi="Times New Roman" w:eastAsia="宋体" w:cs="Times New Roman"/>
                <w:color w:val="000000" w:themeColor="text1"/>
                <w:kern w:val="24"/>
                <w:sz w:val="24"/>
                <w:highlight w:val="none"/>
                <w14:textFill>
                  <w14:solidFill>
                    <w14:schemeClr w14:val="tx1"/>
                  </w14:solidFill>
                </w14:textFill>
              </w:rPr>
              <w:t>：为在j点水温，t℃。</w:t>
            </w:r>
          </w:p>
          <w:p w14:paraId="4F68E52E">
            <w:pPr>
              <w:ind w:firstLine="482"/>
              <w:jc w:val="center"/>
              <w:rPr>
                <w:rFonts w:hint="default" w:ascii="Times New Roman" w:hAnsi="Times New Roman" w:eastAsia="宋体" w:cs="Times New Roman"/>
                <w:b/>
                <w:color w:val="000000" w:themeColor="text1"/>
                <w:szCs w:val="21"/>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3-4</w:t>
            </w:r>
            <w:r>
              <w:rPr>
                <w:rFonts w:hint="default" w:ascii="Times New Roman" w:hAnsi="Times New Roman" w:eastAsia="宋体" w:cs="Times New Roman"/>
                <w:b/>
                <w:color w:val="000000" w:themeColor="text1"/>
                <w:szCs w:val="21"/>
                <w14:textFill>
                  <w14:solidFill>
                    <w14:schemeClr w14:val="tx1"/>
                  </w14:solidFill>
                </w14:textFill>
              </w:rPr>
              <w:t>评价区地表水水质现状监测结果</w:t>
            </w:r>
            <w:r>
              <w:rPr>
                <w:rFonts w:hint="default" w:ascii="Times New Roman" w:hAnsi="Times New Roman" w:eastAsia="宋体" w:cs="Times New Roman"/>
                <w:b/>
                <w:color w:val="000000" w:themeColor="text1"/>
                <w:szCs w:val="21"/>
                <w:lang w:val="en-US" w:eastAsia="zh-CN"/>
                <w14:textFill>
                  <w14:solidFill>
                    <w14:schemeClr w14:val="tx1"/>
                  </w14:solidFill>
                </w14:textFill>
              </w:rPr>
              <w:t>及</w:t>
            </w:r>
            <w:r>
              <w:rPr>
                <w:rFonts w:hint="default" w:ascii="Times New Roman" w:hAnsi="Times New Roman" w:eastAsia="宋体" w:cs="Times New Roman"/>
                <w:b/>
                <w:color w:val="000000" w:themeColor="text1"/>
                <w:szCs w:val="21"/>
                <w14:textFill>
                  <w14:solidFill>
                    <w14:schemeClr w14:val="tx1"/>
                  </w14:solidFill>
                </w14:textFill>
              </w:rPr>
              <w:t>现状评价结果</w:t>
            </w:r>
          </w:p>
          <w:tbl>
            <w:tblPr>
              <w:tblStyle w:val="100"/>
              <w:tblW w:w="499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47"/>
              <w:gridCol w:w="1211"/>
              <w:gridCol w:w="834"/>
              <w:gridCol w:w="1263"/>
              <w:gridCol w:w="1066"/>
              <w:gridCol w:w="1267"/>
              <w:gridCol w:w="1095"/>
            </w:tblGrid>
            <w:tr w14:paraId="705FBC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7" w:type="dxa"/>
                  <w:vMerge w:val="restart"/>
                  <w:vAlign w:val="center"/>
                </w:tcPr>
                <w:p w14:paraId="6BDF624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检测项目</w:t>
                  </w:r>
                </w:p>
              </w:tc>
              <w:tc>
                <w:tcPr>
                  <w:tcW w:w="1211" w:type="dxa"/>
                  <w:vMerge w:val="restart"/>
                  <w:vAlign w:val="center"/>
                </w:tcPr>
                <w:p w14:paraId="3857DBD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单位</w:t>
                  </w:r>
                </w:p>
              </w:tc>
              <w:tc>
                <w:tcPr>
                  <w:tcW w:w="834" w:type="dxa"/>
                  <w:vMerge w:val="restart"/>
                  <w:tcBorders>
                    <w:right w:val="single" w:color="auto" w:sz="4" w:space="0"/>
                  </w:tcBorders>
                  <w:vAlign w:val="center"/>
                </w:tcPr>
                <w:p w14:paraId="39EEBB1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标准限值</w:t>
                  </w:r>
                </w:p>
              </w:tc>
              <w:tc>
                <w:tcPr>
                  <w:tcW w:w="2329" w:type="dxa"/>
                  <w:gridSpan w:val="2"/>
                  <w:tcBorders>
                    <w:left w:val="single" w:color="auto" w:sz="4" w:space="0"/>
                    <w:bottom w:val="single" w:color="auto" w:sz="4" w:space="0"/>
                    <w:right w:val="single" w:color="auto" w:sz="4" w:space="0"/>
                  </w:tcBorders>
                  <w:vAlign w:val="center"/>
                </w:tcPr>
                <w:p w14:paraId="691A5C5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工程上段起点上游500m</w:t>
                  </w:r>
                </w:p>
              </w:tc>
              <w:tc>
                <w:tcPr>
                  <w:tcW w:w="2362" w:type="dxa"/>
                  <w:gridSpan w:val="2"/>
                  <w:tcBorders>
                    <w:top w:val="single" w:color="auto" w:sz="4" w:space="0"/>
                    <w:left w:val="single" w:color="auto" w:sz="4" w:space="0"/>
                    <w:bottom w:val="single" w:color="auto" w:sz="4" w:space="0"/>
                    <w:right w:val="single" w:color="auto" w:sz="4" w:space="0"/>
                  </w:tcBorders>
                  <w:vAlign w:val="center"/>
                </w:tcPr>
                <w:p w14:paraId="3E5E31B1">
                  <w:pPr>
                    <w:pStyle w:val="147"/>
                    <w:bidi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工程下段终点下游1000m（叶尔羌河）</w:t>
                  </w:r>
                </w:p>
              </w:tc>
            </w:tr>
            <w:tr w14:paraId="288713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7" w:hRule="atLeast"/>
              </w:trPr>
              <w:tc>
                <w:tcPr>
                  <w:tcW w:w="1947" w:type="dxa"/>
                  <w:vMerge w:val="continue"/>
                  <w:vAlign w:val="center"/>
                </w:tcPr>
                <w:p w14:paraId="03EAAAE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211" w:type="dxa"/>
                  <w:vMerge w:val="continue"/>
                  <w:vAlign w:val="center"/>
                </w:tcPr>
                <w:p w14:paraId="45BDF38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834" w:type="dxa"/>
                  <w:vMerge w:val="continue"/>
                  <w:tcBorders>
                    <w:right w:val="single" w:color="auto" w:sz="4" w:space="0"/>
                  </w:tcBorders>
                  <w:vAlign w:val="center"/>
                </w:tcPr>
                <w:p w14:paraId="03C5E42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263" w:type="dxa"/>
                  <w:tcBorders>
                    <w:top w:val="single" w:color="auto" w:sz="4" w:space="0"/>
                    <w:left w:val="single" w:color="auto" w:sz="4" w:space="0"/>
                  </w:tcBorders>
                  <w:vAlign w:val="center"/>
                </w:tcPr>
                <w:p w14:paraId="3B6407B0">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最大监测值</w:t>
                  </w:r>
                </w:p>
              </w:tc>
              <w:tc>
                <w:tcPr>
                  <w:tcW w:w="1066" w:type="dxa"/>
                  <w:tcBorders>
                    <w:top w:val="single" w:color="auto" w:sz="4" w:space="0"/>
                    <w:left w:val="single" w:color="auto" w:sz="4" w:space="0"/>
                    <w:right w:val="single" w:color="auto" w:sz="4" w:space="0"/>
                  </w:tcBorders>
                  <w:vAlign w:val="center"/>
                </w:tcPr>
                <w:p w14:paraId="1B586F5E">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单因子指数</w:t>
                  </w:r>
                </w:p>
              </w:tc>
              <w:tc>
                <w:tcPr>
                  <w:tcW w:w="1267" w:type="dxa"/>
                  <w:tcBorders>
                    <w:top w:val="single" w:color="auto" w:sz="4" w:space="0"/>
                    <w:left w:val="single" w:color="auto" w:sz="4" w:space="0"/>
                    <w:right w:val="single" w:color="auto" w:sz="4" w:space="0"/>
                  </w:tcBorders>
                  <w:vAlign w:val="center"/>
                </w:tcPr>
                <w:p w14:paraId="713A869A">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最大监测值</w:t>
                  </w:r>
                </w:p>
              </w:tc>
              <w:tc>
                <w:tcPr>
                  <w:tcW w:w="1095" w:type="dxa"/>
                  <w:tcBorders>
                    <w:top w:val="single" w:color="auto" w:sz="4" w:space="0"/>
                    <w:left w:val="single" w:color="auto" w:sz="4" w:space="0"/>
                    <w:right w:val="single" w:color="auto" w:sz="4" w:space="0"/>
                  </w:tcBorders>
                  <w:vAlign w:val="center"/>
                </w:tcPr>
                <w:p w14:paraId="614F010C">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单因子指数</w:t>
                  </w:r>
                </w:p>
              </w:tc>
            </w:tr>
            <w:tr w14:paraId="0172E7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 w:hRule="atLeast"/>
              </w:trPr>
              <w:tc>
                <w:tcPr>
                  <w:tcW w:w="1947" w:type="dxa"/>
                  <w:vAlign w:val="center"/>
                </w:tcPr>
                <w:p w14:paraId="0C34814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水温</w:t>
                  </w:r>
                </w:p>
              </w:tc>
              <w:tc>
                <w:tcPr>
                  <w:tcW w:w="1211" w:type="dxa"/>
                  <w:vAlign w:val="center"/>
                </w:tcPr>
                <w:p w14:paraId="2B63B65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834" w:type="dxa"/>
                  <w:tcBorders>
                    <w:right w:val="single" w:color="auto" w:sz="4" w:space="0"/>
                  </w:tcBorders>
                  <w:vAlign w:val="center"/>
                </w:tcPr>
                <w:p w14:paraId="1F1B90E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263" w:type="dxa"/>
                  <w:tcBorders>
                    <w:left w:val="single" w:color="auto" w:sz="4" w:space="0"/>
                  </w:tcBorders>
                  <w:vAlign w:val="center"/>
                </w:tcPr>
                <w:p w14:paraId="3D484C2C">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21.9</w:t>
                  </w:r>
                </w:p>
              </w:tc>
              <w:tc>
                <w:tcPr>
                  <w:tcW w:w="1066" w:type="dxa"/>
                  <w:tcBorders>
                    <w:left w:val="single" w:color="auto" w:sz="4" w:space="0"/>
                    <w:right w:val="single" w:color="auto" w:sz="4" w:space="0"/>
                  </w:tcBorders>
                  <w:vAlign w:val="center"/>
                </w:tcPr>
                <w:p w14:paraId="31669DF0">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w:t>
                  </w:r>
                </w:p>
              </w:tc>
              <w:tc>
                <w:tcPr>
                  <w:tcW w:w="1267" w:type="dxa"/>
                  <w:tcBorders>
                    <w:left w:val="single" w:color="auto" w:sz="4" w:space="0"/>
                    <w:right w:val="single" w:color="auto" w:sz="4" w:space="0"/>
                  </w:tcBorders>
                  <w:vAlign w:val="center"/>
                </w:tcPr>
                <w:p w14:paraId="00775C7B">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22.5</w:t>
                  </w:r>
                </w:p>
              </w:tc>
              <w:tc>
                <w:tcPr>
                  <w:tcW w:w="1095" w:type="dxa"/>
                  <w:tcBorders>
                    <w:left w:val="single" w:color="auto" w:sz="4" w:space="0"/>
                    <w:right w:val="single" w:color="auto" w:sz="4" w:space="0"/>
                  </w:tcBorders>
                  <w:vAlign w:val="center"/>
                </w:tcPr>
                <w:p w14:paraId="68D08738">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w:t>
                  </w:r>
                </w:p>
              </w:tc>
            </w:tr>
            <w:tr w14:paraId="12B9AF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 w:hRule="atLeast"/>
              </w:trPr>
              <w:tc>
                <w:tcPr>
                  <w:tcW w:w="1947" w:type="dxa"/>
                  <w:vAlign w:val="center"/>
                </w:tcPr>
                <w:p w14:paraId="372D0F5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pH值</w:t>
                  </w:r>
                </w:p>
              </w:tc>
              <w:tc>
                <w:tcPr>
                  <w:tcW w:w="1211" w:type="dxa"/>
                  <w:vAlign w:val="center"/>
                </w:tcPr>
                <w:p w14:paraId="2994BAA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无量纲</w:t>
                  </w:r>
                </w:p>
              </w:tc>
              <w:tc>
                <w:tcPr>
                  <w:tcW w:w="834" w:type="dxa"/>
                  <w:tcBorders>
                    <w:right w:val="single" w:color="auto" w:sz="4" w:space="0"/>
                  </w:tcBorders>
                  <w:vAlign w:val="center"/>
                </w:tcPr>
                <w:p w14:paraId="52A6E65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6~9</w:t>
                  </w:r>
                </w:p>
              </w:tc>
              <w:tc>
                <w:tcPr>
                  <w:tcW w:w="1263" w:type="dxa"/>
                  <w:tcBorders>
                    <w:left w:val="single" w:color="auto" w:sz="4" w:space="0"/>
                  </w:tcBorders>
                  <w:vAlign w:val="center"/>
                </w:tcPr>
                <w:p w14:paraId="01AB3B9A">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7.46</w:t>
                  </w:r>
                </w:p>
              </w:tc>
              <w:tc>
                <w:tcPr>
                  <w:tcW w:w="1066" w:type="dxa"/>
                  <w:tcBorders>
                    <w:left w:val="single" w:color="auto" w:sz="4" w:space="0"/>
                    <w:right w:val="single" w:color="auto" w:sz="4" w:space="0"/>
                  </w:tcBorders>
                  <w:vAlign w:val="center"/>
                </w:tcPr>
                <w:p w14:paraId="2B9FB3BF">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0.23</w:t>
                  </w:r>
                </w:p>
              </w:tc>
              <w:tc>
                <w:tcPr>
                  <w:tcW w:w="1267" w:type="dxa"/>
                  <w:tcBorders>
                    <w:left w:val="single" w:color="auto" w:sz="4" w:space="0"/>
                    <w:right w:val="single" w:color="auto" w:sz="4" w:space="0"/>
                  </w:tcBorders>
                  <w:vAlign w:val="center"/>
                </w:tcPr>
                <w:p w14:paraId="6A194461">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7.52</w:t>
                  </w:r>
                </w:p>
              </w:tc>
              <w:tc>
                <w:tcPr>
                  <w:tcW w:w="1095" w:type="dxa"/>
                  <w:tcBorders>
                    <w:left w:val="single" w:color="auto" w:sz="4" w:space="0"/>
                    <w:right w:val="single" w:color="auto" w:sz="4" w:space="0"/>
                  </w:tcBorders>
                  <w:vAlign w:val="center"/>
                </w:tcPr>
                <w:p w14:paraId="7430E127">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0.26</w:t>
                  </w:r>
                </w:p>
              </w:tc>
            </w:tr>
            <w:tr w14:paraId="55F9C3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 w:hRule="atLeast"/>
              </w:trPr>
              <w:tc>
                <w:tcPr>
                  <w:tcW w:w="1947" w:type="dxa"/>
                  <w:vAlign w:val="center"/>
                </w:tcPr>
                <w:p w14:paraId="661F901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溶解氧</w:t>
                  </w:r>
                </w:p>
              </w:tc>
              <w:tc>
                <w:tcPr>
                  <w:tcW w:w="1211" w:type="dxa"/>
                  <w:vAlign w:val="center"/>
                </w:tcPr>
                <w:p w14:paraId="37051D2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mg/L</w:t>
                  </w:r>
                </w:p>
              </w:tc>
              <w:tc>
                <w:tcPr>
                  <w:tcW w:w="834" w:type="dxa"/>
                  <w:tcBorders>
                    <w:right w:val="single" w:color="auto" w:sz="4" w:space="0"/>
                  </w:tcBorders>
                  <w:vAlign w:val="center"/>
                </w:tcPr>
                <w:p w14:paraId="6C15907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1263" w:type="dxa"/>
                  <w:tcBorders>
                    <w:left w:val="single" w:color="auto" w:sz="4" w:space="0"/>
                  </w:tcBorders>
                  <w:vAlign w:val="center"/>
                </w:tcPr>
                <w:p w14:paraId="55DBBDBC">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8.15</w:t>
                  </w:r>
                </w:p>
              </w:tc>
              <w:tc>
                <w:tcPr>
                  <w:tcW w:w="1066" w:type="dxa"/>
                  <w:tcBorders>
                    <w:left w:val="single" w:color="auto" w:sz="4" w:space="0"/>
                    <w:right w:val="single" w:color="auto" w:sz="4" w:space="0"/>
                  </w:tcBorders>
                  <w:vAlign w:val="center"/>
                </w:tcPr>
                <w:p w14:paraId="2F07AC4E">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0.16</w:t>
                  </w:r>
                </w:p>
              </w:tc>
              <w:tc>
                <w:tcPr>
                  <w:tcW w:w="1267" w:type="dxa"/>
                  <w:tcBorders>
                    <w:left w:val="single" w:color="auto" w:sz="4" w:space="0"/>
                    <w:right w:val="single" w:color="auto" w:sz="4" w:space="0"/>
                  </w:tcBorders>
                  <w:vAlign w:val="center"/>
                </w:tcPr>
                <w:p w14:paraId="4E809ACD">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8.07</w:t>
                  </w:r>
                </w:p>
              </w:tc>
              <w:tc>
                <w:tcPr>
                  <w:tcW w:w="1095" w:type="dxa"/>
                  <w:tcBorders>
                    <w:left w:val="single" w:color="auto" w:sz="4" w:space="0"/>
                    <w:right w:val="single" w:color="auto" w:sz="4" w:space="0"/>
                  </w:tcBorders>
                  <w:vAlign w:val="center"/>
                </w:tcPr>
                <w:p w14:paraId="47DCDA46">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0.16</w:t>
                  </w:r>
                </w:p>
              </w:tc>
            </w:tr>
            <w:tr w14:paraId="33A968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 w:hRule="atLeast"/>
              </w:trPr>
              <w:tc>
                <w:tcPr>
                  <w:tcW w:w="1947" w:type="dxa"/>
                  <w:vAlign w:val="center"/>
                </w:tcPr>
                <w:p w14:paraId="5920A71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化学需氧量</w:t>
                  </w:r>
                </w:p>
              </w:tc>
              <w:tc>
                <w:tcPr>
                  <w:tcW w:w="1211" w:type="dxa"/>
                  <w:vAlign w:val="center"/>
                </w:tcPr>
                <w:p w14:paraId="7A1C7D9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mg/L</w:t>
                  </w:r>
                </w:p>
              </w:tc>
              <w:tc>
                <w:tcPr>
                  <w:tcW w:w="834" w:type="dxa"/>
                  <w:tcBorders>
                    <w:right w:val="single" w:color="auto" w:sz="4" w:space="0"/>
                  </w:tcBorders>
                  <w:vAlign w:val="center"/>
                </w:tcPr>
                <w:p w14:paraId="22C9406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w:t>
                  </w:r>
                </w:p>
              </w:tc>
              <w:tc>
                <w:tcPr>
                  <w:tcW w:w="1263" w:type="dxa"/>
                  <w:tcBorders>
                    <w:left w:val="single" w:color="auto" w:sz="4" w:space="0"/>
                  </w:tcBorders>
                  <w:vAlign w:val="center"/>
                </w:tcPr>
                <w:p w14:paraId="72178998">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5</w:t>
                  </w:r>
                </w:p>
              </w:tc>
              <w:tc>
                <w:tcPr>
                  <w:tcW w:w="1066" w:type="dxa"/>
                  <w:tcBorders>
                    <w:left w:val="single" w:color="auto" w:sz="4" w:space="0"/>
                    <w:right w:val="single" w:color="auto" w:sz="4" w:space="0"/>
                  </w:tcBorders>
                  <w:vAlign w:val="center"/>
                </w:tcPr>
                <w:p w14:paraId="7752EC5B">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0.25</w:t>
                  </w:r>
                </w:p>
              </w:tc>
              <w:tc>
                <w:tcPr>
                  <w:tcW w:w="1267" w:type="dxa"/>
                  <w:tcBorders>
                    <w:left w:val="single" w:color="auto" w:sz="4" w:space="0"/>
                    <w:right w:val="single" w:color="auto" w:sz="4" w:space="0"/>
                  </w:tcBorders>
                  <w:vAlign w:val="center"/>
                </w:tcPr>
                <w:p w14:paraId="59E4F546">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5</w:t>
                  </w:r>
                </w:p>
              </w:tc>
              <w:tc>
                <w:tcPr>
                  <w:tcW w:w="1095" w:type="dxa"/>
                  <w:tcBorders>
                    <w:left w:val="single" w:color="auto" w:sz="4" w:space="0"/>
                    <w:right w:val="single" w:color="auto" w:sz="4" w:space="0"/>
                  </w:tcBorders>
                  <w:vAlign w:val="center"/>
                </w:tcPr>
                <w:p w14:paraId="347EE44F">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0.25</w:t>
                  </w:r>
                </w:p>
              </w:tc>
            </w:tr>
            <w:tr w14:paraId="5FD124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 w:hRule="atLeast"/>
              </w:trPr>
              <w:tc>
                <w:tcPr>
                  <w:tcW w:w="1947" w:type="dxa"/>
                  <w:vAlign w:val="center"/>
                </w:tcPr>
                <w:p w14:paraId="151A032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五日生化需氧量</w:t>
                  </w:r>
                </w:p>
              </w:tc>
              <w:tc>
                <w:tcPr>
                  <w:tcW w:w="1211" w:type="dxa"/>
                  <w:vAlign w:val="center"/>
                </w:tcPr>
                <w:p w14:paraId="44274FE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mg/L</w:t>
                  </w:r>
                </w:p>
              </w:tc>
              <w:tc>
                <w:tcPr>
                  <w:tcW w:w="834" w:type="dxa"/>
                  <w:tcBorders>
                    <w:right w:val="single" w:color="auto" w:sz="4" w:space="0"/>
                  </w:tcBorders>
                  <w:vAlign w:val="center"/>
                </w:tcPr>
                <w:p w14:paraId="474754A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w:t>
                  </w:r>
                </w:p>
              </w:tc>
              <w:tc>
                <w:tcPr>
                  <w:tcW w:w="1263" w:type="dxa"/>
                  <w:tcBorders>
                    <w:left w:val="single" w:color="auto" w:sz="4" w:space="0"/>
                  </w:tcBorders>
                  <w:vAlign w:val="center"/>
                </w:tcPr>
                <w:p w14:paraId="0590920C">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0.9</w:t>
                  </w:r>
                </w:p>
              </w:tc>
              <w:tc>
                <w:tcPr>
                  <w:tcW w:w="1066" w:type="dxa"/>
                  <w:tcBorders>
                    <w:left w:val="single" w:color="auto" w:sz="4" w:space="0"/>
                    <w:right w:val="single" w:color="auto" w:sz="4" w:space="0"/>
                  </w:tcBorders>
                  <w:vAlign w:val="center"/>
                </w:tcPr>
                <w:p w14:paraId="3D028D23">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0.23</w:t>
                  </w:r>
                </w:p>
              </w:tc>
              <w:tc>
                <w:tcPr>
                  <w:tcW w:w="1267" w:type="dxa"/>
                  <w:tcBorders>
                    <w:left w:val="single" w:color="auto" w:sz="4" w:space="0"/>
                    <w:right w:val="single" w:color="auto" w:sz="4" w:space="0"/>
                  </w:tcBorders>
                  <w:vAlign w:val="center"/>
                </w:tcPr>
                <w:p w14:paraId="50CD5681">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1.0</w:t>
                  </w:r>
                </w:p>
              </w:tc>
              <w:tc>
                <w:tcPr>
                  <w:tcW w:w="1095" w:type="dxa"/>
                  <w:tcBorders>
                    <w:left w:val="single" w:color="auto" w:sz="4" w:space="0"/>
                    <w:right w:val="single" w:color="auto" w:sz="4" w:space="0"/>
                  </w:tcBorders>
                  <w:vAlign w:val="center"/>
                </w:tcPr>
                <w:p w14:paraId="7B1CB6E0">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0.25</w:t>
                  </w:r>
                </w:p>
              </w:tc>
            </w:tr>
            <w:tr w14:paraId="684657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 w:hRule="atLeast"/>
              </w:trPr>
              <w:tc>
                <w:tcPr>
                  <w:tcW w:w="1947" w:type="dxa"/>
                  <w:vAlign w:val="center"/>
                </w:tcPr>
                <w:p w14:paraId="46852D8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氨氮</w:t>
                  </w:r>
                </w:p>
              </w:tc>
              <w:tc>
                <w:tcPr>
                  <w:tcW w:w="1211" w:type="dxa"/>
                  <w:vAlign w:val="center"/>
                </w:tcPr>
                <w:p w14:paraId="07E8B42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mg/L</w:t>
                  </w:r>
                </w:p>
              </w:tc>
              <w:tc>
                <w:tcPr>
                  <w:tcW w:w="834" w:type="dxa"/>
                  <w:tcBorders>
                    <w:right w:val="single" w:color="auto" w:sz="4" w:space="0"/>
                  </w:tcBorders>
                  <w:vAlign w:val="center"/>
                </w:tcPr>
                <w:p w14:paraId="294C7F5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w:t>
                  </w:r>
                </w:p>
              </w:tc>
              <w:tc>
                <w:tcPr>
                  <w:tcW w:w="1263" w:type="dxa"/>
                  <w:tcBorders>
                    <w:left w:val="single" w:color="auto" w:sz="4" w:space="0"/>
                  </w:tcBorders>
                  <w:vAlign w:val="center"/>
                </w:tcPr>
                <w:p w14:paraId="1443459F">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0.110</w:t>
                  </w:r>
                </w:p>
              </w:tc>
              <w:tc>
                <w:tcPr>
                  <w:tcW w:w="1066" w:type="dxa"/>
                  <w:tcBorders>
                    <w:left w:val="single" w:color="auto" w:sz="4" w:space="0"/>
                    <w:right w:val="single" w:color="auto" w:sz="4" w:space="0"/>
                  </w:tcBorders>
                  <w:vAlign w:val="center"/>
                </w:tcPr>
                <w:p w14:paraId="7DAB864D">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0.11</w:t>
                  </w:r>
                </w:p>
              </w:tc>
              <w:tc>
                <w:tcPr>
                  <w:tcW w:w="1267" w:type="dxa"/>
                  <w:tcBorders>
                    <w:left w:val="single" w:color="auto" w:sz="4" w:space="0"/>
                    <w:right w:val="single" w:color="auto" w:sz="4" w:space="0"/>
                  </w:tcBorders>
                  <w:vAlign w:val="center"/>
                </w:tcPr>
                <w:p w14:paraId="3341001C">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0.137</w:t>
                  </w:r>
                </w:p>
              </w:tc>
              <w:tc>
                <w:tcPr>
                  <w:tcW w:w="1095" w:type="dxa"/>
                  <w:tcBorders>
                    <w:left w:val="single" w:color="auto" w:sz="4" w:space="0"/>
                    <w:right w:val="single" w:color="auto" w:sz="4" w:space="0"/>
                  </w:tcBorders>
                  <w:vAlign w:val="center"/>
                </w:tcPr>
                <w:p w14:paraId="78259847">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0.14</w:t>
                  </w:r>
                </w:p>
              </w:tc>
            </w:tr>
            <w:tr w14:paraId="3A8AD5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 w:hRule="atLeast"/>
              </w:trPr>
              <w:tc>
                <w:tcPr>
                  <w:tcW w:w="1947" w:type="dxa"/>
                  <w:vAlign w:val="center"/>
                </w:tcPr>
                <w:p w14:paraId="18B867F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总磷（以P计）</w:t>
                  </w:r>
                </w:p>
              </w:tc>
              <w:tc>
                <w:tcPr>
                  <w:tcW w:w="1211" w:type="dxa"/>
                  <w:vAlign w:val="center"/>
                </w:tcPr>
                <w:p w14:paraId="5963550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mg/L</w:t>
                  </w:r>
                </w:p>
              </w:tc>
              <w:tc>
                <w:tcPr>
                  <w:tcW w:w="834" w:type="dxa"/>
                  <w:tcBorders>
                    <w:right w:val="single" w:color="auto" w:sz="4" w:space="0"/>
                  </w:tcBorders>
                  <w:vAlign w:val="center"/>
                </w:tcPr>
                <w:p w14:paraId="56D787F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0.2</w:t>
                  </w:r>
                </w:p>
              </w:tc>
              <w:tc>
                <w:tcPr>
                  <w:tcW w:w="1263" w:type="dxa"/>
                  <w:tcBorders>
                    <w:left w:val="single" w:color="auto" w:sz="4" w:space="0"/>
                  </w:tcBorders>
                  <w:vAlign w:val="center"/>
                </w:tcPr>
                <w:p w14:paraId="02B8A668">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0.01</w:t>
                  </w:r>
                </w:p>
              </w:tc>
              <w:tc>
                <w:tcPr>
                  <w:tcW w:w="1066" w:type="dxa"/>
                  <w:tcBorders>
                    <w:left w:val="single" w:color="auto" w:sz="4" w:space="0"/>
                    <w:right w:val="single" w:color="auto" w:sz="4" w:space="0"/>
                  </w:tcBorders>
                  <w:vAlign w:val="center"/>
                </w:tcPr>
                <w:p w14:paraId="2C202098">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0.05</w:t>
                  </w:r>
                </w:p>
              </w:tc>
              <w:tc>
                <w:tcPr>
                  <w:tcW w:w="1267" w:type="dxa"/>
                  <w:tcBorders>
                    <w:left w:val="single" w:color="auto" w:sz="4" w:space="0"/>
                    <w:right w:val="single" w:color="auto" w:sz="4" w:space="0"/>
                  </w:tcBorders>
                  <w:vAlign w:val="center"/>
                </w:tcPr>
                <w:p w14:paraId="75839E0D">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0.01</w:t>
                  </w:r>
                </w:p>
              </w:tc>
              <w:tc>
                <w:tcPr>
                  <w:tcW w:w="1095" w:type="dxa"/>
                  <w:tcBorders>
                    <w:left w:val="single" w:color="auto" w:sz="4" w:space="0"/>
                    <w:right w:val="single" w:color="auto" w:sz="4" w:space="0"/>
                  </w:tcBorders>
                  <w:vAlign w:val="center"/>
                </w:tcPr>
                <w:p w14:paraId="13045062">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0.05</w:t>
                  </w:r>
                </w:p>
              </w:tc>
            </w:tr>
            <w:tr w14:paraId="7EB24C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 w:hRule="atLeast"/>
              </w:trPr>
              <w:tc>
                <w:tcPr>
                  <w:tcW w:w="1947" w:type="dxa"/>
                  <w:vAlign w:val="center"/>
                </w:tcPr>
                <w:p w14:paraId="5C78549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石油类</w:t>
                  </w:r>
                </w:p>
              </w:tc>
              <w:tc>
                <w:tcPr>
                  <w:tcW w:w="1211" w:type="dxa"/>
                  <w:vAlign w:val="center"/>
                </w:tcPr>
                <w:p w14:paraId="6FC2B25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mg/L</w:t>
                  </w:r>
                </w:p>
              </w:tc>
              <w:tc>
                <w:tcPr>
                  <w:tcW w:w="834" w:type="dxa"/>
                  <w:tcBorders>
                    <w:right w:val="single" w:color="auto" w:sz="4" w:space="0"/>
                  </w:tcBorders>
                  <w:vAlign w:val="center"/>
                </w:tcPr>
                <w:p w14:paraId="5AB8631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0.05</w:t>
                  </w:r>
                </w:p>
              </w:tc>
              <w:tc>
                <w:tcPr>
                  <w:tcW w:w="1263" w:type="dxa"/>
                  <w:tcBorders>
                    <w:left w:val="single" w:color="auto" w:sz="4" w:space="0"/>
                  </w:tcBorders>
                  <w:vAlign w:val="center"/>
                </w:tcPr>
                <w:p w14:paraId="14B924D3">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未检出</w:t>
                  </w:r>
                </w:p>
              </w:tc>
              <w:tc>
                <w:tcPr>
                  <w:tcW w:w="1066" w:type="dxa"/>
                  <w:tcBorders>
                    <w:left w:val="single" w:color="auto" w:sz="4" w:space="0"/>
                    <w:right w:val="single" w:color="auto" w:sz="4" w:space="0"/>
                  </w:tcBorders>
                  <w:vAlign w:val="center"/>
                </w:tcPr>
                <w:p w14:paraId="671615C2">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0.10</w:t>
                  </w:r>
                </w:p>
              </w:tc>
              <w:tc>
                <w:tcPr>
                  <w:tcW w:w="1267" w:type="dxa"/>
                  <w:tcBorders>
                    <w:left w:val="single" w:color="auto" w:sz="4" w:space="0"/>
                    <w:right w:val="single" w:color="auto" w:sz="4" w:space="0"/>
                  </w:tcBorders>
                  <w:vAlign w:val="center"/>
                </w:tcPr>
                <w:p w14:paraId="767201AA">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未检出</w:t>
                  </w:r>
                </w:p>
              </w:tc>
              <w:tc>
                <w:tcPr>
                  <w:tcW w:w="1095" w:type="dxa"/>
                  <w:tcBorders>
                    <w:left w:val="single" w:color="auto" w:sz="4" w:space="0"/>
                    <w:right w:val="single" w:color="auto" w:sz="4" w:space="0"/>
                  </w:tcBorders>
                  <w:vAlign w:val="center"/>
                </w:tcPr>
                <w:p w14:paraId="4A070AC9">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0.10</w:t>
                  </w:r>
                </w:p>
              </w:tc>
            </w:tr>
            <w:tr w14:paraId="195469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 w:hRule="atLeast"/>
              </w:trPr>
              <w:tc>
                <w:tcPr>
                  <w:tcW w:w="1947" w:type="dxa"/>
                  <w:vAlign w:val="center"/>
                </w:tcPr>
                <w:p w14:paraId="22642D8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阴离子表面活性剂</w:t>
                  </w:r>
                </w:p>
              </w:tc>
              <w:tc>
                <w:tcPr>
                  <w:tcW w:w="1211" w:type="dxa"/>
                  <w:shd w:val="clear" w:color="auto" w:fill="auto"/>
                  <w:vAlign w:val="center"/>
                </w:tcPr>
                <w:p w14:paraId="225A9370">
                  <w:pPr>
                    <w:pStyle w:val="147"/>
                    <w:bidi w:val="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mg/L</w:t>
                  </w:r>
                </w:p>
              </w:tc>
              <w:tc>
                <w:tcPr>
                  <w:tcW w:w="834" w:type="dxa"/>
                  <w:tcBorders>
                    <w:right w:val="single" w:color="auto" w:sz="4" w:space="0"/>
                  </w:tcBorders>
                  <w:shd w:val="clear" w:color="auto" w:fill="auto"/>
                  <w:vAlign w:val="center"/>
                </w:tcPr>
                <w:p w14:paraId="27DD0BE8">
                  <w:pPr>
                    <w:pStyle w:val="147"/>
                    <w:bidi w:val="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0.2</w:t>
                  </w:r>
                </w:p>
              </w:tc>
              <w:tc>
                <w:tcPr>
                  <w:tcW w:w="1263" w:type="dxa"/>
                  <w:tcBorders>
                    <w:left w:val="single" w:color="auto" w:sz="4" w:space="0"/>
                  </w:tcBorders>
                  <w:shd w:val="clear" w:color="auto" w:fill="auto"/>
                  <w:vAlign w:val="center"/>
                </w:tcPr>
                <w:p w14:paraId="55D29293">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未检出</w:t>
                  </w:r>
                </w:p>
              </w:tc>
              <w:tc>
                <w:tcPr>
                  <w:tcW w:w="1066" w:type="dxa"/>
                  <w:tcBorders>
                    <w:left w:val="single" w:color="auto" w:sz="4" w:space="0"/>
                    <w:right w:val="single" w:color="auto" w:sz="4" w:space="0"/>
                  </w:tcBorders>
                  <w:shd w:val="clear" w:color="auto" w:fill="auto"/>
                  <w:vAlign w:val="center"/>
                </w:tcPr>
                <w:p w14:paraId="240721DC">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0.125</w:t>
                  </w:r>
                </w:p>
              </w:tc>
              <w:tc>
                <w:tcPr>
                  <w:tcW w:w="1267" w:type="dxa"/>
                  <w:tcBorders>
                    <w:left w:val="single" w:color="auto" w:sz="4" w:space="0"/>
                    <w:right w:val="single" w:color="auto" w:sz="4" w:space="0"/>
                  </w:tcBorders>
                  <w:shd w:val="clear" w:color="auto" w:fill="auto"/>
                  <w:vAlign w:val="center"/>
                </w:tcPr>
                <w:p w14:paraId="3EBA21AA">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未检出</w:t>
                  </w:r>
                </w:p>
              </w:tc>
              <w:tc>
                <w:tcPr>
                  <w:tcW w:w="1095" w:type="dxa"/>
                  <w:tcBorders>
                    <w:left w:val="single" w:color="auto" w:sz="4" w:space="0"/>
                    <w:right w:val="single" w:color="auto" w:sz="4" w:space="0"/>
                  </w:tcBorders>
                  <w:shd w:val="clear" w:color="auto" w:fill="auto"/>
                  <w:vAlign w:val="center"/>
                </w:tcPr>
                <w:p w14:paraId="749684F7">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0.125</w:t>
                  </w:r>
                </w:p>
              </w:tc>
            </w:tr>
          </w:tbl>
          <w:p w14:paraId="225FE552">
            <w:pP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备注：未检出因子均按照检出限的一般进行评价。</w:t>
            </w:r>
          </w:p>
          <w:p w14:paraId="4BA7E236">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由上表可知，所有监测因子标准指数均小于1，叶尔羌河评价河段水质满足《地表水环境质量标准》（GB3838-2002）Ⅲ类标准要求。</w:t>
            </w:r>
          </w:p>
          <w:p w14:paraId="08C016D1">
            <w:pPr>
              <w:pStyle w:val="85"/>
              <w:spacing w:before="0" w:beforeAutospacing="0"/>
              <w:ind w:firstLine="482"/>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2.4声环境质量现状调查</w:t>
            </w:r>
          </w:p>
          <w:p w14:paraId="7DB22AE4">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根据《建设项目环境影响报告表编制技术指南（污染影响类）（试行）》：厂界外周边50米范围内存在声环境保护目标的建设项目，应监测保护目标声环境质量现状并评价达标情况。</w:t>
            </w:r>
          </w:p>
          <w:p w14:paraId="2B6E9CD6">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本项目周边50米范围内不存在声环境保护目标，因此不对区域声环境进行监测。</w:t>
            </w:r>
          </w:p>
          <w:p w14:paraId="636B2736">
            <w:pPr>
              <w:spacing w:line="360" w:lineRule="auto"/>
              <w:ind w:firstLine="482" w:firstLineChars="200"/>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2.5土壤环境</w:t>
            </w:r>
          </w:p>
          <w:p w14:paraId="0DB9463C">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（1）项目类型</w:t>
            </w:r>
          </w:p>
          <w:p w14:paraId="264A890B">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根据《环境影响评价技术导则土壤环境（试行）》（HJ964—2018）附录A，本项目属于水利行业Ⅲ类项目。</w:t>
            </w:r>
          </w:p>
          <w:p w14:paraId="492B8101">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（2）敏感程度分级</w:t>
            </w:r>
          </w:p>
          <w:p w14:paraId="732173B4">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所在地区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干燥度&gt;2.5，工程地区地下水埋深小于1.5m，根据《环境影响评价技术导则土壤环境》（HJ964-2018）中表1规定，本项目敏感程度为敏感。</w:t>
            </w:r>
          </w:p>
          <w:p w14:paraId="78164EEE">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（3）工作等级划分</w:t>
            </w:r>
          </w:p>
          <w:p w14:paraId="18C119F3">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根据《环境影响评价技术导则土壤环境》（HJ964-2018），土壤环境影响评价工作等级划分依据见表</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3-5</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37A7AE1F">
            <w:pPr>
              <w:ind w:firstLine="482"/>
              <w:jc w:val="center"/>
              <w:rPr>
                <w:rFonts w:hint="default" w:ascii="Times New Roman" w:hAnsi="Times New Roman" w:eastAsia="宋体" w:cs="Times New Roman"/>
                <w:b/>
                <w:color w:val="000000" w:themeColor="text1"/>
                <w:szCs w:val="21"/>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3-5</w:t>
            </w:r>
            <w:r>
              <w:rPr>
                <w:rFonts w:hint="default" w:ascii="Times New Roman" w:hAnsi="Times New Roman" w:eastAsia="宋体" w:cs="Times New Roman"/>
                <w:b/>
                <w:color w:val="000000" w:themeColor="text1"/>
                <w:szCs w:val="21"/>
                <w14:textFill>
                  <w14:solidFill>
                    <w14:schemeClr w14:val="tx1"/>
                  </w14:solidFill>
                </w14:textFill>
              </w:rPr>
              <w:t>生态影响型评价工作等级划分表</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76"/>
              <w:gridCol w:w="2176"/>
              <w:gridCol w:w="2176"/>
              <w:gridCol w:w="2177"/>
            </w:tblGrid>
            <w:tr w14:paraId="007AA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6" w:type="dxa"/>
                  <w:vAlign w:val="center"/>
                </w:tcPr>
                <w:p w14:paraId="6548586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评价工作等级项目</w:t>
                  </w:r>
                </w:p>
                <w:p w14:paraId="5E79727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类别</w:t>
                  </w:r>
                </w:p>
              </w:tc>
              <w:tc>
                <w:tcPr>
                  <w:tcW w:w="2176" w:type="dxa"/>
                  <w:vAlign w:val="center"/>
                </w:tcPr>
                <w:p w14:paraId="0CF15B4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Ⅰ类</w:t>
                  </w:r>
                </w:p>
              </w:tc>
              <w:tc>
                <w:tcPr>
                  <w:tcW w:w="2176" w:type="dxa"/>
                  <w:vAlign w:val="center"/>
                </w:tcPr>
                <w:p w14:paraId="2F4EDB1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fldChar w:fldCharType="begin"/>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instrText xml:space="preserve"> = 2 \* ROMAN \* MERGEFORMAT </w:instrTex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fldChar w:fldCharType="separate"/>
                  </w:r>
                  <w:r>
                    <w:rPr>
                      <w:rFonts w:hint="default" w:ascii="Times New Roman" w:hAnsi="Times New Roman" w:eastAsia="宋体" w:cs="Times New Roman"/>
                      <w:color w:val="000000" w:themeColor="text1"/>
                      <w14:textFill>
                        <w14:solidFill>
                          <w14:schemeClr w14:val="tx1"/>
                        </w14:solidFill>
                      </w14:textFill>
                    </w:rPr>
                    <w:t>II</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fldChar w:fldCharType="end"/>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类</w:t>
                  </w:r>
                </w:p>
              </w:tc>
              <w:tc>
                <w:tcPr>
                  <w:tcW w:w="2177" w:type="dxa"/>
                  <w:vAlign w:val="center"/>
                </w:tcPr>
                <w:p w14:paraId="0944E15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Ⅲ类</w:t>
                  </w:r>
                </w:p>
              </w:tc>
            </w:tr>
            <w:tr w14:paraId="74817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6" w:type="dxa"/>
                  <w:vAlign w:val="center"/>
                </w:tcPr>
                <w:p w14:paraId="3FAEAC8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敏感</w:t>
                  </w:r>
                </w:p>
              </w:tc>
              <w:tc>
                <w:tcPr>
                  <w:tcW w:w="2176" w:type="dxa"/>
                  <w:vAlign w:val="center"/>
                </w:tcPr>
                <w:p w14:paraId="13AFE62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一级</w:t>
                  </w:r>
                </w:p>
              </w:tc>
              <w:tc>
                <w:tcPr>
                  <w:tcW w:w="2176" w:type="dxa"/>
                  <w:vAlign w:val="center"/>
                </w:tcPr>
                <w:p w14:paraId="03C8A77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二级</w:t>
                  </w:r>
                </w:p>
              </w:tc>
              <w:tc>
                <w:tcPr>
                  <w:tcW w:w="2177" w:type="dxa"/>
                  <w:vAlign w:val="center"/>
                </w:tcPr>
                <w:p w14:paraId="0DA276F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三级</w:t>
                  </w:r>
                </w:p>
              </w:tc>
            </w:tr>
            <w:tr w14:paraId="7BA6F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6" w:type="dxa"/>
                  <w:vAlign w:val="center"/>
                </w:tcPr>
                <w:p w14:paraId="7E52249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较敏感</w:t>
                  </w:r>
                </w:p>
              </w:tc>
              <w:tc>
                <w:tcPr>
                  <w:tcW w:w="2176" w:type="dxa"/>
                  <w:vAlign w:val="center"/>
                </w:tcPr>
                <w:p w14:paraId="461BA5A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二级</w:t>
                  </w:r>
                </w:p>
              </w:tc>
              <w:tc>
                <w:tcPr>
                  <w:tcW w:w="2176" w:type="dxa"/>
                  <w:vAlign w:val="center"/>
                </w:tcPr>
                <w:p w14:paraId="57FB431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二级</w:t>
                  </w:r>
                </w:p>
              </w:tc>
              <w:tc>
                <w:tcPr>
                  <w:tcW w:w="2177" w:type="dxa"/>
                  <w:vAlign w:val="center"/>
                </w:tcPr>
                <w:p w14:paraId="1BBD0CB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三级</w:t>
                  </w:r>
                </w:p>
              </w:tc>
            </w:tr>
            <w:tr w14:paraId="1A9FF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6" w:type="dxa"/>
                  <w:vAlign w:val="center"/>
                </w:tcPr>
                <w:p w14:paraId="0765599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不敏感</w:t>
                  </w:r>
                </w:p>
              </w:tc>
              <w:tc>
                <w:tcPr>
                  <w:tcW w:w="2176" w:type="dxa"/>
                  <w:vAlign w:val="center"/>
                </w:tcPr>
                <w:p w14:paraId="466B6D2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三级</w:t>
                  </w:r>
                </w:p>
              </w:tc>
              <w:tc>
                <w:tcPr>
                  <w:tcW w:w="2176" w:type="dxa"/>
                  <w:vAlign w:val="center"/>
                </w:tcPr>
                <w:p w14:paraId="6329308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三级</w:t>
                  </w:r>
                </w:p>
              </w:tc>
              <w:tc>
                <w:tcPr>
                  <w:tcW w:w="2177" w:type="dxa"/>
                  <w:vAlign w:val="center"/>
                </w:tcPr>
                <w:p w14:paraId="7F288E9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bl>
          <w:p w14:paraId="3E49D3FF">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根据工作等级划分表，本项目土壤环境影响评价工作等级为三级，需开展土壤环境影响评价工作。</w:t>
            </w:r>
          </w:p>
          <w:p w14:paraId="4B89AD70">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（4）土壤监测</w:t>
            </w:r>
          </w:p>
          <w:p w14:paraId="61BBDE06">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本次土壤评价委托新疆腾龙环境监测有限公司于2026年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月</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29</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日进行采样监测。根据现场勘察及土壤类型分布图，项目区主要土壤类型为灌淤土、潮土、</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草甸土</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三种。按照《环境影响评价技术导则土壤环境（试行）》（HJ964-2018）中“生态影响型三级评价项目，占地范围内至少设置3个表层样点”的要求，结合土壤类型分布，共布设3个表层样点（每种主要土壤类型各1个），具体如下：</w:t>
            </w:r>
          </w:p>
          <w:p w14:paraId="4B5E3A56">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①监测点位</w:t>
            </w:r>
          </w:p>
          <w:p w14:paraId="45EF3373">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本次环评在项目区内布设3个表层样点，共计3个土壤监测点，监测点位图见图13。</w:t>
            </w:r>
          </w:p>
          <w:p w14:paraId="46730CC5">
            <w:pPr>
              <w:ind w:firstLine="482"/>
              <w:jc w:val="center"/>
              <w:rPr>
                <w:rFonts w:hint="default" w:ascii="Times New Roman" w:hAnsi="Times New Roman" w:eastAsia="宋体" w:cs="Times New Roman"/>
                <w:b/>
                <w:color w:val="000000" w:themeColor="text1"/>
                <w:szCs w:val="21"/>
                <w14:textFill>
                  <w14:solidFill>
                    <w14:schemeClr w14:val="tx1"/>
                  </w14:solidFill>
                </w14:textFill>
              </w:rPr>
            </w:pPr>
          </w:p>
          <w:p w14:paraId="787C4598">
            <w:pPr>
              <w:ind w:firstLine="482"/>
              <w:jc w:val="center"/>
              <w:rPr>
                <w:rFonts w:hint="default" w:ascii="Times New Roman" w:hAnsi="Times New Roman" w:eastAsia="宋体" w:cs="Times New Roman"/>
                <w:b/>
                <w:color w:val="000000" w:themeColor="text1"/>
                <w:szCs w:val="21"/>
                <w14:textFill>
                  <w14:solidFill>
                    <w14:schemeClr w14:val="tx1"/>
                  </w14:solidFill>
                </w14:textFill>
              </w:rPr>
            </w:pPr>
          </w:p>
          <w:p w14:paraId="34BDDF5F">
            <w:pPr>
              <w:ind w:firstLine="482"/>
              <w:jc w:val="center"/>
              <w:rPr>
                <w:rFonts w:hint="default" w:ascii="Times New Roman" w:hAnsi="Times New Roman" w:eastAsia="宋体" w:cs="Times New Roman"/>
                <w:b/>
                <w:color w:val="000000" w:themeColor="text1"/>
                <w:szCs w:val="21"/>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3-6</w:t>
            </w:r>
            <w:r>
              <w:rPr>
                <w:rFonts w:hint="default" w:ascii="Times New Roman" w:hAnsi="Times New Roman" w:eastAsia="宋体" w:cs="Times New Roman"/>
                <w:b/>
                <w:color w:val="000000" w:themeColor="text1"/>
                <w:szCs w:val="21"/>
                <w14:textFill>
                  <w14:solidFill>
                    <w14:schemeClr w14:val="tx1"/>
                  </w14:solidFill>
                </w14:textFill>
              </w:rPr>
              <w:t>土壤环境质量现状监测点位</w:t>
            </w:r>
          </w:p>
          <w:tbl>
            <w:tblPr>
              <w:tblStyle w:val="34"/>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30"/>
              <w:gridCol w:w="2399"/>
              <w:gridCol w:w="1310"/>
              <w:gridCol w:w="2210"/>
              <w:gridCol w:w="1926"/>
            </w:tblGrid>
            <w:tr w14:paraId="15D1FC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30" w:type="dxa"/>
                  <w:noWrap w:val="0"/>
                  <w:vAlign w:val="center"/>
                </w:tcPr>
                <w:p w14:paraId="42C9BC20">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序号</w:t>
                  </w:r>
                </w:p>
              </w:tc>
              <w:tc>
                <w:tcPr>
                  <w:tcW w:w="2399" w:type="dxa"/>
                  <w:tcBorders>
                    <w:right w:val="single" w:color="auto" w:sz="4" w:space="0"/>
                  </w:tcBorders>
                  <w:noWrap w:val="0"/>
                  <w:vAlign w:val="center"/>
                </w:tcPr>
                <w:p w14:paraId="25D03BC1">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监测点位置</w:t>
                  </w:r>
                </w:p>
              </w:tc>
              <w:tc>
                <w:tcPr>
                  <w:tcW w:w="1310" w:type="dxa"/>
                  <w:tcBorders>
                    <w:left w:val="single" w:color="auto" w:sz="4" w:space="0"/>
                    <w:right w:val="single" w:color="auto" w:sz="4" w:space="0"/>
                  </w:tcBorders>
                  <w:noWrap w:val="0"/>
                  <w:vAlign w:val="center"/>
                </w:tcPr>
                <w:p w14:paraId="6DDB6A3B">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土壤类型</w:t>
                  </w:r>
                </w:p>
              </w:tc>
              <w:tc>
                <w:tcPr>
                  <w:tcW w:w="2210" w:type="dxa"/>
                  <w:tcBorders>
                    <w:left w:val="single" w:color="auto" w:sz="4" w:space="0"/>
                  </w:tcBorders>
                  <w:noWrap w:val="0"/>
                  <w:vAlign w:val="center"/>
                </w:tcPr>
                <w:p w14:paraId="47028878">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布点原则</w:t>
                  </w:r>
                </w:p>
              </w:tc>
              <w:tc>
                <w:tcPr>
                  <w:tcW w:w="1926" w:type="dxa"/>
                  <w:noWrap w:val="0"/>
                  <w:vAlign w:val="center"/>
                </w:tcPr>
                <w:p w14:paraId="3B942EF6">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取样类型</w:t>
                  </w:r>
                </w:p>
              </w:tc>
            </w:tr>
            <w:tr w14:paraId="380AEC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30" w:type="dxa"/>
                  <w:noWrap w:val="0"/>
                  <w:vAlign w:val="center"/>
                </w:tcPr>
                <w:p w14:paraId="5390CE29">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S1</w:t>
                  </w:r>
                </w:p>
              </w:tc>
              <w:tc>
                <w:tcPr>
                  <w:tcW w:w="2399" w:type="dxa"/>
                  <w:tcBorders>
                    <w:right w:val="single" w:color="auto" w:sz="4" w:space="0"/>
                  </w:tcBorders>
                  <w:noWrap w:val="0"/>
                  <w:vAlign w:val="center"/>
                </w:tcPr>
                <w:p w14:paraId="5EDD09C1">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护岸上段（K131+500）占地范围外</w:t>
                  </w:r>
                </w:p>
              </w:tc>
              <w:tc>
                <w:tcPr>
                  <w:tcW w:w="1310" w:type="dxa"/>
                  <w:tcBorders>
                    <w:left w:val="single" w:color="auto" w:sz="4" w:space="0"/>
                    <w:right w:val="single" w:color="auto" w:sz="4" w:space="0"/>
                  </w:tcBorders>
                  <w:noWrap w:val="0"/>
                  <w:vAlign w:val="center"/>
                </w:tcPr>
                <w:p w14:paraId="6EF49565">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灌淤土</w:t>
                  </w:r>
                </w:p>
              </w:tc>
              <w:tc>
                <w:tcPr>
                  <w:tcW w:w="2210" w:type="dxa"/>
                  <w:tcBorders>
                    <w:left w:val="single" w:color="auto" w:sz="4" w:space="0"/>
                  </w:tcBorders>
                  <w:noWrap w:val="0"/>
                  <w:vAlign w:val="center"/>
                </w:tcPr>
                <w:p w14:paraId="67B4FF34">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代表工程区主要耕作土壤</w:t>
                  </w:r>
                </w:p>
              </w:tc>
              <w:tc>
                <w:tcPr>
                  <w:tcW w:w="1926" w:type="dxa"/>
                  <w:noWrap w:val="0"/>
                  <w:vAlign w:val="center"/>
                </w:tcPr>
                <w:p w14:paraId="4C8C858D">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表层样（0～0.2m）</w:t>
                  </w:r>
                </w:p>
              </w:tc>
            </w:tr>
            <w:tr w14:paraId="7534DF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30" w:type="dxa"/>
                  <w:noWrap w:val="0"/>
                  <w:vAlign w:val="center"/>
                </w:tcPr>
                <w:p w14:paraId="0F090AB9">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S2</w:t>
                  </w:r>
                </w:p>
              </w:tc>
              <w:tc>
                <w:tcPr>
                  <w:tcW w:w="2399" w:type="dxa"/>
                  <w:tcBorders>
                    <w:right w:val="single" w:color="auto" w:sz="4" w:space="0"/>
                  </w:tcBorders>
                  <w:noWrap w:val="0"/>
                  <w:vAlign w:val="center"/>
                </w:tcPr>
                <w:p w14:paraId="337B1002">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护岸下段（K140+000）占地范围外</w:t>
                  </w:r>
                </w:p>
              </w:tc>
              <w:tc>
                <w:tcPr>
                  <w:tcW w:w="1310" w:type="dxa"/>
                  <w:tcBorders>
                    <w:left w:val="single" w:color="auto" w:sz="4" w:space="0"/>
                    <w:right w:val="single" w:color="auto" w:sz="4" w:space="0"/>
                  </w:tcBorders>
                  <w:noWrap w:val="0"/>
                  <w:vAlign w:val="center"/>
                </w:tcPr>
                <w:p w14:paraId="6FFDB05B">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潮土</w:t>
                  </w:r>
                </w:p>
              </w:tc>
              <w:tc>
                <w:tcPr>
                  <w:tcW w:w="2210" w:type="dxa"/>
                  <w:tcBorders>
                    <w:left w:val="single" w:color="auto" w:sz="4" w:space="0"/>
                  </w:tcBorders>
                  <w:noWrap w:val="0"/>
                  <w:vAlign w:val="center"/>
                </w:tcPr>
                <w:p w14:paraId="73B36E81">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代表河滩地土壤</w:t>
                  </w:r>
                </w:p>
              </w:tc>
              <w:tc>
                <w:tcPr>
                  <w:tcW w:w="1926" w:type="dxa"/>
                  <w:noWrap w:val="0"/>
                  <w:vAlign w:val="center"/>
                </w:tcPr>
                <w:p w14:paraId="49825641">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表层样（0～0.2m）</w:t>
                  </w:r>
                </w:p>
              </w:tc>
            </w:tr>
            <w:tr w14:paraId="067FD1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30" w:type="dxa"/>
                  <w:noWrap w:val="0"/>
                  <w:vAlign w:val="center"/>
                </w:tcPr>
                <w:p w14:paraId="7038F49E">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S3</w:t>
                  </w:r>
                </w:p>
              </w:tc>
              <w:tc>
                <w:tcPr>
                  <w:tcW w:w="2399" w:type="dxa"/>
                  <w:tcBorders>
                    <w:right w:val="single" w:color="auto" w:sz="4" w:space="0"/>
                  </w:tcBorders>
                  <w:noWrap w:val="0"/>
                  <w:vAlign w:val="center"/>
                </w:tcPr>
                <w:p w14:paraId="392C45D3">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临时施工生产生活区（占地范围内）</w:t>
                  </w:r>
                </w:p>
              </w:tc>
              <w:tc>
                <w:tcPr>
                  <w:tcW w:w="1310" w:type="dxa"/>
                  <w:tcBorders>
                    <w:left w:val="single" w:color="auto" w:sz="4" w:space="0"/>
                    <w:right w:val="single" w:color="auto" w:sz="4" w:space="0"/>
                  </w:tcBorders>
                  <w:noWrap w:val="0"/>
                  <w:vAlign w:val="center"/>
                </w:tcPr>
                <w:p w14:paraId="44A7D772">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草甸土</w:t>
                  </w:r>
                </w:p>
              </w:tc>
              <w:tc>
                <w:tcPr>
                  <w:tcW w:w="2210" w:type="dxa"/>
                  <w:tcBorders>
                    <w:left w:val="single" w:color="auto" w:sz="4" w:space="0"/>
                  </w:tcBorders>
                  <w:noWrap w:val="0"/>
                  <w:vAlign w:val="center"/>
                </w:tcPr>
                <w:p w14:paraId="0597B9F8">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代表工程区堤后草甸土类型，监测施工扰动区土壤背景值</w:t>
                  </w:r>
                </w:p>
              </w:tc>
              <w:tc>
                <w:tcPr>
                  <w:tcW w:w="1926" w:type="dxa"/>
                  <w:noWrap w:val="0"/>
                  <w:vAlign w:val="center"/>
                </w:tcPr>
                <w:p w14:paraId="6466D0A2">
                  <w:pPr>
                    <w:keepNext w:val="0"/>
                    <w:keepLines w:val="0"/>
                    <w:widowControl/>
                    <w:suppressLineNumbers w:val="0"/>
                    <w:jc w:val="cente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shd w:val="clear" w:color="auto" w:fill="FFFFFF"/>
                      <w:lang w:val="en-US" w:eastAsia="zh-CN" w:bidi="ar-SA"/>
                      <w14:textFill>
                        <w14:solidFill>
                          <w14:schemeClr w14:val="tx1"/>
                        </w14:solidFill>
                      </w14:textFill>
                    </w:rPr>
                    <w:t>表层样（0～0.2m）</w:t>
                  </w:r>
                </w:p>
              </w:tc>
            </w:tr>
          </w:tbl>
          <w:p w14:paraId="39ABB9DF">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②评价标准</w:t>
            </w:r>
          </w:p>
          <w:p w14:paraId="7504E4D0">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占地范围内3#土壤监测点位各监测因子执行《土壤环境质量建设用地土壤污染风险管控标准（试行）》（GB36600-2018）表1二类用地筛选值限值要求；占地范围外1#、2#土壤监测点位各监测因子执行《土壤环境质量农用地土壤污染风险管控标准(试行)》（GB15618-2018）表1农用地土壤污染风险筛选值。</w:t>
            </w:r>
          </w:p>
          <w:p w14:paraId="2220AC76">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③评价方法</w:t>
            </w:r>
          </w:p>
          <w:p w14:paraId="79B3431D">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根据《环境影响评价技术导则土壤环境（试行）》（HJ964-2018）要求，采用单因子标准指数法对各监测因子进行评价，计算公式为：</w:t>
            </w:r>
          </w:p>
          <w:p w14:paraId="11C96BA5">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Si，j=Ci，j/Csi式中：Si，j——单项土壤参数i在j点的标准指数；</w:t>
            </w:r>
          </w:p>
          <w:p w14:paraId="468C182B">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Ci，j——土壤参数i在j点的监测浓度，mg/L；</w:t>
            </w:r>
          </w:p>
          <w:p w14:paraId="6E0D8D9A">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Csi——土壤参数i的土壤环境质量标准，mg/L。</w:t>
            </w:r>
          </w:p>
          <w:p w14:paraId="3D53FDD3">
            <w:pPr>
              <w:keepNext w:val="0"/>
              <w:keepLines w:val="0"/>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5）检测结果及评价结论见下表</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3-7</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与表</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3-8</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3C7FD208">
            <w:pPr>
              <w:ind w:firstLine="482"/>
              <w:jc w:val="center"/>
              <w:rPr>
                <w:rFonts w:hint="default" w:ascii="Times New Roman" w:hAnsi="Times New Roman" w:eastAsia="宋体" w:cs="Times New Roman"/>
                <w:b/>
                <w:color w:val="000000" w:themeColor="text1"/>
                <w:szCs w:val="21"/>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3-7</w:t>
            </w:r>
            <w:r>
              <w:rPr>
                <w:rFonts w:hint="default" w:ascii="Times New Roman" w:hAnsi="Times New Roman" w:eastAsia="宋体" w:cs="Times New Roman"/>
                <w:b/>
                <w:color w:val="000000" w:themeColor="text1"/>
                <w:szCs w:val="21"/>
                <w14:textFill>
                  <w14:solidFill>
                    <w14:schemeClr w14:val="tx1"/>
                  </w14:solidFill>
                </w14:textFill>
              </w:rPr>
              <w:t>3#点土壤监测数据一览表单位：mg/kg</w:t>
            </w:r>
          </w:p>
          <w:tbl>
            <w:tblPr>
              <w:tblStyle w:val="100"/>
              <w:tblW w:w="8776" w:type="dxa"/>
              <w:tblInd w:w="-2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3"/>
              <w:gridCol w:w="2077"/>
              <w:gridCol w:w="1638"/>
              <w:gridCol w:w="2062"/>
              <w:gridCol w:w="1088"/>
              <w:gridCol w:w="1118"/>
            </w:tblGrid>
            <w:tr w14:paraId="1FC07A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793" w:type="dxa"/>
                  <w:vMerge w:val="restart"/>
                  <w:tcBorders>
                    <w:tl2br w:val="nil"/>
                    <w:tr2bl w:val="nil"/>
                  </w:tcBorders>
                  <w:vAlign w:val="center"/>
                </w:tcPr>
                <w:p w14:paraId="74CC140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序号</w:t>
                  </w:r>
                </w:p>
              </w:tc>
              <w:tc>
                <w:tcPr>
                  <w:tcW w:w="2077" w:type="dxa"/>
                  <w:vMerge w:val="restart"/>
                  <w:tcBorders>
                    <w:tl2br w:val="nil"/>
                    <w:tr2bl w:val="nil"/>
                  </w:tcBorders>
                  <w:vAlign w:val="center"/>
                </w:tcPr>
                <w:p w14:paraId="14C47E5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监测项目</w:t>
                  </w:r>
                </w:p>
              </w:tc>
              <w:tc>
                <w:tcPr>
                  <w:tcW w:w="1638" w:type="dxa"/>
                  <w:tcBorders>
                    <w:tl2br w:val="nil"/>
                    <w:tr2bl w:val="nil"/>
                  </w:tcBorders>
                  <w:vAlign w:val="center"/>
                </w:tcPr>
                <w:p w14:paraId="270DB69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监测结果</w:t>
                  </w:r>
                </w:p>
              </w:tc>
              <w:tc>
                <w:tcPr>
                  <w:tcW w:w="2062" w:type="dxa"/>
                  <w:tcBorders>
                    <w:tl2br w:val="nil"/>
                    <w:tr2bl w:val="nil"/>
                  </w:tcBorders>
                  <w:vAlign w:val="center"/>
                </w:tcPr>
                <w:p w14:paraId="58C58B2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标准值</w:t>
                  </w:r>
                </w:p>
              </w:tc>
              <w:tc>
                <w:tcPr>
                  <w:tcW w:w="1088" w:type="dxa"/>
                  <w:vMerge w:val="restart"/>
                  <w:tcBorders>
                    <w:tl2br w:val="nil"/>
                    <w:tr2bl w:val="nil"/>
                  </w:tcBorders>
                  <w:vAlign w:val="center"/>
                </w:tcPr>
                <w:p w14:paraId="7139C19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标准指数</w:t>
                  </w:r>
                </w:p>
              </w:tc>
              <w:tc>
                <w:tcPr>
                  <w:tcW w:w="1118" w:type="dxa"/>
                  <w:vMerge w:val="restart"/>
                  <w:tcBorders>
                    <w:tl2br w:val="nil"/>
                    <w:tr2bl w:val="nil"/>
                  </w:tcBorders>
                  <w:vAlign w:val="center"/>
                </w:tcPr>
                <w:p w14:paraId="79A66FB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达标情况</w:t>
                  </w:r>
                </w:p>
              </w:tc>
            </w:tr>
            <w:tr w14:paraId="581EFC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793" w:type="dxa"/>
                  <w:vMerge w:val="continue"/>
                  <w:tcBorders>
                    <w:tl2br w:val="nil"/>
                    <w:tr2bl w:val="nil"/>
                  </w:tcBorders>
                  <w:textDirection w:val="tbRlV"/>
                  <w:vAlign w:val="center"/>
                </w:tcPr>
                <w:p w14:paraId="3F53A8F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2077" w:type="dxa"/>
                  <w:vMerge w:val="continue"/>
                  <w:tcBorders>
                    <w:tl2br w:val="nil"/>
                    <w:tr2bl w:val="nil"/>
                  </w:tcBorders>
                  <w:vAlign w:val="center"/>
                </w:tcPr>
                <w:p w14:paraId="2349725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638" w:type="dxa"/>
                  <w:tcBorders>
                    <w:tl2br w:val="nil"/>
                    <w:tr2bl w:val="nil"/>
                  </w:tcBorders>
                  <w:vAlign w:val="center"/>
                </w:tcPr>
                <w:p w14:paraId="1B6FCB2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c>
                <w:tcPr>
                  <w:tcW w:w="2062" w:type="dxa"/>
                  <w:tcBorders>
                    <w:tl2br w:val="nil"/>
                    <w:tr2bl w:val="nil"/>
                  </w:tcBorders>
                  <w:vAlign w:val="center"/>
                </w:tcPr>
                <w:p w14:paraId="267CA51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GB36600筛选值-第二类-用地</w:t>
                  </w:r>
                </w:p>
              </w:tc>
              <w:tc>
                <w:tcPr>
                  <w:tcW w:w="1088" w:type="dxa"/>
                  <w:vMerge w:val="continue"/>
                  <w:tcBorders>
                    <w:tl2br w:val="nil"/>
                    <w:tr2bl w:val="nil"/>
                  </w:tcBorders>
                  <w:vAlign w:val="center"/>
                </w:tcPr>
                <w:p w14:paraId="342EDB4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118" w:type="dxa"/>
                  <w:vMerge w:val="continue"/>
                  <w:tcBorders>
                    <w:tl2br w:val="nil"/>
                    <w:tr2bl w:val="nil"/>
                  </w:tcBorders>
                  <w:vAlign w:val="center"/>
                </w:tcPr>
                <w:p w14:paraId="3A8D94A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45E665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4" w:hRule="atLeast"/>
              </w:trPr>
              <w:tc>
                <w:tcPr>
                  <w:tcW w:w="793" w:type="dxa"/>
                  <w:tcBorders>
                    <w:tl2br w:val="nil"/>
                    <w:tr2bl w:val="nil"/>
                  </w:tcBorders>
                  <w:vAlign w:val="center"/>
                </w:tcPr>
                <w:p w14:paraId="391142D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2077" w:type="dxa"/>
                  <w:tcBorders>
                    <w:tl2br w:val="nil"/>
                    <w:tr2bl w:val="nil"/>
                  </w:tcBorders>
                  <w:vAlign w:val="center"/>
                </w:tcPr>
                <w:p w14:paraId="7C764B7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pH（无量纲）</w:t>
                  </w:r>
                </w:p>
              </w:tc>
              <w:tc>
                <w:tcPr>
                  <w:tcW w:w="1638" w:type="dxa"/>
                  <w:tcBorders>
                    <w:tl2br w:val="nil"/>
                    <w:tr2bl w:val="nil"/>
                  </w:tcBorders>
                  <w:vAlign w:val="center"/>
                </w:tcPr>
                <w:p w14:paraId="4AD3A69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8.18</w:t>
                  </w:r>
                </w:p>
              </w:tc>
              <w:tc>
                <w:tcPr>
                  <w:tcW w:w="2062" w:type="dxa"/>
                  <w:tcBorders>
                    <w:tl2br w:val="nil"/>
                    <w:tr2bl w:val="nil"/>
                  </w:tcBorders>
                  <w:vAlign w:val="center"/>
                </w:tcPr>
                <w:p w14:paraId="7EB0318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088" w:type="dxa"/>
                  <w:tcBorders>
                    <w:tl2br w:val="nil"/>
                    <w:tr2bl w:val="nil"/>
                  </w:tcBorders>
                  <w:vAlign w:val="center"/>
                </w:tcPr>
                <w:p w14:paraId="3CD48CA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无酸化或碱化</w:t>
                  </w:r>
                </w:p>
              </w:tc>
              <w:tc>
                <w:tcPr>
                  <w:tcW w:w="1118" w:type="dxa"/>
                  <w:tcBorders>
                    <w:tl2br w:val="nil"/>
                    <w:tr2bl w:val="nil"/>
                  </w:tcBorders>
                  <w:vAlign w:val="center"/>
                </w:tcPr>
                <w:p w14:paraId="244C325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67F5C9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05360FC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2077" w:type="dxa"/>
                  <w:tcBorders>
                    <w:tl2br w:val="nil"/>
                    <w:tr2bl w:val="nil"/>
                  </w:tcBorders>
                  <w:vAlign w:val="center"/>
                </w:tcPr>
                <w:p w14:paraId="169546B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含盐量（g/kg）</w:t>
                  </w:r>
                </w:p>
              </w:tc>
              <w:tc>
                <w:tcPr>
                  <w:tcW w:w="1638" w:type="dxa"/>
                  <w:tcBorders>
                    <w:tl2br w:val="nil"/>
                    <w:tr2bl w:val="nil"/>
                  </w:tcBorders>
                  <w:vAlign w:val="center"/>
                </w:tcPr>
                <w:p w14:paraId="7925C38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报告未测</w:t>
                  </w:r>
                </w:p>
              </w:tc>
              <w:tc>
                <w:tcPr>
                  <w:tcW w:w="2062" w:type="dxa"/>
                  <w:tcBorders>
                    <w:tl2br w:val="nil"/>
                    <w:tr2bl w:val="nil"/>
                  </w:tcBorders>
                  <w:vAlign w:val="center"/>
                </w:tcPr>
                <w:p w14:paraId="0831DF5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088" w:type="dxa"/>
                  <w:tcBorders>
                    <w:tl2br w:val="nil"/>
                    <w:tr2bl w:val="nil"/>
                  </w:tcBorders>
                  <w:vAlign w:val="center"/>
                </w:tcPr>
                <w:p w14:paraId="7400165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069A477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55CB61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05E6B99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c>
                <w:tcPr>
                  <w:tcW w:w="2077" w:type="dxa"/>
                  <w:tcBorders>
                    <w:tl2br w:val="nil"/>
                    <w:tr2bl w:val="nil"/>
                  </w:tcBorders>
                  <w:vAlign w:val="center"/>
                </w:tcPr>
                <w:p w14:paraId="42236BF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氯乙烯</w:t>
                  </w:r>
                </w:p>
              </w:tc>
              <w:tc>
                <w:tcPr>
                  <w:tcW w:w="1638" w:type="dxa"/>
                  <w:tcBorders>
                    <w:tl2br w:val="nil"/>
                    <w:tr2bl w:val="nil"/>
                  </w:tcBorders>
                  <w:vAlign w:val="center"/>
                </w:tcPr>
                <w:p w14:paraId="0272A98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&lt;1.0×10⁻³</w:t>
                  </w:r>
                </w:p>
              </w:tc>
              <w:tc>
                <w:tcPr>
                  <w:tcW w:w="2062" w:type="dxa"/>
                  <w:tcBorders>
                    <w:tl2br w:val="nil"/>
                    <w:tr2bl w:val="nil"/>
                  </w:tcBorders>
                  <w:vAlign w:val="center"/>
                </w:tcPr>
                <w:p w14:paraId="4CAB94A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0.43</w:t>
                  </w:r>
                </w:p>
              </w:tc>
              <w:tc>
                <w:tcPr>
                  <w:tcW w:w="1088" w:type="dxa"/>
                  <w:tcBorders>
                    <w:tl2br w:val="nil"/>
                    <w:tr2bl w:val="nil"/>
                  </w:tcBorders>
                  <w:vAlign w:val="center"/>
                </w:tcPr>
                <w:p w14:paraId="64BE58D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0A29085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0DC4D6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0CCE52A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w:t>
                  </w:r>
                </w:p>
              </w:tc>
              <w:tc>
                <w:tcPr>
                  <w:tcW w:w="2077" w:type="dxa"/>
                  <w:tcBorders>
                    <w:tl2br w:val="nil"/>
                    <w:tr2bl w:val="nil"/>
                  </w:tcBorders>
                  <w:vAlign w:val="center"/>
                </w:tcPr>
                <w:p w14:paraId="5B6A5FD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1，1-二氯乙烯</w:t>
                  </w:r>
                </w:p>
              </w:tc>
              <w:tc>
                <w:tcPr>
                  <w:tcW w:w="1638" w:type="dxa"/>
                  <w:tcBorders>
                    <w:tl2br w:val="nil"/>
                    <w:tr2bl w:val="nil"/>
                  </w:tcBorders>
                  <w:vAlign w:val="center"/>
                </w:tcPr>
                <w:p w14:paraId="397610D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&lt;1.0×10⁻³</w:t>
                  </w:r>
                </w:p>
              </w:tc>
              <w:tc>
                <w:tcPr>
                  <w:tcW w:w="2062" w:type="dxa"/>
                  <w:tcBorders>
                    <w:tl2br w:val="nil"/>
                    <w:tr2bl w:val="nil"/>
                  </w:tcBorders>
                  <w:vAlign w:val="center"/>
                </w:tcPr>
                <w:p w14:paraId="0BCE3B7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66</w:t>
                  </w:r>
                </w:p>
              </w:tc>
              <w:tc>
                <w:tcPr>
                  <w:tcW w:w="1088" w:type="dxa"/>
                  <w:tcBorders>
                    <w:tl2br w:val="nil"/>
                    <w:tr2bl w:val="nil"/>
                  </w:tcBorders>
                  <w:vAlign w:val="center"/>
                </w:tcPr>
                <w:p w14:paraId="3773DBC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30CCBF9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47AA32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14CE075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2077" w:type="dxa"/>
                  <w:tcBorders>
                    <w:tl2br w:val="nil"/>
                    <w:tr2bl w:val="nil"/>
                  </w:tcBorders>
                  <w:vAlign w:val="center"/>
                </w:tcPr>
                <w:p w14:paraId="600548F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二氯甲烷</w:t>
                  </w:r>
                </w:p>
              </w:tc>
              <w:tc>
                <w:tcPr>
                  <w:tcW w:w="1638" w:type="dxa"/>
                  <w:tcBorders>
                    <w:tl2br w:val="nil"/>
                    <w:tr2bl w:val="nil"/>
                  </w:tcBorders>
                  <w:vAlign w:val="center"/>
                </w:tcPr>
                <w:p w14:paraId="098D2AC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&lt;1.5×10⁻³</w:t>
                  </w:r>
                </w:p>
              </w:tc>
              <w:tc>
                <w:tcPr>
                  <w:tcW w:w="2062" w:type="dxa"/>
                  <w:tcBorders>
                    <w:tl2br w:val="nil"/>
                    <w:tr2bl w:val="nil"/>
                  </w:tcBorders>
                  <w:vAlign w:val="center"/>
                </w:tcPr>
                <w:p w14:paraId="1515BA4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616</w:t>
                  </w:r>
                </w:p>
              </w:tc>
              <w:tc>
                <w:tcPr>
                  <w:tcW w:w="1088" w:type="dxa"/>
                  <w:tcBorders>
                    <w:tl2br w:val="nil"/>
                    <w:tr2bl w:val="nil"/>
                  </w:tcBorders>
                  <w:vAlign w:val="center"/>
                </w:tcPr>
                <w:p w14:paraId="596451B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59CB697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2A21E1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41A84CF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w:t>
                  </w:r>
                </w:p>
              </w:tc>
              <w:tc>
                <w:tcPr>
                  <w:tcW w:w="2077" w:type="dxa"/>
                  <w:tcBorders>
                    <w:tl2br w:val="nil"/>
                    <w:tr2bl w:val="nil"/>
                  </w:tcBorders>
                  <w:vAlign w:val="center"/>
                </w:tcPr>
                <w:p w14:paraId="3A299B2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反-1，2-二氯乙烯</w:t>
                  </w:r>
                </w:p>
              </w:tc>
              <w:tc>
                <w:tcPr>
                  <w:tcW w:w="1638" w:type="dxa"/>
                  <w:tcBorders>
                    <w:tl2br w:val="nil"/>
                    <w:tr2bl w:val="nil"/>
                  </w:tcBorders>
                  <w:vAlign w:val="center"/>
                </w:tcPr>
                <w:p w14:paraId="7300EF5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&lt;1.4×10⁻³</w:t>
                  </w:r>
                </w:p>
              </w:tc>
              <w:tc>
                <w:tcPr>
                  <w:tcW w:w="2062" w:type="dxa"/>
                  <w:tcBorders>
                    <w:tl2br w:val="nil"/>
                    <w:tr2bl w:val="nil"/>
                  </w:tcBorders>
                  <w:vAlign w:val="center"/>
                </w:tcPr>
                <w:p w14:paraId="7C7A941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54</w:t>
                  </w:r>
                </w:p>
              </w:tc>
              <w:tc>
                <w:tcPr>
                  <w:tcW w:w="1088" w:type="dxa"/>
                  <w:tcBorders>
                    <w:tl2br w:val="nil"/>
                    <w:tr2bl w:val="nil"/>
                  </w:tcBorders>
                  <w:vAlign w:val="center"/>
                </w:tcPr>
                <w:p w14:paraId="7CF3FF9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16C1F76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0D5725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0ED5694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w:t>
                  </w:r>
                </w:p>
              </w:tc>
              <w:tc>
                <w:tcPr>
                  <w:tcW w:w="2077" w:type="dxa"/>
                  <w:tcBorders>
                    <w:tl2br w:val="nil"/>
                    <w:tr2bl w:val="nil"/>
                  </w:tcBorders>
                  <w:vAlign w:val="center"/>
                </w:tcPr>
                <w:p w14:paraId="48A9969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1，1-二氯乙烷</w:t>
                  </w:r>
                </w:p>
              </w:tc>
              <w:tc>
                <w:tcPr>
                  <w:tcW w:w="1638" w:type="dxa"/>
                  <w:tcBorders>
                    <w:tl2br w:val="nil"/>
                    <w:tr2bl w:val="nil"/>
                  </w:tcBorders>
                  <w:vAlign w:val="center"/>
                </w:tcPr>
                <w:p w14:paraId="16A8D0B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45C39C2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9</w:t>
                  </w:r>
                </w:p>
              </w:tc>
              <w:tc>
                <w:tcPr>
                  <w:tcW w:w="1088" w:type="dxa"/>
                  <w:tcBorders>
                    <w:tl2br w:val="nil"/>
                    <w:tr2bl w:val="nil"/>
                  </w:tcBorders>
                  <w:vAlign w:val="center"/>
                </w:tcPr>
                <w:p w14:paraId="592D6BC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5E4C41D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791529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6C75E4F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w:t>
                  </w:r>
                </w:p>
              </w:tc>
              <w:tc>
                <w:tcPr>
                  <w:tcW w:w="2077" w:type="dxa"/>
                  <w:tcBorders>
                    <w:tl2br w:val="nil"/>
                    <w:tr2bl w:val="nil"/>
                  </w:tcBorders>
                  <w:vAlign w:val="center"/>
                </w:tcPr>
                <w:p w14:paraId="6B32E4A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顺-1，2-二氯乙烯</w:t>
                  </w:r>
                </w:p>
              </w:tc>
              <w:tc>
                <w:tcPr>
                  <w:tcW w:w="1638" w:type="dxa"/>
                  <w:tcBorders>
                    <w:tl2br w:val="nil"/>
                    <w:tr2bl w:val="nil"/>
                  </w:tcBorders>
                  <w:vAlign w:val="center"/>
                </w:tcPr>
                <w:p w14:paraId="413AB85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&lt;1.3×10⁻³</w:t>
                  </w:r>
                </w:p>
              </w:tc>
              <w:tc>
                <w:tcPr>
                  <w:tcW w:w="2062" w:type="dxa"/>
                  <w:tcBorders>
                    <w:tl2br w:val="nil"/>
                    <w:tr2bl w:val="nil"/>
                  </w:tcBorders>
                  <w:vAlign w:val="center"/>
                </w:tcPr>
                <w:p w14:paraId="60D627A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596</w:t>
                  </w:r>
                </w:p>
              </w:tc>
              <w:tc>
                <w:tcPr>
                  <w:tcW w:w="1088" w:type="dxa"/>
                  <w:tcBorders>
                    <w:tl2br w:val="nil"/>
                    <w:tr2bl w:val="nil"/>
                  </w:tcBorders>
                  <w:vAlign w:val="center"/>
                </w:tcPr>
                <w:p w14:paraId="2B75F00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6E4CA76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6CEA8A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01AF852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9</w:t>
                  </w:r>
                </w:p>
              </w:tc>
              <w:tc>
                <w:tcPr>
                  <w:tcW w:w="2077" w:type="dxa"/>
                  <w:tcBorders>
                    <w:tl2br w:val="nil"/>
                    <w:tr2bl w:val="nil"/>
                  </w:tcBorders>
                  <w:vAlign w:val="center"/>
                </w:tcPr>
                <w:p w14:paraId="56724EF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氯仿</w:t>
                  </w:r>
                </w:p>
              </w:tc>
              <w:tc>
                <w:tcPr>
                  <w:tcW w:w="1638" w:type="dxa"/>
                  <w:tcBorders>
                    <w:tl2br w:val="nil"/>
                    <w:tr2bl w:val="nil"/>
                  </w:tcBorders>
                  <w:vAlign w:val="center"/>
                </w:tcPr>
                <w:p w14:paraId="17DFA7E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&lt;1.1×10⁻³</w:t>
                  </w:r>
                </w:p>
              </w:tc>
              <w:tc>
                <w:tcPr>
                  <w:tcW w:w="2062" w:type="dxa"/>
                  <w:tcBorders>
                    <w:tl2br w:val="nil"/>
                    <w:tr2bl w:val="nil"/>
                  </w:tcBorders>
                  <w:vAlign w:val="center"/>
                </w:tcPr>
                <w:p w14:paraId="7B5D9C5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0.9</w:t>
                  </w:r>
                </w:p>
              </w:tc>
              <w:tc>
                <w:tcPr>
                  <w:tcW w:w="1088" w:type="dxa"/>
                  <w:tcBorders>
                    <w:tl2br w:val="nil"/>
                    <w:tr2bl w:val="nil"/>
                  </w:tcBorders>
                  <w:vAlign w:val="center"/>
                </w:tcPr>
                <w:p w14:paraId="2C44070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3BE8BA5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571A5C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261698A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w:t>
                  </w:r>
                </w:p>
              </w:tc>
              <w:tc>
                <w:tcPr>
                  <w:tcW w:w="2077" w:type="dxa"/>
                  <w:tcBorders>
                    <w:tl2br w:val="nil"/>
                    <w:tr2bl w:val="nil"/>
                  </w:tcBorders>
                  <w:vAlign w:val="center"/>
                </w:tcPr>
                <w:p w14:paraId="221A8D3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1，1，1-三氯乙烷</w:t>
                  </w:r>
                </w:p>
              </w:tc>
              <w:tc>
                <w:tcPr>
                  <w:tcW w:w="1638" w:type="dxa"/>
                  <w:tcBorders>
                    <w:tl2br w:val="nil"/>
                    <w:tr2bl w:val="nil"/>
                  </w:tcBorders>
                  <w:vAlign w:val="center"/>
                </w:tcPr>
                <w:p w14:paraId="2765171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&lt;1.3×10⁻³</w:t>
                  </w:r>
                </w:p>
              </w:tc>
              <w:tc>
                <w:tcPr>
                  <w:tcW w:w="2062" w:type="dxa"/>
                  <w:tcBorders>
                    <w:tl2br w:val="nil"/>
                    <w:tr2bl w:val="nil"/>
                  </w:tcBorders>
                  <w:vAlign w:val="center"/>
                </w:tcPr>
                <w:p w14:paraId="6F0BC32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840</w:t>
                  </w:r>
                </w:p>
              </w:tc>
              <w:tc>
                <w:tcPr>
                  <w:tcW w:w="1088" w:type="dxa"/>
                  <w:tcBorders>
                    <w:tl2br w:val="nil"/>
                    <w:tr2bl w:val="nil"/>
                  </w:tcBorders>
                  <w:vAlign w:val="center"/>
                </w:tcPr>
                <w:p w14:paraId="71A61C3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723B88A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3825F4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1CFB0B1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11</w:t>
                  </w:r>
                </w:p>
              </w:tc>
              <w:tc>
                <w:tcPr>
                  <w:tcW w:w="2077" w:type="dxa"/>
                  <w:tcBorders>
                    <w:tl2br w:val="nil"/>
                    <w:tr2bl w:val="nil"/>
                  </w:tcBorders>
                  <w:vAlign w:val="center"/>
                </w:tcPr>
                <w:p w14:paraId="433EAFF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四氯化碳</w:t>
                  </w:r>
                </w:p>
              </w:tc>
              <w:tc>
                <w:tcPr>
                  <w:tcW w:w="1638" w:type="dxa"/>
                  <w:tcBorders>
                    <w:tl2br w:val="nil"/>
                    <w:tr2bl w:val="nil"/>
                  </w:tcBorders>
                  <w:vAlign w:val="center"/>
                </w:tcPr>
                <w:p w14:paraId="6CB8F6C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&lt;1.3×10⁻³</w:t>
                  </w:r>
                </w:p>
              </w:tc>
              <w:tc>
                <w:tcPr>
                  <w:tcW w:w="2062" w:type="dxa"/>
                  <w:tcBorders>
                    <w:tl2br w:val="nil"/>
                    <w:tr2bl w:val="nil"/>
                  </w:tcBorders>
                  <w:vAlign w:val="center"/>
                </w:tcPr>
                <w:p w14:paraId="0093E53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2.8</w:t>
                  </w:r>
                </w:p>
              </w:tc>
              <w:tc>
                <w:tcPr>
                  <w:tcW w:w="1088" w:type="dxa"/>
                  <w:tcBorders>
                    <w:tl2br w:val="nil"/>
                    <w:tr2bl w:val="nil"/>
                  </w:tcBorders>
                  <w:vAlign w:val="center"/>
                </w:tcPr>
                <w:p w14:paraId="1B12316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7DC370B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0D80C3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447E6FD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w:t>
                  </w:r>
                </w:p>
              </w:tc>
              <w:tc>
                <w:tcPr>
                  <w:tcW w:w="2077" w:type="dxa"/>
                  <w:tcBorders>
                    <w:tl2br w:val="nil"/>
                    <w:tr2bl w:val="nil"/>
                  </w:tcBorders>
                  <w:vAlign w:val="center"/>
                </w:tcPr>
                <w:p w14:paraId="42904F4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1，2-二氯乙烷</w:t>
                  </w:r>
                </w:p>
              </w:tc>
              <w:tc>
                <w:tcPr>
                  <w:tcW w:w="1638" w:type="dxa"/>
                  <w:tcBorders>
                    <w:tl2br w:val="nil"/>
                    <w:tr2bl w:val="nil"/>
                  </w:tcBorders>
                  <w:vAlign w:val="center"/>
                </w:tcPr>
                <w:p w14:paraId="72651B5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&lt;1.3×10⁻³</w:t>
                  </w:r>
                </w:p>
              </w:tc>
              <w:tc>
                <w:tcPr>
                  <w:tcW w:w="2062" w:type="dxa"/>
                  <w:tcBorders>
                    <w:tl2br w:val="nil"/>
                    <w:tr2bl w:val="nil"/>
                  </w:tcBorders>
                  <w:vAlign w:val="center"/>
                </w:tcPr>
                <w:p w14:paraId="03A1B19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1088" w:type="dxa"/>
                  <w:tcBorders>
                    <w:tl2br w:val="nil"/>
                    <w:tr2bl w:val="nil"/>
                  </w:tcBorders>
                  <w:vAlign w:val="center"/>
                </w:tcPr>
                <w:p w14:paraId="1B80C41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67899E9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1CEA4E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1034FE3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13</w:t>
                  </w:r>
                </w:p>
              </w:tc>
              <w:tc>
                <w:tcPr>
                  <w:tcW w:w="2077" w:type="dxa"/>
                  <w:tcBorders>
                    <w:tl2br w:val="nil"/>
                    <w:tr2bl w:val="nil"/>
                  </w:tcBorders>
                  <w:vAlign w:val="center"/>
                </w:tcPr>
                <w:p w14:paraId="5B32853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苯</w:t>
                  </w:r>
                </w:p>
              </w:tc>
              <w:tc>
                <w:tcPr>
                  <w:tcW w:w="1638" w:type="dxa"/>
                  <w:tcBorders>
                    <w:tl2br w:val="nil"/>
                    <w:tr2bl w:val="nil"/>
                  </w:tcBorders>
                  <w:vAlign w:val="center"/>
                </w:tcPr>
                <w:p w14:paraId="28A0F6C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&lt;1.9×10⁻³</w:t>
                  </w:r>
                </w:p>
              </w:tc>
              <w:tc>
                <w:tcPr>
                  <w:tcW w:w="2062" w:type="dxa"/>
                  <w:tcBorders>
                    <w:tl2br w:val="nil"/>
                    <w:tr2bl w:val="nil"/>
                  </w:tcBorders>
                  <w:vAlign w:val="center"/>
                </w:tcPr>
                <w:p w14:paraId="43B7D2F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w:t>
                  </w:r>
                </w:p>
              </w:tc>
              <w:tc>
                <w:tcPr>
                  <w:tcW w:w="1088" w:type="dxa"/>
                  <w:tcBorders>
                    <w:tl2br w:val="nil"/>
                    <w:tr2bl w:val="nil"/>
                  </w:tcBorders>
                  <w:vAlign w:val="center"/>
                </w:tcPr>
                <w:p w14:paraId="442D437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594373B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12C86D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00B5712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14</w:t>
                  </w:r>
                </w:p>
              </w:tc>
              <w:tc>
                <w:tcPr>
                  <w:tcW w:w="2077" w:type="dxa"/>
                  <w:tcBorders>
                    <w:tl2br w:val="nil"/>
                    <w:tr2bl w:val="nil"/>
                  </w:tcBorders>
                  <w:vAlign w:val="center"/>
                </w:tcPr>
                <w:p w14:paraId="300DABC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三氯乙烯</w:t>
                  </w:r>
                </w:p>
              </w:tc>
              <w:tc>
                <w:tcPr>
                  <w:tcW w:w="1638" w:type="dxa"/>
                  <w:tcBorders>
                    <w:tl2br w:val="nil"/>
                    <w:tr2bl w:val="nil"/>
                  </w:tcBorders>
                  <w:vAlign w:val="center"/>
                </w:tcPr>
                <w:p w14:paraId="2E88C18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50A8762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2.8</w:t>
                  </w:r>
                </w:p>
              </w:tc>
              <w:tc>
                <w:tcPr>
                  <w:tcW w:w="1088" w:type="dxa"/>
                  <w:tcBorders>
                    <w:tl2br w:val="nil"/>
                    <w:tr2bl w:val="nil"/>
                  </w:tcBorders>
                  <w:vAlign w:val="center"/>
                </w:tcPr>
                <w:p w14:paraId="1F1BC4A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3880401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5727E3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03AA076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2077" w:type="dxa"/>
                  <w:tcBorders>
                    <w:tl2br w:val="nil"/>
                    <w:tr2bl w:val="nil"/>
                  </w:tcBorders>
                  <w:vAlign w:val="center"/>
                </w:tcPr>
                <w:p w14:paraId="178B543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1，2-二氯丙烷</w:t>
                  </w:r>
                </w:p>
              </w:tc>
              <w:tc>
                <w:tcPr>
                  <w:tcW w:w="1638" w:type="dxa"/>
                  <w:tcBorders>
                    <w:tl2br w:val="nil"/>
                    <w:tr2bl w:val="nil"/>
                  </w:tcBorders>
                  <w:vAlign w:val="center"/>
                </w:tcPr>
                <w:p w14:paraId="2BB9D16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&lt;1.1×10⁻³</w:t>
                  </w:r>
                </w:p>
              </w:tc>
              <w:tc>
                <w:tcPr>
                  <w:tcW w:w="2062" w:type="dxa"/>
                  <w:tcBorders>
                    <w:tl2br w:val="nil"/>
                    <w:tr2bl w:val="nil"/>
                  </w:tcBorders>
                  <w:vAlign w:val="center"/>
                </w:tcPr>
                <w:p w14:paraId="0C4B5EF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1088" w:type="dxa"/>
                  <w:tcBorders>
                    <w:tl2br w:val="nil"/>
                    <w:tr2bl w:val="nil"/>
                  </w:tcBorders>
                  <w:vAlign w:val="center"/>
                </w:tcPr>
                <w:p w14:paraId="7265165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1461AD8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6C24AD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10FD2F4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16</w:t>
                  </w:r>
                </w:p>
              </w:tc>
              <w:tc>
                <w:tcPr>
                  <w:tcW w:w="2077" w:type="dxa"/>
                  <w:tcBorders>
                    <w:tl2br w:val="nil"/>
                    <w:tr2bl w:val="nil"/>
                  </w:tcBorders>
                  <w:vAlign w:val="center"/>
                </w:tcPr>
                <w:p w14:paraId="158DDFC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甲苯</w:t>
                  </w:r>
                </w:p>
              </w:tc>
              <w:tc>
                <w:tcPr>
                  <w:tcW w:w="1638" w:type="dxa"/>
                  <w:tcBorders>
                    <w:tl2br w:val="nil"/>
                    <w:tr2bl w:val="nil"/>
                  </w:tcBorders>
                  <w:vAlign w:val="center"/>
                </w:tcPr>
                <w:p w14:paraId="6C6AF2C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&lt;1.3×10⁻³</w:t>
                  </w:r>
                </w:p>
              </w:tc>
              <w:tc>
                <w:tcPr>
                  <w:tcW w:w="2062" w:type="dxa"/>
                  <w:tcBorders>
                    <w:tl2br w:val="nil"/>
                    <w:tr2bl w:val="nil"/>
                  </w:tcBorders>
                  <w:vAlign w:val="center"/>
                </w:tcPr>
                <w:p w14:paraId="7AAB57E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1200</w:t>
                  </w:r>
                </w:p>
              </w:tc>
              <w:tc>
                <w:tcPr>
                  <w:tcW w:w="1088" w:type="dxa"/>
                  <w:tcBorders>
                    <w:tl2br w:val="nil"/>
                    <w:tr2bl w:val="nil"/>
                  </w:tcBorders>
                  <w:vAlign w:val="center"/>
                </w:tcPr>
                <w:p w14:paraId="04A6268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79C495E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0A464F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42D6437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17</w:t>
                  </w:r>
                </w:p>
              </w:tc>
              <w:tc>
                <w:tcPr>
                  <w:tcW w:w="2077" w:type="dxa"/>
                  <w:tcBorders>
                    <w:tl2br w:val="nil"/>
                    <w:tr2bl w:val="nil"/>
                  </w:tcBorders>
                  <w:vAlign w:val="center"/>
                </w:tcPr>
                <w:p w14:paraId="403AC02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1，1，2-三氯乙烷</w:t>
                  </w:r>
                </w:p>
              </w:tc>
              <w:tc>
                <w:tcPr>
                  <w:tcW w:w="1638" w:type="dxa"/>
                  <w:tcBorders>
                    <w:tl2br w:val="nil"/>
                    <w:tr2bl w:val="nil"/>
                  </w:tcBorders>
                  <w:vAlign w:val="center"/>
                </w:tcPr>
                <w:p w14:paraId="12B7929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4FC70A7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2.8</w:t>
                  </w:r>
                </w:p>
              </w:tc>
              <w:tc>
                <w:tcPr>
                  <w:tcW w:w="1088" w:type="dxa"/>
                  <w:tcBorders>
                    <w:tl2br w:val="nil"/>
                    <w:tr2bl w:val="nil"/>
                  </w:tcBorders>
                  <w:vAlign w:val="center"/>
                </w:tcPr>
                <w:p w14:paraId="1ED856D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0985CE8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378AB0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5C12E0A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18</w:t>
                  </w:r>
                </w:p>
              </w:tc>
              <w:tc>
                <w:tcPr>
                  <w:tcW w:w="2077" w:type="dxa"/>
                  <w:tcBorders>
                    <w:tl2br w:val="nil"/>
                    <w:tr2bl w:val="nil"/>
                  </w:tcBorders>
                  <w:vAlign w:val="center"/>
                </w:tcPr>
                <w:p w14:paraId="3F3F93B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四氯乙烯</w:t>
                  </w:r>
                </w:p>
              </w:tc>
              <w:tc>
                <w:tcPr>
                  <w:tcW w:w="1638" w:type="dxa"/>
                  <w:tcBorders>
                    <w:tl2br w:val="nil"/>
                    <w:tr2bl w:val="nil"/>
                  </w:tcBorders>
                  <w:vAlign w:val="center"/>
                </w:tcPr>
                <w:p w14:paraId="58256C1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&lt;1.4×10⁻³</w:t>
                  </w:r>
                </w:p>
              </w:tc>
              <w:tc>
                <w:tcPr>
                  <w:tcW w:w="2062" w:type="dxa"/>
                  <w:tcBorders>
                    <w:tl2br w:val="nil"/>
                    <w:tr2bl w:val="nil"/>
                  </w:tcBorders>
                  <w:vAlign w:val="center"/>
                </w:tcPr>
                <w:p w14:paraId="7C231C4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53</w:t>
                  </w:r>
                </w:p>
              </w:tc>
              <w:tc>
                <w:tcPr>
                  <w:tcW w:w="1088" w:type="dxa"/>
                  <w:tcBorders>
                    <w:tl2br w:val="nil"/>
                    <w:tr2bl w:val="nil"/>
                  </w:tcBorders>
                  <w:vAlign w:val="center"/>
                </w:tcPr>
                <w:p w14:paraId="1D56B4C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61718C0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4CD26A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0EE52C4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19</w:t>
                  </w:r>
                </w:p>
              </w:tc>
              <w:tc>
                <w:tcPr>
                  <w:tcW w:w="2077" w:type="dxa"/>
                  <w:tcBorders>
                    <w:tl2br w:val="nil"/>
                    <w:tr2bl w:val="nil"/>
                  </w:tcBorders>
                  <w:vAlign w:val="center"/>
                </w:tcPr>
                <w:p w14:paraId="5BF32E5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氯苯</w:t>
                  </w:r>
                </w:p>
              </w:tc>
              <w:tc>
                <w:tcPr>
                  <w:tcW w:w="1638" w:type="dxa"/>
                  <w:tcBorders>
                    <w:tl2br w:val="nil"/>
                    <w:tr2bl w:val="nil"/>
                  </w:tcBorders>
                  <w:vAlign w:val="center"/>
                </w:tcPr>
                <w:p w14:paraId="3EF1FAB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67C1972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270</w:t>
                  </w:r>
                </w:p>
              </w:tc>
              <w:tc>
                <w:tcPr>
                  <w:tcW w:w="1088" w:type="dxa"/>
                  <w:tcBorders>
                    <w:tl2br w:val="nil"/>
                    <w:tr2bl w:val="nil"/>
                  </w:tcBorders>
                  <w:vAlign w:val="center"/>
                </w:tcPr>
                <w:p w14:paraId="1553A22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396809B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42D677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1BE6B5B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w:t>
                  </w:r>
                </w:p>
              </w:tc>
              <w:tc>
                <w:tcPr>
                  <w:tcW w:w="2077" w:type="dxa"/>
                  <w:tcBorders>
                    <w:tl2br w:val="nil"/>
                    <w:tr2bl w:val="nil"/>
                  </w:tcBorders>
                  <w:vAlign w:val="center"/>
                </w:tcPr>
                <w:p w14:paraId="06D0642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1，1，1，2-四氯乙烷</w:t>
                  </w:r>
                </w:p>
              </w:tc>
              <w:tc>
                <w:tcPr>
                  <w:tcW w:w="1638" w:type="dxa"/>
                  <w:tcBorders>
                    <w:tl2br w:val="nil"/>
                    <w:tr2bl w:val="nil"/>
                  </w:tcBorders>
                  <w:vAlign w:val="center"/>
                </w:tcPr>
                <w:p w14:paraId="125CB5F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74CF0CF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w:t>
                  </w:r>
                </w:p>
              </w:tc>
              <w:tc>
                <w:tcPr>
                  <w:tcW w:w="1088" w:type="dxa"/>
                  <w:tcBorders>
                    <w:tl2br w:val="nil"/>
                    <w:tr2bl w:val="nil"/>
                  </w:tcBorders>
                  <w:vAlign w:val="center"/>
                </w:tcPr>
                <w:p w14:paraId="6ED74A6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1665E7A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617A5B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7C0CA37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21</w:t>
                  </w:r>
                </w:p>
              </w:tc>
              <w:tc>
                <w:tcPr>
                  <w:tcW w:w="2077" w:type="dxa"/>
                  <w:tcBorders>
                    <w:tl2br w:val="nil"/>
                    <w:tr2bl w:val="nil"/>
                  </w:tcBorders>
                  <w:vAlign w:val="center"/>
                </w:tcPr>
                <w:p w14:paraId="2E14576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乙苯</w:t>
                  </w:r>
                </w:p>
              </w:tc>
              <w:tc>
                <w:tcPr>
                  <w:tcW w:w="1638" w:type="dxa"/>
                  <w:tcBorders>
                    <w:tl2br w:val="nil"/>
                    <w:tr2bl w:val="nil"/>
                  </w:tcBorders>
                  <w:vAlign w:val="center"/>
                </w:tcPr>
                <w:p w14:paraId="5A35F6F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78E20DF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28</w:t>
                  </w:r>
                </w:p>
              </w:tc>
              <w:tc>
                <w:tcPr>
                  <w:tcW w:w="1088" w:type="dxa"/>
                  <w:tcBorders>
                    <w:tl2br w:val="nil"/>
                    <w:tr2bl w:val="nil"/>
                  </w:tcBorders>
                  <w:vAlign w:val="center"/>
                </w:tcPr>
                <w:p w14:paraId="5A07A44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163B4C7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51D6B0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2C0B406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22</w:t>
                  </w:r>
                </w:p>
              </w:tc>
              <w:tc>
                <w:tcPr>
                  <w:tcW w:w="2077" w:type="dxa"/>
                  <w:tcBorders>
                    <w:tl2br w:val="nil"/>
                    <w:tr2bl w:val="nil"/>
                  </w:tcBorders>
                  <w:vAlign w:val="center"/>
                </w:tcPr>
                <w:p w14:paraId="7E92C42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间，对-二甲苯</w:t>
                  </w:r>
                </w:p>
              </w:tc>
              <w:tc>
                <w:tcPr>
                  <w:tcW w:w="1638" w:type="dxa"/>
                  <w:tcBorders>
                    <w:tl2br w:val="nil"/>
                    <w:tr2bl w:val="nil"/>
                  </w:tcBorders>
                  <w:vAlign w:val="center"/>
                </w:tcPr>
                <w:p w14:paraId="1F410FC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6A62BBD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570</w:t>
                  </w:r>
                </w:p>
              </w:tc>
              <w:tc>
                <w:tcPr>
                  <w:tcW w:w="1088" w:type="dxa"/>
                  <w:tcBorders>
                    <w:tl2br w:val="nil"/>
                    <w:tr2bl w:val="nil"/>
                  </w:tcBorders>
                  <w:vAlign w:val="center"/>
                </w:tcPr>
                <w:p w14:paraId="5AAD413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362455D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4C6C08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3C34936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23</w:t>
                  </w:r>
                </w:p>
              </w:tc>
              <w:tc>
                <w:tcPr>
                  <w:tcW w:w="2077" w:type="dxa"/>
                  <w:tcBorders>
                    <w:tl2br w:val="nil"/>
                    <w:tr2bl w:val="nil"/>
                  </w:tcBorders>
                  <w:vAlign w:val="center"/>
                </w:tcPr>
                <w:p w14:paraId="76E84AE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邻-二甲苯</w:t>
                  </w:r>
                </w:p>
              </w:tc>
              <w:tc>
                <w:tcPr>
                  <w:tcW w:w="1638" w:type="dxa"/>
                  <w:tcBorders>
                    <w:tl2br w:val="nil"/>
                    <w:tr2bl w:val="nil"/>
                  </w:tcBorders>
                  <w:vAlign w:val="center"/>
                </w:tcPr>
                <w:p w14:paraId="30D49C4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201C5CA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640</w:t>
                  </w:r>
                </w:p>
              </w:tc>
              <w:tc>
                <w:tcPr>
                  <w:tcW w:w="1088" w:type="dxa"/>
                  <w:tcBorders>
                    <w:tl2br w:val="nil"/>
                    <w:tr2bl w:val="nil"/>
                  </w:tcBorders>
                  <w:vAlign w:val="center"/>
                </w:tcPr>
                <w:p w14:paraId="1F0ED84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1DF30C3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2961E0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0DC8A70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24</w:t>
                  </w:r>
                </w:p>
              </w:tc>
              <w:tc>
                <w:tcPr>
                  <w:tcW w:w="2077" w:type="dxa"/>
                  <w:tcBorders>
                    <w:tl2br w:val="nil"/>
                    <w:tr2bl w:val="nil"/>
                  </w:tcBorders>
                  <w:vAlign w:val="center"/>
                </w:tcPr>
                <w:p w14:paraId="2F4E99E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苯乙烯</w:t>
                  </w:r>
                </w:p>
              </w:tc>
              <w:tc>
                <w:tcPr>
                  <w:tcW w:w="1638" w:type="dxa"/>
                  <w:tcBorders>
                    <w:tl2br w:val="nil"/>
                    <w:tr2bl w:val="nil"/>
                  </w:tcBorders>
                  <w:vAlign w:val="center"/>
                </w:tcPr>
                <w:p w14:paraId="505F46A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&lt;1.1×10⁻³</w:t>
                  </w:r>
                </w:p>
              </w:tc>
              <w:tc>
                <w:tcPr>
                  <w:tcW w:w="2062" w:type="dxa"/>
                  <w:tcBorders>
                    <w:tl2br w:val="nil"/>
                    <w:tr2bl w:val="nil"/>
                  </w:tcBorders>
                  <w:vAlign w:val="center"/>
                </w:tcPr>
                <w:p w14:paraId="19A9120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1290</w:t>
                  </w:r>
                </w:p>
              </w:tc>
              <w:tc>
                <w:tcPr>
                  <w:tcW w:w="1088" w:type="dxa"/>
                  <w:tcBorders>
                    <w:tl2br w:val="nil"/>
                    <w:tr2bl w:val="nil"/>
                  </w:tcBorders>
                  <w:vAlign w:val="center"/>
                </w:tcPr>
                <w:p w14:paraId="4FEE606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5991EA3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059899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2A8239C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25</w:t>
                  </w:r>
                </w:p>
              </w:tc>
              <w:tc>
                <w:tcPr>
                  <w:tcW w:w="2077" w:type="dxa"/>
                  <w:tcBorders>
                    <w:tl2br w:val="nil"/>
                    <w:tr2bl w:val="nil"/>
                  </w:tcBorders>
                  <w:vAlign w:val="center"/>
                </w:tcPr>
                <w:p w14:paraId="430EAA2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1，1，2，2-四氯乙烷</w:t>
                  </w:r>
                </w:p>
              </w:tc>
              <w:tc>
                <w:tcPr>
                  <w:tcW w:w="1638" w:type="dxa"/>
                  <w:tcBorders>
                    <w:tl2br w:val="nil"/>
                    <w:tr2bl w:val="nil"/>
                  </w:tcBorders>
                  <w:vAlign w:val="center"/>
                </w:tcPr>
                <w:p w14:paraId="5681FDD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35758F7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6.8</w:t>
                  </w:r>
                </w:p>
              </w:tc>
              <w:tc>
                <w:tcPr>
                  <w:tcW w:w="1088" w:type="dxa"/>
                  <w:tcBorders>
                    <w:tl2br w:val="nil"/>
                    <w:tr2bl w:val="nil"/>
                  </w:tcBorders>
                  <w:vAlign w:val="center"/>
                </w:tcPr>
                <w:p w14:paraId="0026F2A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3478F87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3C629D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409E502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26</w:t>
                  </w:r>
                </w:p>
              </w:tc>
              <w:tc>
                <w:tcPr>
                  <w:tcW w:w="2077" w:type="dxa"/>
                  <w:tcBorders>
                    <w:tl2br w:val="nil"/>
                    <w:tr2bl w:val="nil"/>
                  </w:tcBorders>
                  <w:vAlign w:val="center"/>
                </w:tcPr>
                <w:p w14:paraId="7A36F2E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1，2，3-三氯丙烷</w:t>
                  </w:r>
                </w:p>
              </w:tc>
              <w:tc>
                <w:tcPr>
                  <w:tcW w:w="1638" w:type="dxa"/>
                  <w:tcBorders>
                    <w:tl2br w:val="nil"/>
                    <w:tr2bl w:val="nil"/>
                  </w:tcBorders>
                  <w:vAlign w:val="center"/>
                </w:tcPr>
                <w:p w14:paraId="489FB0E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&lt;1.2×10⁻³</w:t>
                  </w:r>
                </w:p>
              </w:tc>
              <w:tc>
                <w:tcPr>
                  <w:tcW w:w="2062" w:type="dxa"/>
                  <w:tcBorders>
                    <w:tl2br w:val="nil"/>
                    <w:tr2bl w:val="nil"/>
                  </w:tcBorders>
                  <w:vAlign w:val="center"/>
                </w:tcPr>
                <w:p w14:paraId="49632EC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0.5</w:t>
                  </w:r>
                </w:p>
              </w:tc>
              <w:tc>
                <w:tcPr>
                  <w:tcW w:w="1088" w:type="dxa"/>
                  <w:tcBorders>
                    <w:tl2br w:val="nil"/>
                    <w:tr2bl w:val="nil"/>
                  </w:tcBorders>
                  <w:vAlign w:val="center"/>
                </w:tcPr>
                <w:p w14:paraId="4D593EC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1214D7A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6DDBB5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3B31A5F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27</w:t>
                  </w:r>
                </w:p>
              </w:tc>
              <w:tc>
                <w:tcPr>
                  <w:tcW w:w="2077" w:type="dxa"/>
                  <w:tcBorders>
                    <w:tl2br w:val="nil"/>
                    <w:tr2bl w:val="nil"/>
                  </w:tcBorders>
                  <w:vAlign w:val="center"/>
                </w:tcPr>
                <w:p w14:paraId="4921A42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1，4-二氯苯</w:t>
                  </w:r>
                </w:p>
              </w:tc>
              <w:tc>
                <w:tcPr>
                  <w:tcW w:w="1638" w:type="dxa"/>
                  <w:tcBorders>
                    <w:tl2br w:val="nil"/>
                    <w:tr2bl w:val="nil"/>
                  </w:tcBorders>
                  <w:vAlign w:val="center"/>
                </w:tcPr>
                <w:p w14:paraId="2F44661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&lt;1.5×10⁻³</w:t>
                  </w:r>
                </w:p>
              </w:tc>
              <w:tc>
                <w:tcPr>
                  <w:tcW w:w="2062" w:type="dxa"/>
                  <w:tcBorders>
                    <w:tl2br w:val="nil"/>
                    <w:tr2bl w:val="nil"/>
                  </w:tcBorders>
                  <w:vAlign w:val="center"/>
                </w:tcPr>
                <w:p w14:paraId="5D98C96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w:t>
                  </w:r>
                </w:p>
              </w:tc>
              <w:tc>
                <w:tcPr>
                  <w:tcW w:w="1088" w:type="dxa"/>
                  <w:tcBorders>
                    <w:tl2br w:val="nil"/>
                    <w:tr2bl w:val="nil"/>
                  </w:tcBorders>
                  <w:vAlign w:val="center"/>
                </w:tcPr>
                <w:p w14:paraId="02AA642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18B3709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345DEB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717963F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28</w:t>
                  </w:r>
                </w:p>
              </w:tc>
              <w:tc>
                <w:tcPr>
                  <w:tcW w:w="2077" w:type="dxa"/>
                  <w:tcBorders>
                    <w:tl2br w:val="nil"/>
                    <w:tr2bl w:val="nil"/>
                  </w:tcBorders>
                  <w:vAlign w:val="center"/>
                </w:tcPr>
                <w:p w14:paraId="4346120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1，2-二氯苯</w:t>
                  </w:r>
                </w:p>
              </w:tc>
              <w:tc>
                <w:tcPr>
                  <w:tcW w:w="1638" w:type="dxa"/>
                  <w:tcBorders>
                    <w:tl2br w:val="nil"/>
                    <w:tr2bl w:val="nil"/>
                  </w:tcBorders>
                  <w:vAlign w:val="center"/>
                </w:tcPr>
                <w:p w14:paraId="60FE980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&lt;1.5×10⁻³</w:t>
                  </w:r>
                </w:p>
              </w:tc>
              <w:tc>
                <w:tcPr>
                  <w:tcW w:w="2062" w:type="dxa"/>
                  <w:tcBorders>
                    <w:tl2br w:val="nil"/>
                    <w:tr2bl w:val="nil"/>
                  </w:tcBorders>
                  <w:vAlign w:val="center"/>
                </w:tcPr>
                <w:p w14:paraId="0191B77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560</w:t>
                  </w:r>
                </w:p>
              </w:tc>
              <w:tc>
                <w:tcPr>
                  <w:tcW w:w="1088" w:type="dxa"/>
                  <w:tcBorders>
                    <w:tl2br w:val="nil"/>
                    <w:tr2bl w:val="nil"/>
                  </w:tcBorders>
                  <w:vAlign w:val="center"/>
                </w:tcPr>
                <w:p w14:paraId="0ED634C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7ACCF82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5DE310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2081D1A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29</w:t>
                  </w:r>
                </w:p>
              </w:tc>
              <w:tc>
                <w:tcPr>
                  <w:tcW w:w="2077" w:type="dxa"/>
                  <w:tcBorders>
                    <w:tl2br w:val="nil"/>
                    <w:tr2bl w:val="nil"/>
                  </w:tcBorders>
                  <w:vAlign w:val="center"/>
                </w:tcPr>
                <w:p w14:paraId="4600A8C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氯甲烷</w:t>
                  </w:r>
                </w:p>
              </w:tc>
              <w:tc>
                <w:tcPr>
                  <w:tcW w:w="1638" w:type="dxa"/>
                  <w:tcBorders>
                    <w:tl2br w:val="nil"/>
                    <w:tr2bl w:val="nil"/>
                  </w:tcBorders>
                  <w:vAlign w:val="center"/>
                </w:tcPr>
                <w:p w14:paraId="00D253D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&lt;1.0×10⁻³</w:t>
                  </w:r>
                </w:p>
              </w:tc>
              <w:tc>
                <w:tcPr>
                  <w:tcW w:w="2062" w:type="dxa"/>
                  <w:tcBorders>
                    <w:tl2br w:val="nil"/>
                    <w:tr2bl w:val="nil"/>
                  </w:tcBorders>
                  <w:vAlign w:val="center"/>
                </w:tcPr>
                <w:p w14:paraId="5ABB753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37</w:t>
                  </w:r>
                </w:p>
              </w:tc>
              <w:tc>
                <w:tcPr>
                  <w:tcW w:w="1088" w:type="dxa"/>
                  <w:tcBorders>
                    <w:tl2br w:val="nil"/>
                    <w:tr2bl w:val="nil"/>
                  </w:tcBorders>
                  <w:vAlign w:val="center"/>
                </w:tcPr>
                <w:p w14:paraId="5CE5BCA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5F74976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63EBCE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6846E8D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30</w:t>
                  </w:r>
                </w:p>
              </w:tc>
              <w:tc>
                <w:tcPr>
                  <w:tcW w:w="2077" w:type="dxa"/>
                  <w:tcBorders>
                    <w:tl2br w:val="nil"/>
                    <w:tr2bl w:val="nil"/>
                  </w:tcBorders>
                  <w:vAlign w:val="center"/>
                </w:tcPr>
                <w:p w14:paraId="09F149E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硝基苯</w:t>
                  </w:r>
                </w:p>
              </w:tc>
              <w:tc>
                <w:tcPr>
                  <w:tcW w:w="1638" w:type="dxa"/>
                  <w:tcBorders>
                    <w:tl2br w:val="nil"/>
                    <w:tr2bl w:val="nil"/>
                  </w:tcBorders>
                  <w:vAlign w:val="center"/>
                </w:tcPr>
                <w:p w14:paraId="1B99B9A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&lt;0.09</w:t>
                  </w:r>
                </w:p>
              </w:tc>
              <w:tc>
                <w:tcPr>
                  <w:tcW w:w="2062" w:type="dxa"/>
                  <w:tcBorders>
                    <w:tl2br w:val="nil"/>
                    <w:tr2bl w:val="nil"/>
                  </w:tcBorders>
                  <w:vAlign w:val="center"/>
                </w:tcPr>
                <w:p w14:paraId="1D377BB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76</w:t>
                  </w:r>
                </w:p>
              </w:tc>
              <w:tc>
                <w:tcPr>
                  <w:tcW w:w="1088" w:type="dxa"/>
                  <w:tcBorders>
                    <w:tl2br w:val="nil"/>
                    <w:tr2bl w:val="nil"/>
                  </w:tcBorders>
                  <w:vAlign w:val="center"/>
                </w:tcPr>
                <w:p w14:paraId="4749979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0776EF3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03B083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8" w:hRule="atLeast"/>
              </w:trPr>
              <w:tc>
                <w:tcPr>
                  <w:tcW w:w="793" w:type="dxa"/>
                  <w:tcBorders>
                    <w:tl2br w:val="nil"/>
                    <w:tr2bl w:val="nil"/>
                  </w:tcBorders>
                  <w:vAlign w:val="center"/>
                </w:tcPr>
                <w:p w14:paraId="654C90D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31</w:t>
                  </w:r>
                </w:p>
              </w:tc>
              <w:tc>
                <w:tcPr>
                  <w:tcW w:w="2077" w:type="dxa"/>
                  <w:tcBorders>
                    <w:tl2br w:val="nil"/>
                    <w:tr2bl w:val="nil"/>
                  </w:tcBorders>
                  <w:vAlign w:val="center"/>
                </w:tcPr>
                <w:p w14:paraId="2FC6399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苯胺</w:t>
                  </w:r>
                </w:p>
              </w:tc>
              <w:tc>
                <w:tcPr>
                  <w:tcW w:w="1638" w:type="dxa"/>
                  <w:tcBorders>
                    <w:tl2br w:val="nil"/>
                    <w:tr2bl w:val="nil"/>
                  </w:tcBorders>
                  <w:vAlign w:val="center"/>
                </w:tcPr>
                <w:p w14:paraId="6D91916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&lt;0.01</w:t>
                  </w:r>
                </w:p>
              </w:tc>
              <w:tc>
                <w:tcPr>
                  <w:tcW w:w="2062" w:type="dxa"/>
                  <w:tcBorders>
                    <w:tl2br w:val="nil"/>
                    <w:tr2bl w:val="nil"/>
                  </w:tcBorders>
                  <w:vAlign w:val="center"/>
                </w:tcPr>
                <w:p w14:paraId="0F9124E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260</w:t>
                  </w:r>
                </w:p>
              </w:tc>
              <w:tc>
                <w:tcPr>
                  <w:tcW w:w="1088" w:type="dxa"/>
                  <w:tcBorders>
                    <w:tl2br w:val="nil"/>
                    <w:tr2bl w:val="nil"/>
                  </w:tcBorders>
                  <w:vAlign w:val="center"/>
                </w:tcPr>
                <w:p w14:paraId="7E721AD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0A167F5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290EA1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793" w:type="dxa"/>
                  <w:tcBorders>
                    <w:tl2br w:val="nil"/>
                    <w:tr2bl w:val="nil"/>
                  </w:tcBorders>
                  <w:vAlign w:val="center"/>
                </w:tcPr>
                <w:p w14:paraId="31D4128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32</w:t>
                  </w:r>
                </w:p>
              </w:tc>
              <w:tc>
                <w:tcPr>
                  <w:tcW w:w="2077" w:type="dxa"/>
                  <w:tcBorders>
                    <w:tl2br w:val="nil"/>
                    <w:tr2bl w:val="nil"/>
                  </w:tcBorders>
                  <w:vAlign w:val="center"/>
                </w:tcPr>
                <w:p w14:paraId="2899729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2-氯苯酚</w:t>
                  </w:r>
                </w:p>
              </w:tc>
              <w:tc>
                <w:tcPr>
                  <w:tcW w:w="1638" w:type="dxa"/>
                  <w:tcBorders>
                    <w:tl2br w:val="nil"/>
                    <w:tr2bl w:val="nil"/>
                  </w:tcBorders>
                  <w:vAlign w:val="center"/>
                </w:tcPr>
                <w:p w14:paraId="71A146C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&lt;0.06</w:t>
                  </w:r>
                </w:p>
              </w:tc>
              <w:tc>
                <w:tcPr>
                  <w:tcW w:w="2062" w:type="dxa"/>
                  <w:tcBorders>
                    <w:tl2br w:val="nil"/>
                    <w:tr2bl w:val="nil"/>
                  </w:tcBorders>
                  <w:vAlign w:val="center"/>
                </w:tcPr>
                <w:p w14:paraId="70BA75F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2256</w:t>
                  </w:r>
                </w:p>
              </w:tc>
              <w:tc>
                <w:tcPr>
                  <w:tcW w:w="1088" w:type="dxa"/>
                  <w:tcBorders>
                    <w:tl2br w:val="nil"/>
                    <w:tr2bl w:val="nil"/>
                  </w:tcBorders>
                  <w:vAlign w:val="center"/>
                </w:tcPr>
                <w:p w14:paraId="75E6065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139E850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7D60DE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793" w:type="dxa"/>
                  <w:tcBorders>
                    <w:tl2br w:val="nil"/>
                    <w:tr2bl w:val="nil"/>
                  </w:tcBorders>
                  <w:vAlign w:val="center"/>
                </w:tcPr>
                <w:p w14:paraId="0BE0AC1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33</w:t>
                  </w:r>
                </w:p>
              </w:tc>
              <w:tc>
                <w:tcPr>
                  <w:tcW w:w="2077" w:type="dxa"/>
                  <w:tcBorders>
                    <w:tl2br w:val="nil"/>
                    <w:tr2bl w:val="nil"/>
                  </w:tcBorders>
                  <w:vAlign w:val="center"/>
                </w:tcPr>
                <w:p w14:paraId="758724A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苯并[a]蒽</w:t>
                  </w:r>
                </w:p>
              </w:tc>
              <w:tc>
                <w:tcPr>
                  <w:tcW w:w="1638" w:type="dxa"/>
                  <w:tcBorders>
                    <w:tl2br w:val="nil"/>
                    <w:tr2bl w:val="nil"/>
                  </w:tcBorders>
                  <w:vAlign w:val="center"/>
                </w:tcPr>
                <w:p w14:paraId="0415449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&lt;0.12</w:t>
                  </w:r>
                </w:p>
              </w:tc>
              <w:tc>
                <w:tcPr>
                  <w:tcW w:w="2062" w:type="dxa"/>
                  <w:tcBorders>
                    <w:tl2br w:val="nil"/>
                    <w:tr2bl w:val="nil"/>
                  </w:tcBorders>
                  <w:vAlign w:val="center"/>
                </w:tcPr>
                <w:p w14:paraId="3F5B634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1088" w:type="dxa"/>
                  <w:tcBorders>
                    <w:tl2br w:val="nil"/>
                    <w:tr2bl w:val="nil"/>
                  </w:tcBorders>
                  <w:vAlign w:val="center"/>
                </w:tcPr>
                <w:p w14:paraId="32E2C77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7693F79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1178DC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793" w:type="dxa"/>
                  <w:tcBorders>
                    <w:tl2br w:val="nil"/>
                    <w:tr2bl w:val="nil"/>
                  </w:tcBorders>
                  <w:vAlign w:val="center"/>
                </w:tcPr>
                <w:p w14:paraId="71B7FE4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34</w:t>
                  </w:r>
                </w:p>
              </w:tc>
              <w:tc>
                <w:tcPr>
                  <w:tcW w:w="2077" w:type="dxa"/>
                  <w:tcBorders>
                    <w:tl2br w:val="nil"/>
                    <w:tr2bl w:val="nil"/>
                  </w:tcBorders>
                  <w:vAlign w:val="center"/>
                </w:tcPr>
                <w:p w14:paraId="719BE2A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苯并[a]芘</w:t>
                  </w:r>
                </w:p>
              </w:tc>
              <w:tc>
                <w:tcPr>
                  <w:tcW w:w="1638" w:type="dxa"/>
                  <w:tcBorders>
                    <w:tl2br w:val="nil"/>
                    <w:tr2bl w:val="nil"/>
                  </w:tcBorders>
                  <w:vAlign w:val="center"/>
                </w:tcPr>
                <w:p w14:paraId="31F3A5B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&lt;0.17</w:t>
                  </w:r>
                </w:p>
              </w:tc>
              <w:tc>
                <w:tcPr>
                  <w:tcW w:w="2062" w:type="dxa"/>
                  <w:tcBorders>
                    <w:tl2br w:val="nil"/>
                    <w:tr2bl w:val="nil"/>
                  </w:tcBorders>
                  <w:vAlign w:val="center"/>
                </w:tcPr>
                <w:p w14:paraId="05AB5AF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1088" w:type="dxa"/>
                  <w:tcBorders>
                    <w:tl2br w:val="nil"/>
                    <w:tr2bl w:val="nil"/>
                  </w:tcBorders>
                  <w:vAlign w:val="center"/>
                </w:tcPr>
                <w:p w14:paraId="4800A89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39C2CA8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79E658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793" w:type="dxa"/>
                  <w:tcBorders>
                    <w:tl2br w:val="nil"/>
                    <w:tr2bl w:val="nil"/>
                  </w:tcBorders>
                  <w:vAlign w:val="center"/>
                </w:tcPr>
                <w:p w14:paraId="38AF2EC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35</w:t>
                  </w:r>
                </w:p>
              </w:tc>
              <w:tc>
                <w:tcPr>
                  <w:tcW w:w="2077" w:type="dxa"/>
                  <w:tcBorders>
                    <w:tl2br w:val="nil"/>
                    <w:tr2bl w:val="nil"/>
                  </w:tcBorders>
                  <w:vAlign w:val="center"/>
                </w:tcPr>
                <w:p w14:paraId="22F212F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苯并[b]荧蒽</w:t>
                  </w:r>
                </w:p>
              </w:tc>
              <w:tc>
                <w:tcPr>
                  <w:tcW w:w="1638" w:type="dxa"/>
                  <w:tcBorders>
                    <w:tl2br w:val="nil"/>
                    <w:tr2bl w:val="nil"/>
                  </w:tcBorders>
                  <w:vAlign w:val="center"/>
                </w:tcPr>
                <w:p w14:paraId="5E9A1C8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&lt;0.17</w:t>
                  </w:r>
                </w:p>
              </w:tc>
              <w:tc>
                <w:tcPr>
                  <w:tcW w:w="2062" w:type="dxa"/>
                  <w:tcBorders>
                    <w:tl2br w:val="nil"/>
                    <w:tr2bl w:val="nil"/>
                  </w:tcBorders>
                  <w:vAlign w:val="center"/>
                </w:tcPr>
                <w:p w14:paraId="40ABA4B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1088" w:type="dxa"/>
                  <w:tcBorders>
                    <w:tl2br w:val="nil"/>
                    <w:tr2bl w:val="nil"/>
                  </w:tcBorders>
                  <w:vAlign w:val="center"/>
                </w:tcPr>
                <w:p w14:paraId="3C301BE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7EE4933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52427A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793" w:type="dxa"/>
                  <w:tcBorders>
                    <w:tl2br w:val="nil"/>
                    <w:tr2bl w:val="nil"/>
                  </w:tcBorders>
                  <w:vAlign w:val="center"/>
                </w:tcPr>
                <w:p w14:paraId="2DAE499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36</w:t>
                  </w:r>
                </w:p>
              </w:tc>
              <w:tc>
                <w:tcPr>
                  <w:tcW w:w="2077" w:type="dxa"/>
                  <w:tcBorders>
                    <w:tl2br w:val="nil"/>
                    <w:tr2bl w:val="nil"/>
                  </w:tcBorders>
                  <w:vAlign w:val="center"/>
                </w:tcPr>
                <w:p w14:paraId="46B1737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苯并[k]荧蒽</w:t>
                  </w:r>
                </w:p>
              </w:tc>
              <w:tc>
                <w:tcPr>
                  <w:tcW w:w="1638" w:type="dxa"/>
                  <w:tcBorders>
                    <w:tl2br w:val="nil"/>
                    <w:tr2bl w:val="nil"/>
                  </w:tcBorders>
                  <w:vAlign w:val="center"/>
                </w:tcPr>
                <w:p w14:paraId="7106042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&lt;0.11</w:t>
                  </w:r>
                </w:p>
              </w:tc>
              <w:tc>
                <w:tcPr>
                  <w:tcW w:w="2062" w:type="dxa"/>
                  <w:tcBorders>
                    <w:tl2br w:val="nil"/>
                    <w:tr2bl w:val="nil"/>
                  </w:tcBorders>
                  <w:vAlign w:val="center"/>
                </w:tcPr>
                <w:p w14:paraId="4E785A1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151</w:t>
                  </w:r>
                </w:p>
              </w:tc>
              <w:tc>
                <w:tcPr>
                  <w:tcW w:w="1088" w:type="dxa"/>
                  <w:tcBorders>
                    <w:tl2br w:val="nil"/>
                    <w:tr2bl w:val="nil"/>
                  </w:tcBorders>
                  <w:vAlign w:val="center"/>
                </w:tcPr>
                <w:p w14:paraId="354F1CB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6903228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17951F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793" w:type="dxa"/>
                  <w:tcBorders>
                    <w:tl2br w:val="nil"/>
                    <w:tr2bl w:val="nil"/>
                  </w:tcBorders>
                  <w:vAlign w:val="center"/>
                </w:tcPr>
                <w:p w14:paraId="01762FF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37</w:t>
                  </w:r>
                </w:p>
              </w:tc>
              <w:tc>
                <w:tcPr>
                  <w:tcW w:w="2077" w:type="dxa"/>
                  <w:tcBorders>
                    <w:tl2br w:val="nil"/>
                    <w:tr2bl w:val="nil"/>
                  </w:tcBorders>
                  <w:vAlign w:val="center"/>
                </w:tcPr>
                <w:p w14:paraId="72306DE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䓛</w:t>
                  </w:r>
                </w:p>
              </w:tc>
              <w:tc>
                <w:tcPr>
                  <w:tcW w:w="1638" w:type="dxa"/>
                  <w:tcBorders>
                    <w:tl2br w:val="nil"/>
                    <w:tr2bl w:val="nil"/>
                  </w:tcBorders>
                  <w:vAlign w:val="center"/>
                </w:tcPr>
                <w:p w14:paraId="5DBEEB9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&lt;0.14</w:t>
                  </w:r>
                </w:p>
              </w:tc>
              <w:tc>
                <w:tcPr>
                  <w:tcW w:w="2062" w:type="dxa"/>
                  <w:tcBorders>
                    <w:tl2br w:val="nil"/>
                    <w:tr2bl w:val="nil"/>
                  </w:tcBorders>
                  <w:vAlign w:val="center"/>
                </w:tcPr>
                <w:p w14:paraId="46C8828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1293</w:t>
                  </w:r>
                </w:p>
              </w:tc>
              <w:tc>
                <w:tcPr>
                  <w:tcW w:w="1088" w:type="dxa"/>
                  <w:tcBorders>
                    <w:tl2br w:val="nil"/>
                    <w:tr2bl w:val="nil"/>
                  </w:tcBorders>
                  <w:vAlign w:val="center"/>
                </w:tcPr>
                <w:p w14:paraId="286B767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234F4F9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1945F0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793" w:type="dxa"/>
                  <w:tcBorders>
                    <w:tl2br w:val="nil"/>
                    <w:tr2bl w:val="nil"/>
                  </w:tcBorders>
                  <w:vAlign w:val="center"/>
                </w:tcPr>
                <w:p w14:paraId="3C28D87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38</w:t>
                  </w:r>
                </w:p>
              </w:tc>
              <w:tc>
                <w:tcPr>
                  <w:tcW w:w="2077" w:type="dxa"/>
                  <w:tcBorders>
                    <w:tl2br w:val="nil"/>
                    <w:tr2bl w:val="nil"/>
                  </w:tcBorders>
                  <w:vAlign w:val="center"/>
                </w:tcPr>
                <w:p w14:paraId="1B43B4D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二苯并[a，h]蒽</w:t>
                  </w:r>
                </w:p>
              </w:tc>
              <w:tc>
                <w:tcPr>
                  <w:tcW w:w="1638" w:type="dxa"/>
                  <w:tcBorders>
                    <w:tl2br w:val="nil"/>
                    <w:tr2bl w:val="nil"/>
                  </w:tcBorders>
                  <w:vAlign w:val="center"/>
                </w:tcPr>
                <w:p w14:paraId="57CA7EC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&lt;0.13</w:t>
                  </w:r>
                </w:p>
              </w:tc>
              <w:tc>
                <w:tcPr>
                  <w:tcW w:w="2062" w:type="dxa"/>
                  <w:tcBorders>
                    <w:tl2br w:val="nil"/>
                    <w:tr2bl w:val="nil"/>
                  </w:tcBorders>
                  <w:vAlign w:val="center"/>
                </w:tcPr>
                <w:p w14:paraId="564C757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1088" w:type="dxa"/>
                  <w:tcBorders>
                    <w:tl2br w:val="nil"/>
                    <w:tr2bl w:val="nil"/>
                  </w:tcBorders>
                  <w:vAlign w:val="center"/>
                </w:tcPr>
                <w:p w14:paraId="18A1903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3F75873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27399E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793" w:type="dxa"/>
                  <w:tcBorders>
                    <w:tl2br w:val="nil"/>
                    <w:tr2bl w:val="nil"/>
                  </w:tcBorders>
                  <w:vAlign w:val="center"/>
                </w:tcPr>
                <w:p w14:paraId="6E27CA0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39</w:t>
                  </w:r>
                </w:p>
              </w:tc>
              <w:tc>
                <w:tcPr>
                  <w:tcW w:w="2077" w:type="dxa"/>
                  <w:tcBorders>
                    <w:tl2br w:val="nil"/>
                    <w:tr2bl w:val="nil"/>
                  </w:tcBorders>
                  <w:vAlign w:val="center"/>
                </w:tcPr>
                <w:p w14:paraId="78E8139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茚并[1，2，3-cd]芘</w:t>
                  </w:r>
                </w:p>
              </w:tc>
              <w:tc>
                <w:tcPr>
                  <w:tcW w:w="1638" w:type="dxa"/>
                  <w:tcBorders>
                    <w:tl2br w:val="nil"/>
                    <w:tr2bl w:val="nil"/>
                  </w:tcBorders>
                  <w:vAlign w:val="center"/>
                </w:tcPr>
                <w:p w14:paraId="1A7E58F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&lt;0.13</w:t>
                  </w:r>
                </w:p>
              </w:tc>
              <w:tc>
                <w:tcPr>
                  <w:tcW w:w="2062" w:type="dxa"/>
                  <w:tcBorders>
                    <w:tl2br w:val="nil"/>
                    <w:tr2bl w:val="nil"/>
                  </w:tcBorders>
                  <w:vAlign w:val="center"/>
                </w:tcPr>
                <w:p w14:paraId="6706810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1088" w:type="dxa"/>
                  <w:tcBorders>
                    <w:tl2br w:val="nil"/>
                    <w:tr2bl w:val="nil"/>
                  </w:tcBorders>
                  <w:vAlign w:val="center"/>
                </w:tcPr>
                <w:p w14:paraId="5D8E174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7843830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556510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793" w:type="dxa"/>
                  <w:tcBorders>
                    <w:tl2br w:val="nil"/>
                    <w:tr2bl w:val="nil"/>
                  </w:tcBorders>
                  <w:vAlign w:val="center"/>
                </w:tcPr>
                <w:p w14:paraId="5E67A95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40</w:t>
                  </w:r>
                </w:p>
              </w:tc>
              <w:tc>
                <w:tcPr>
                  <w:tcW w:w="2077" w:type="dxa"/>
                  <w:tcBorders>
                    <w:tl2br w:val="nil"/>
                    <w:tr2bl w:val="nil"/>
                  </w:tcBorders>
                  <w:vAlign w:val="center"/>
                </w:tcPr>
                <w:p w14:paraId="582BAAA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萘</w:t>
                  </w:r>
                </w:p>
              </w:tc>
              <w:tc>
                <w:tcPr>
                  <w:tcW w:w="1638" w:type="dxa"/>
                  <w:tcBorders>
                    <w:tl2br w:val="nil"/>
                    <w:tr2bl w:val="nil"/>
                  </w:tcBorders>
                  <w:vAlign w:val="center"/>
                </w:tcPr>
                <w:p w14:paraId="5A9DEE8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&lt;0.09</w:t>
                  </w:r>
                </w:p>
              </w:tc>
              <w:tc>
                <w:tcPr>
                  <w:tcW w:w="2062" w:type="dxa"/>
                  <w:tcBorders>
                    <w:tl2br w:val="nil"/>
                    <w:tr2bl w:val="nil"/>
                  </w:tcBorders>
                  <w:vAlign w:val="center"/>
                </w:tcPr>
                <w:p w14:paraId="1198F83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70</w:t>
                  </w:r>
                </w:p>
              </w:tc>
              <w:tc>
                <w:tcPr>
                  <w:tcW w:w="1088" w:type="dxa"/>
                  <w:tcBorders>
                    <w:tl2br w:val="nil"/>
                    <w:tr2bl w:val="nil"/>
                  </w:tcBorders>
                  <w:vAlign w:val="center"/>
                </w:tcPr>
                <w:p w14:paraId="6BE21DB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18" w:type="dxa"/>
                  <w:tcBorders>
                    <w:tl2br w:val="nil"/>
                    <w:tr2bl w:val="nil"/>
                  </w:tcBorders>
                  <w:vAlign w:val="center"/>
                </w:tcPr>
                <w:p w14:paraId="0191C93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0F2DC2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63E06A2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41</w:t>
                  </w:r>
                </w:p>
              </w:tc>
              <w:tc>
                <w:tcPr>
                  <w:tcW w:w="2077" w:type="dxa"/>
                  <w:tcBorders>
                    <w:tl2br w:val="nil"/>
                    <w:tr2bl w:val="nil"/>
                  </w:tcBorders>
                  <w:vAlign w:val="center"/>
                </w:tcPr>
                <w:p w14:paraId="521EEE3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砷</w:t>
                  </w:r>
                </w:p>
              </w:tc>
              <w:tc>
                <w:tcPr>
                  <w:tcW w:w="1638" w:type="dxa"/>
                  <w:tcBorders>
                    <w:tl2br w:val="nil"/>
                    <w:tr2bl w:val="nil"/>
                  </w:tcBorders>
                  <w:vAlign w:val="center"/>
                </w:tcPr>
                <w:p w14:paraId="659114D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10.6</w:t>
                  </w:r>
                </w:p>
              </w:tc>
              <w:tc>
                <w:tcPr>
                  <w:tcW w:w="2062" w:type="dxa"/>
                  <w:tcBorders>
                    <w:tl2br w:val="nil"/>
                    <w:tr2bl w:val="nil"/>
                  </w:tcBorders>
                  <w:vAlign w:val="center"/>
                </w:tcPr>
                <w:p w14:paraId="6ADCB5B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60</w:t>
                  </w:r>
                </w:p>
              </w:tc>
              <w:tc>
                <w:tcPr>
                  <w:tcW w:w="1088" w:type="dxa"/>
                  <w:tcBorders>
                    <w:tl2br w:val="nil"/>
                    <w:tr2bl w:val="nil"/>
                  </w:tcBorders>
                  <w:vAlign w:val="center"/>
                </w:tcPr>
                <w:p w14:paraId="787E4ED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0.177</w:t>
                  </w:r>
                </w:p>
              </w:tc>
              <w:tc>
                <w:tcPr>
                  <w:tcW w:w="1118" w:type="dxa"/>
                  <w:tcBorders>
                    <w:tl2br w:val="nil"/>
                    <w:tr2bl w:val="nil"/>
                  </w:tcBorders>
                  <w:vAlign w:val="center"/>
                </w:tcPr>
                <w:p w14:paraId="6BC79F8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2E7692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5935770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42</w:t>
                  </w:r>
                </w:p>
              </w:tc>
              <w:tc>
                <w:tcPr>
                  <w:tcW w:w="2077" w:type="dxa"/>
                  <w:tcBorders>
                    <w:tl2br w:val="nil"/>
                    <w:tr2bl w:val="nil"/>
                  </w:tcBorders>
                  <w:vAlign w:val="center"/>
                </w:tcPr>
                <w:p w14:paraId="0A781C0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铅</w:t>
                  </w:r>
                </w:p>
              </w:tc>
              <w:tc>
                <w:tcPr>
                  <w:tcW w:w="1638" w:type="dxa"/>
                  <w:tcBorders>
                    <w:tl2br w:val="nil"/>
                    <w:tr2bl w:val="nil"/>
                  </w:tcBorders>
                  <w:vAlign w:val="center"/>
                </w:tcPr>
                <w:p w14:paraId="7D3D6AF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22</w:t>
                  </w:r>
                </w:p>
              </w:tc>
              <w:tc>
                <w:tcPr>
                  <w:tcW w:w="2062" w:type="dxa"/>
                  <w:tcBorders>
                    <w:tl2br w:val="nil"/>
                    <w:tr2bl w:val="nil"/>
                  </w:tcBorders>
                  <w:vAlign w:val="center"/>
                </w:tcPr>
                <w:p w14:paraId="4421FCA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800</w:t>
                  </w:r>
                </w:p>
              </w:tc>
              <w:tc>
                <w:tcPr>
                  <w:tcW w:w="1088" w:type="dxa"/>
                  <w:tcBorders>
                    <w:tl2br w:val="nil"/>
                    <w:tr2bl w:val="nil"/>
                  </w:tcBorders>
                  <w:vAlign w:val="center"/>
                </w:tcPr>
                <w:p w14:paraId="5FD94C3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0.028</w:t>
                  </w:r>
                </w:p>
              </w:tc>
              <w:tc>
                <w:tcPr>
                  <w:tcW w:w="1118" w:type="dxa"/>
                  <w:tcBorders>
                    <w:tl2br w:val="nil"/>
                    <w:tr2bl w:val="nil"/>
                  </w:tcBorders>
                  <w:vAlign w:val="center"/>
                </w:tcPr>
                <w:p w14:paraId="19B6DE5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43B288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7B48A22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43</w:t>
                  </w:r>
                </w:p>
              </w:tc>
              <w:tc>
                <w:tcPr>
                  <w:tcW w:w="2077" w:type="dxa"/>
                  <w:tcBorders>
                    <w:tl2br w:val="nil"/>
                    <w:tr2bl w:val="nil"/>
                  </w:tcBorders>
                  <w:vAlign w:val="center"/>
                </w:tcPr>
                <w:p w14:paraId="51DAAB3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汞</w:t>
                  </w:r>
                </w:p>
              </w:tc>
              <w:tc>
                <w:tcPr>
                  <w:tcW w:w="1638" w:type="dxa"/>
                  <w:tcBorders>
                    <w:tl2br w:val="nil"/>
                    <w:tr2bl w:val="nil"/>
                  </w:tcBorders>
                  <w:vAlign w:val="center"/>
                </w:tcPr>
                <w:p w14:paraId="731E37D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0.0322</w:t>
                  </w:r>
                </w:p>
              </w:tc>
              <w:tc>
                <w:tcPr>
                  <w:tcW w:w="2062" w:type="dxa"/>
                  <w:tcBorders>
                    <w:tl2br w:val="nil"/>
                    <w:tr2bl w:val="nil"/>
                  </w:tcBorders>
                  <w:vAlign w:val="center"/>
                </w:tcPr>
                <w:p w14:paraId="22BB25F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38</w:t>
                  </w:r>
                </w:p>
              </w:tc>
              <w:tc>
                <w:tcPr>
                  <w:tcW w:w="1088" w:type="dxa"/>
                  <w:tcBorders>
                    <w:tl2br w:val="nil"/>
                    <w:tr2bl w:val="nil"/>
                  </w:tcBorders>
                  <w:vAlign w:val="center"/>
                </w:tcPr>
                <w:p w14:paraId="5EFB7DE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0.0008</w:t>
                  </w:r>
                </w:p>
              </w:tc>
              <w:tc>
                <w:tcPr>
                  <w:tcW w:w="1118" w:type="dxa"/>
                  <w:tcBorders>
                    <w:tl2br w:val="nil"/>
                    <w:tr2bl w:val="nil"/>
                  </w:tcBorders>
                  <w:vAlign w:val="center"/>
                </w:tcPr>
                <w:p w14:paraId="5E46BFB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3F2FAA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387026D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44</w:t>
                  </w:r>
                </w:p>
              </w:tc>
              <w:tc>
                <w:tcPr>
                  <w:tcW w:w="2077" w:type="dxa"/>
                  <w:tcBorders>
                    <w:tl2br w:val="nil"/>
                    <w:tr2bl w:val="nil"/>
                  </w:tcBorders>
                  <w:vAlign w:val="center"/>
                </w:tcPr>
                <w:p w14:paraId="7794112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镉</w:t>
                  </w:r>
                </w:p>
              </w:tc>
              <w:tc>
                <w:tcPr>
                  <w:tcW w:w="1638" w:type="dxa"/>
                  <w:tcBorders>
                    <w:tl2br w:val="nil"/>
                    <w:tr2bl w:val="nil"/>
                  </w:tcBorders>
                  <w:vAlign w:val="center"/>
                </w:tcPr>
                <w:p w14:paraId="656E908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&lt;0.09</w:t>
                  </w:r>
                </w:p>
              </w:tc>
              <w:tc>
                <w:tcPr>
                  <w:tcW w:w="2062" w:type="dxa"/>
                  <w:tcBorders>
                    <w:tl2br w:val="nil"/>
                    <w:tr2bl w:val="nil"/>
                  </w:tcBorders>
                  <w:vAlign w:val="center"/>
                </w:tcPr>
                <w:p w14:paraId="67315DA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65</w:t>
                  </w:r>
                </w:p>
              </w:tc>
              <w:tc>
                <w:tcPr>
                  <w:tcW w:w="1088" w:type="dxa"/>
                  <w:tcBorders>
                    <w:tl2br w:val="nil"/>
                    <w:tr2bl w:val="nil"/>
                  </w:tcBorders>
                  <w:vAlign w:val="center"/>
                </w:tcPr>
                <w:p w14:paraId="7ACEF7D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＜0.0014</w:t>
                  </w:r>
                </w:p>
              </w:tc>
              <w:tc>
                <w:tcPr>
                  <w:tcW w:w="1118" w:type="dxa"/>
                  <w:tcBorders>
                    <w:tl2br w:val="nil"/>
                    <w:tr2bl w:val="nil"/>
                  </w:tcBorders>
                  <w:vAlign w:val="center"/>
                </w:tcPr>
                <w:p w14:paraId="0ABC77F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797C31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0A5CDE1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45</w:t>
                  </w:r>
                </w:p>
              </w:tc>
              <w:tc>
                <w:tcPr>
                  <w:tcW w:w="2077" w:type="dxa"/>
                  <w:tcBorders>
                    <w:tl2br w:val="nil"/>
                    <w:tr2bl w:val="nil"/>
                  </w:tcBorders>
                  <w:vAlign w:val="center"/>
                </w:tcPr>
                <w:p w14:paraId="74EFF90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铜</w:t>
                  </w:r>
                </w:p>
              </w:tc>
              <w:tc>
                <w:tcPr>
                  <w:tcW w:w="1638" w:type="dxa"/>
                  <w:tcBorders>
                    <w:tl2br w:val="nil"/>
                    <w:tr2bl w:val="nil"/>
                  </w:tcBorders>
                  <w:vAlign w:val="center"/>
                </w:tcPr>
                <w:p w14:paraId="6E0DD3F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12.2</w:t>
                  </w:r>
                </w:p>
              </w:tc>
              <w:tc>
                <w:tcPr>
                  <w:tcW w:w="2062" w:type="dxa"/>
                  <w:tcBorders>
                    <w:tl2br w:val="nil"/>
                    <w:tr2bl w:val="nil"/>
                  </w:tcBorders>
                  <w:vAlign w:val="center"/>
                </w:tcPr>
                <w:p w14:paraId="0999F2C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18000</w:t>
                  </w:r>
                </w:p>
              </w:tc>
              <w:tc>
                <w:tcPr>
                  <w:tcW w:w="1088" w:type="dxa"/>
                  <w:tcBorders>
                    <w:tl2br w:val="nil"/>
                    <w:tr2bl w:val="nil"/>
                  </w:tcBorders>
                  <w:vAlign w:val="center"/>
                </w:tcPr>
                <w:p w14:paraId="2A94C10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0.00068</w:t>
                  </w:r>
                </w:p>
              </w:tc>
              <w:tc>
                <w:tcPr>
                  <w:tcW w:w="1118" w:type="dxa"/>
                  <w:tcBorders>
                    <w:tl2br w:val="nil"/>
                    <w:tr2bl w:val="nil"/>
                  </w:tcBorders>
                  <w:vAlign w:val="center"/>
                </w:tcPr>
                <w:p w14:paraId="64E2B50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48D32F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793" w:type="dxa"/>
                  <w:tcBorders>
                    <w:tl2br w:val="nil"/>
                    <w:tr2bl w:val="nil"/>
                  </w:tcBorders>
                  <w:vAlign w:val="center"/>
                </w:tcPr>
                <w:p w14:paraId="49AFA4A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46</w:t>
                  </w:r>
                </w:p>
              </w:tc>
              <w:tc>
                <w:tcPr>
                  <w:tcW w:w="2077" w:type="dxa"/>
                  <w:tcBorders>
                    <w:tl2br w:val="nil"/>
                    <w:tr2bl w:val="nil"/>
                  </w:tcBorders>
                  <w:vAlign w:val="center"/>
                </w:tcPr>
                <w:p w14:paraId="4A9DE5B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镍</w:t>
                  </w:r>
                </w:p>
              </w:tc>
              <w:tc>
                <w:tcPr>
                  <w:tcW w:w="1638" w:type="dxa"/>
                  <w:tcBorders>
                    <w:tl2br w:val="nil"/>
                    <w:tr2bl w:val="nil"/>
                  </w:tcBorders>
                  <w:vAlign w:val="center"/>
                </w:tcPr>
                <w:p w14:paraId="764CBCA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19</w:t>
                  </w:r>
                </w:p>
              </w:tc>
              <w:tc>
                <w:tcPr>
                  <w:tcW w:w="2062" w:type="dxa"/>
                  <w:tcBorders>
                    <w:tl2br w:val="nil"/>
                    <w:tr2bl w:val="nil"/>
                  </w:tcBorders>
                  <w:vAlign w:val="center"/>
                </w:tcPr>
                <w:p w14:paraId="0A325F5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900</w:t>
                  </w:r>
                </w:p>
              </w:tc>
              <w:tc>
                <w:tcPr>
                  <w:tcW w:w="1088" w:type="dxa"/>
                  <w:tcBorders>
                    <w:tl2br w:val="nil"/>
                    <w:tr2bl w:val="nil"/>
                  </w:tcBorders>
                  <w:vAlign w:val="center"/>
                </w:tcPr>
                <w:p w14:paraId="4DADD09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0.021</w:t>
                  </w:r>
                </w:p>
              </w:tc>
              <w:tc>
                <w:tcPr>
                  <w:tcW w:w="1118" w:type="dxa"/>
                  <w:tcBorders>
                    <w:tl2br w:val="nil"/>
                    <w:tr2bl w:val="nil"/>
                  </w:tcBorders>
                  <w:vAlign w:val="center"/>
                </w:tcPr>
                <w:p w14:paraId="0052555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1A404E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7" w:hRule="atLeast"/>
              </w:trPr>
              <w:tc>
                <w:tcPr>
                  <w:tcW w:w="793" w:type="dxa"/>
                  <w:tcBorders>
                    <w:tl2br w:val="nil"/>
                    <w:tr2bl w:val="nil"/>
                  </w:tcBorders>
                  <w:vAlign w:val="center"/>
                </w:tcPr>
                <w:p w14:paraId="1C92B02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47</w:t>
                  </w:r>
                </w:p>
              </w:tc>
              <w:tc>
                <w:tcPr>
                  <w:tcW w:w="2077" w:type="dxa"/>
                  <w:tcBorders>
                    <w:tl2br w:val="nil"/>
                    <w:tr2bl w:val="nil"/>
                  </w:tcBorders>
                  <w:vAlign w:val="center"/>
                </w:tcPr>
                <w:p w14:paraId="4C4297A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铬(六价）</w:t>
                  </w:r>
                </w:p>
              </w:tc>
              <w:tc>
                <w:tcPr>
                  <w:tcW w:w="1638" w:type="dxa"/>
                  <w:tcBorders>
                    <w:tl2br w:val="nil"/>
                    <w:tr2bl w:val="nil"/>
                  </w:tcBorders>
                  <w:vAlign w:val="center"/>
                </w:tcPr>
                <w:p w14:paraId="39F4FA2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&lt;0.5</w:t>
                  </w:r>
                </w:p>
              </w:tc>
              <w:tc>
                <w:tcPr>
                  <w:tcW w:w="2062" w:type="dxa"/>
                  <w:tcBorders>
                    <w:tl2br w:val="nil"/>
                    <w:tr2bl w:val="nil"/>
                  </w:tcBorders>
                  <w:vAlign w:val="center"/>
                </w:tcPr>
                <w:p w14:paraId="70E5069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5.7</w:t>
                  </w:r>
                </w:p>
              </w:tc>
              <w:tc>
                <w:tcPr>
                  <w:tcW w:w="1088" w:type="dxa"/>
                  <w:tcBorders>
                    <w:tl2br w:val="nil"/>
                    <w:tr2bl w:val="nil"/>
                  </w:tcBorders>
                  <w:vAlign w:val="center"/>
                </w:tcPr>
                <w:p w14:paraId="4BDF1F6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＜0.088</w:t>
                  </w:r>
                </w:p>
              </w:tc>
              <w:tc>
                <w:tcPr>
                  <w:tcW w:w="1118" w:type="dxa"/>
                  <w:tcBorders>
                    <w:tl2br w:val="nil"/>
                    <w:tr2bl w:val="nil"/>
                  </w:tcBorders>
                  <w:vAlign w:val="center"/>
                </w:tcPr>
                <w:p w14:paraId="011A843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60CFBD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7" w:hRule="atLeast"/>
              </w:trPr>
              <w:tc>
                <w:tcPr>
                  <w:tcW w:w="793" w:type="dxa"/>
                  <w:tcBorders>
                    <w:tl2br w:val="nil"/>
                    <w:tr2bl w:val="nil"/>
                  </w:tcBorders>
                  <w:vAlign w:val="center"/>
                </w:tcPr>
                <w:p w14:paraId="77BB7F2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48</w:t>
                  </w:r>
                </w:p>
              </w:tc>
              <w:tc>
                <w:tcPr>
                  <w:tcW w:w="2077" w:type="dxa"/>
                  <w:tcBorders>
                    <w:tl2br w:val="nil"/>
                    <w:tr2bl w:val="nil"/>
                  </w:tcBorders>
                  <w:vAlign w:val="center"/>
                </w:tcPr>
                <w:p w14:paraId="108FA82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石油烃（C₁₀-C₄₀）</w:t>
                  </w:r>
                </w:p>
              </w:tc>
              <w:tc>
                <w:tcPr>
                  <w:tcW w:w="1638" w:type="dxa"/>
                  <w:tcBorders>
                    <w:tl2br w:val="nil"/>
                    <w:tr2bl w:val="nil"/>
                  </w:tcBorders>
                  <w:vAlign w:val="center"/>
                </w:tcPr>
                <w:p w14:paraId="58893B0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&lt;6</w:t>
                  </w:r>
                </w:p>
              </w:tc>
              <w:tc>
                <w:tcPr>
                  <w:tcW w:w="2062" w:type="dxa"/>
                  <w:tcBorders>
                    <w:tl2br w:val="nil"/>
                    <w:tr2bl w:val="nil"/>
                  </w:tcBorders>
                  <w:vAlign w:val="center"/>
                </w:tcPr>
                <w:p w14:paraId="59C1225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4500</w:t>
                  </w:r>
                </w:p>
              </w:tc>
              <w:tc>
                <w:tcPr>
                  <w:tcW w:w="1088" w:type="dxa"/>
                  <w:tcBorders>
                    <w:tl2br w:val="nil"/>
                    <w:tr2bl w:val="nil"/>
                  </w:tcBorders>
                  <w:vAlign w:val="center"/>
                </w:tcPr>
                <w:p w14:paraId="042F3C1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＜0.0013</w:t>
                  </w:r>
                </w:p>
              </w:tc>
              <w:tc>
                <w:tcPr>
                  <w:tcW w:w="1118" w:type="dxa"/>
                  <w:tcBorders>
                    <w:tl2br w:val="nil"/>
                    <w:tr2bl w:val="nil"/>
                  </w:tcBorders>
                  <w:vAlign w:val="center"/>
                </w:tcPr>
                <w:p w14:paraId="063E94B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bl>
          <w:p w14:paraId="49F62032">
            <w:pPr>
              <w:ind w:firstLine="482"/>
              <w:jc w:val="center"/>
              <w:rPr>
                <w:rFonts w:hint="default" w:ascii="Times New Roman" w:hAnsi="Times New Roman" w:eastAsia="宋体" w:cs="Times New Roman"/>
                <w:b/>
                <w:color w:val="000000" w:themeColor="text1"/>
                <w:szCs w:val="21"/>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3-8</w:t>
            </w:r>
            <w:r>
              <w:rPr>
                <w:rFonts w:hint="default" w:ascii="Times New Roman" w:hAnsi="Times New Roman" w:eastAsia="宋体" w:cs="Times New Roman"/>
                <w:b/>
                <w:color w:val="000000" w:themeColor="text1"/>
                <w:szCs w:val="21"/>
                <w14:textFill>
                  <w14:solidFill>
                    <w14:schemeClr w14:val="tx1"/>
                  </w14:solidFill>
                </w14:textFill>
              </w:rPr>
              <w:t>1#、2#土壤检测结果一览表单位：mg/kg</w:t>
            </w:r>
          </w:p>
          <w:tbl>
            <w:tblPr>
              <w:tblStyle w:val="100"/>
              <w:tblW w:w="4993"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7"/>
              <w:gridCol w:w="1209"/>
              <w:gridCol w:w="2014"/>
              <w:gridCol w:w="854"/>
              <w:gridCol w:w="1355"/>
              <w:gridCol w:w="968"/>
              <w:gridCol w:w="1305"/>
              <w:gridCol w:w="507"/>
            </w:tblGrid>
            <w:tr w14:paraId="45779B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jc w:val="center"/>
              </w:trPr>
              <w:tc>
                <w:tcPr>
                  <w:tcW w:w="477" w:type="dxa"/>
                  <w:vMerge w:val="restart"/>
                  <w:tcBorders>
                    <w:tl2br w:val="nil"/>
                    <w:tr2bl w:val="nil"/>
                  </w:tcBorders>
                  <w:vAlign w:val="center"/>
                </w:tcPr>
                <w:p w14:paraId="660A10F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序号</w:t>
                  </w:r>
                </w:p>
              </w:tc>
              <w:tc>
                <w:tcPr>
                  <w:tcW w:w="1209" w:type="dxa"/>
                  <w:vMerge w:val="restart"/>
                  <w:tcBorders>
                    <w:tl2br w:val="nil"/>
                    <w:tr2bl w:val="nil"/>
                  </w:tcBorders>
                  <w:vAlign w:val="center"/>
                </w:tcPr>
                <w:p w14:paraId="4C7F0B7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名称</w:t>
                  </w:r>
                </w:p>
              </w:tc>
              <w:tc>
                <w:tcPr>
                  <w:tcW w:w="2014" w:type="dxa"/>
                  <w:tcBorders>
                    <w:tl2br w:val="nil"/>
                    <w:tr2bl w:val="nil"/>
                  </w:tcBorders>
                  <w:vAlign w:val="center"/>
                </w:tcPr>
                <w:p w14:paraId="7066EC7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标准限值（mg/kg）</w:t>
                  </w:r>
                </w:p>
              </w:tc>
              <w:tc>
                <w:tcPr>
                  <w:tcW w:w="2209" w:type="dxa"/>
                  <w:gridSpan w:val="2"/>
                  <w:tcBorders>
                    <w:tl2br w:val="nil"/>
                    <w:tr2bl w:val="nil"/>
                  </w:tcBorders>
                  <w:vAlign w:val="center"/>
                </w:tcPr>
                <w:p w14:paraId="4B8E902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1#监测点</w:t>
                  </w:r>
                </w:p>
              </w:tc>
              <w:tc>
                <w:tcPr>
                  <w:tcW w:w="2273" w:type="dxa"/>
                  <w:gridSpan w:val="2"/>
                  <w:tcBorders>
                    <w:tl2br w:val="nil"/>
                    <w:tr2bl w:val="nil"/>
                  </w:tcBorders>
                  <w:vAlign w:val="center"/>
                </w:tcPr>
                <w:p w14:paraId="5D21554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2#监测点</w:t>
                  </w:r>
                </w:p>
              </w:tc>
              <w:tc>
                <w:tcPr>
                  <w:tcW w:w="507" w:type="dxa"/>
                  <w:vMerge w:val="restart"/>
                  <w:tcBorders>
                    <w:tl2br w:val="nil"/>
                    <w:tr2bl w:val="nil"/>
                  </w:tcBorders>
                  <w:vAlign w:val="center"/>
                </w:tcPr>
                <w:p w14:paraId="1A12C47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达标情况</w:t>
                  </w:r>
                </w:p>
              </w:tc>
            </w:tr>
            <w:tr w14:paraId="0990BE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8" w:hRule="atLeast"/>
                <w:jc w:val="center"/>
              </w:trPr>
              <w:tc>
                <w:tcPr>
                  <w:tcW w:w="477" w:type="dxa"/>
                  <w:vMerge w:val="continue"/>
                  <w:tcBorders>
                    <w:tl2br w:val="nil"/>
                    <w:tr2bl w:val="nil"/>
                  </w:tcBorders>
                  <w:vAlign w:val="center"/>
                </w:tcPr>
                <w:p w14:paraId="1393694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209" w:type="dxa"/>
                  <w:vMerge w:val="continue"/>
                  <w:tcBorders>
                    <w:tl2br w:val="nil"/>
                    <w:tr2bl w:val="nil"/>
                  </w:tcBorders>
                  <w:vAlign w:val="center"/>
                </w:tcPr>
                <w:p w14:paraId="541EAFC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2014" w:type="dxa"/>
                  <w:tcBorders>
                    <w:tl2br w:val="nil"/>
                    <w:tr2bl w:val="nil"/>
                  </w:tcBorders>
                  <w:vAlign w:val="center"/>
                </w:tcPr>
                <w:p w14:paraId="712C66D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GB15618农用地土壤污染风险筛选值</w:t>
                  </w:r>
                </w:p>
              </w:tc>
              <w:tc>
                <w:tcPr>
                  <w:tcW w:w="854" w:type="dxa"/>
                  <w:tcBorders>
                    <w:tl2br w:val="nil"/>
                    <w:tr2bl w:val="nil"/>
                  </w:tcBorders>
                  <w:vAlign w:val="center"/>
                </w:tcPr>
                <w:p w14:paraId="2A4B2D2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检测值</w:t>
                  </w:r>
                </w:p>
              </w:tc>
              <w:tc>
                <w:tcPr>
                  <w:tcW w:w="1355" w:type="dxa"/>
                  <w:tcBorders>
                    <w:tl2br w:val="nil"/>
                    <w:tr2bl w:val="nil"/>
                  </w:tcBorders>
                  <w:vAlign w:val="center"/>
                </w:tcPr>
                <w:p w14:paraId="7AEBAF5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标准指数</w:t>
                  </w:r>
                </w:p>
              </w:tc>
              <w:tc>
                <w:tcPr>
                  <w:tcW w:w="968" w:type="dxa"/>
                  <w:tcBorders>
                    <w:tl2br w:val="nil"/>
                    <w:tr2bl w:val="nil"/>
                  </w:tcBorders>
                  <w:vAlign w:val="center"/>
                </w:tcPr>
                <w:p w14:paraId="6BCCB4C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检测值</w:t>
                  </w:r>
                </w:p>
              </w:tc>
              <w:tc>
                <w:tcPr>
                  <w:tcW w:w="1305" w:type="dxa"/>
                  <w:tcBorders>
                    <w:tl2br w:val="nil"/>
                    <w:tr2bl w:val="nil"/>
                  </w:tcBorders>
                  <w:vAlign w:val="center"/>
                </w:tcPr>
                <w:p w14:paraId="281864F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标准指数</w:t>
                  </w:r>
                </w:p>
              </w:tc>
              <w:tc>
                <w:tcPr>
                  <w:tcW w:w="507" w:type="dxa"/>
                  <w:vMerge w:val="continue"/>
                  <w:tcBorders>
                    <w:tl2br w:val="nil"/>
                    <w:tr2bl w:val="nil"/>
                  </w:tcBorders>
                  <w:vAlign w:val="center"/>
                </w:tcPr>
                <w:p w14:paraId="4664F5C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429C6A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7" w:hRule="atLeast"/>
                <w:jc w:val="center"/>
              </w:trPr>
              <w:tc>
                <w:tcPr>
                  <w:tcW w:w="477" w:type="dxa"/>
                  <w:tcBorders>
                    <w:tl2br w:val="nil"/>
                    <w:tr2bl w:val="nil"/>
                  </w:tcBorders>
                  <w:vAlign w:val="center"/>
                </w:tcPr>
                <w:p w14:paraId="1343456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09" w:type="dxa"/>
                  <w:tcBorders>
                    <w:tl2br w:val="nil"/>
                    <w:tr2bl w:val="nil"/>
                  </w:tcBorders>
                  <w:vAlign w:val="center"/>
                </w:tcPr>
                <w:p w14:paraId="05577FB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pH（无量纲）</w:t>
                  </w:r>
                </w:p>
              </w:tc>
              <w:tc>
                <w:tcPr>
                  <w:tcW w:w="2014" w:type="dxa"/>
                  <w:tcBorders>
                    <w:tl2br w:val="nil"/>
                    <w:tr2bl w:val="nil"/>
                  </w:tcBorders>
                  <w:vAlign w:val="center"/>
                </w:tcPr>
                <w:p w14:paraId="1613B70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854" w:type="dxa"/>
                  <w:tcBorders>
                    <w:tl2br w:val="nil"/>
                    <w:tr2bl w:val="nil"/>
                  </w:tcBorders>
                  <w:vAlign w:val="center"/>
                </w:tcPr>
                <w:p w14:paraId="0B6FE16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8.05</w:t>
                  </w:r>
                </w:p>
              </w:tc>
              <w:tc>
                <w:tcPr>
                  <w:tcW w:w="1355" w:type="dxa"/>
                  <w:tcBorders>
                    <w:tl2br w:val="nil"/>
                    <w:tr2bl w:val="nil"/>
                  </w:tcBorders>
                  <w:vAlign w:val="center"/>
                </w:tcPr>
                <w:p w14:paraId="3AA439D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无酸化或碱化</w:t>
                  </w:r>
                </w:p>
              </w:tc>
              <w:tc>
                <w:tcPr>
                  <w:tcW w:w="968" w:type="dxa"/>
                  <w:tcBorders>
                    <w:tl2br w:val="nil"/>
                    <w:tr2bl w:val="nil"/>
                  </w:tcBorders>
                  <w:vAlign w:val="center"/>
                </w:tcPr>
                <w:p w14:paraId="1825AEE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8.11</w:t>
                  </w:r>
                </w:p>
              </w:tc>
              <w:tc>
                <w:tcPr>
                  <w:tcW w:w="1305" w:type="dxa"/>
                  <w:tcBorders>
                    <w:tl2br w:val="nil"/>
                    <w:tr2bl w:val="nil"/>
                  </w:tcBorders>
                  <w:vAlign w:val="center"/>
                </w:tcPr>
                <w:p w14:paraId="579597F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无酸化或碱化</w:t>
                  </w:r>
                </w:p>
              </w:tc>
              <w:tc>
                <w:tcPr>
                  <w:tcW w:w="507" w:type="dxa"/>
                  <w:vMerge w:val="restart"/>
                  <w:tcBorders>
                    <w:tl2br w:val="nil"/>
                    <w:tr2bl w:val="nil"/>
                  </w:tcBorders>
                  <w:vAlign w:val="center"/>
                </w:tcPr>
                <w:p w14:paraId="7177608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达标</w:t>
                  </w:r>
                </w:p>
              </w:tc>
            </w:tr>
            <w:tr w14:paraId="6D270A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jc w:val="center"/>
              </w:trPr>
              <w:tc>
                <w:tcPr>
                  <w:tcW w:w="477" w:type="dxa"/>
                  <w:tcBorders>
                    <w:tl2br w:val="nil"/>
                    <w:tr2bl w:val="nil"/>
                  </w:tcBorders>
                  <w:vAlign w:val="center"/>
                </w:tcPr>
                <w:p w14:paraId="08E34B4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1209" w:type="dxa"/>
                  <w:tcBorders>
                    <w:tl2br w:val="nil"/>
                    <w:tr2bl w:val="nil"/>
                  </w:tcBorders>
                  <w:vAlign w:val="center"/>
                </w:tcPr>
                <w:p w14:paraId="6D83995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镉</w:t>
                  </w:r>
                </w:p>
              </w:tc>
              <w:tc>
                <w:tcPr>
                  <w:tcW w:w="2014" w:type="dxa"/>
                  <w:tcBorders>
                    <w:tl2br w:val="nil"/>
                    <w:tr2bl w:val="nil"/>
                  </w:tcBorders>
                  <w:vAlign w:val="center"/>
                </w:tcPr>
                <w:p w14:paraId="6DF4F8A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0.6</w:t>
                  </w:r>
                </w:p>
              </w:tc>
              <w:tc>
                <w:tcPr>
                  <w:tcW w:w="854" w:type="dxa"/>
                  <w:tcBorders>
                    <w:tl2br w:val="nil"/>
                    <w:tr2bl w:val="nil"/>
                  </w:tcBorders>
                  <w:vAlign w:val="center"/>
                </w:tcPr>
                <w:p w14:paraId="4D4E10D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&lt;0.09</w:t>
                  </w:r>
                </w:p>
              </w:tc>
              <w:tc>
                <w:tcPr>
                  <w:tcW w:w="1355" w:type="dxa"/>
                  <w:tcBorders>
                    <w:tl2br w:val="nil"/>
                    <w:tr2bl w:val="nil"/>
                  </w:tcBorders>
                  <w:vAlign w:val="center"/>
                </w:tcPr>
                <w:p w14:paraId="4E3EC89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＜0.15</w:t>
                  </w:r>
                </w:p>
              </w:tc>
              <w:tc>
                <w:tcPr>
                  <w:tcW w:w="968" w:type="dxa"/>
                  <w:tcBorders>
                    <w:tl2br w:val="nil"/>
                    <w:tr2bl w:val="nil"/>
                  </w:tcBorders>
                  <w:vAlign w:val="center"/>
                </w:tcPr>
                <w:p w14:paraId="3D15FCD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&lt;0.09</w:t>
                  </w:r>
                </w:p>
              </w:tc>
              <w:tc>
                <w:tcPr>
                  <w:tcW w:w="1305" w:type="dxa"/>
                  <w:tcBorders>
                    <w:tl2br w:val="nil"/>
                    <w:tr2bl w:val="nil"/>
                  </w:tcBorders>
                  <w:vAlign w:val="center"/>
                </w:tcPr>
                <w:p w14:paraId="58F97C4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＜0.15</w:t>
                  </w:r>
                </w:p>
              </w:tc>
              <w:tc>
                <w:tcPr>
                  <w:tcW w:w="507" w:type="dxa"/>
                  <w:vMerge w:val="continue"/>
                  <w:tcBorders>
                    <w:tl2br w:val="nil"/>
                    <w:tr2bl w:val="nil"/>
                  </w:tcBorders>
                  <w:vAlign w:val="center"/>
                </w:tcPr>
                <w:p w14:paraId="645A7F6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7FBD9C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jc w:val="center"/>
              </w:trPr>
              <w:tc>
                <w:tcPr>
                  <w:tcW w:w="477" w:type="dxa"/>
                  <w:tcBorders>
                    <w:tl2br w:val="nil"/>
                    <w:tr2bl w:val="nil"/>
                  </w:tcBorders>
                  <w:vAlign w:val="center"/>
                </w:tcPr>
                <w:p w14:paraId="3B27C78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c>
                <w:tcPr>
                  <w:tcW w:w="1209" w:type="dxa"/>
                  <w:tcBorders>
                    <w:tl2br w:val="nil"/>
                    <w:tr2bl w:val="nil"/>
                  </w:tcBorders>
                  <w:vAlign w:val="center"/>
                </w:tcPr>
                <w:p w14:paraId="68B6B58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汞</w:t>
                  </w:r>
                </w:p>
              </w:tc>
              <w:tc>
                <w:tcPr>
                  <w:tcW w:w="2014" w:type="dxa"/>
                  <w:tcBorders>
                    <w:tl2br w:val="nil"/>
                    <w:tr2bl w:val="nil"/>
                  </w:tcBorders>
                  <w:vAlign w:val="center"/>
                </w:tcPr>
                <w:p w14:paraId="787C0F6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3.4</w:t>
                  </w:r>
                </w:p>
              </w:tc>
              <w:tc>
                <w:tcPr>
                  <w:tcW w:w="854" w:type="dxa"/>
                  <w:tcBorders>
                    <w:tl2br w:val="nil"/>
                    <w:tr2bl w:val="nil"/>
                  </w:tcBorders>
                  <w:vAlign w:val="center"/>
                </w:tcPr>
                <w:p w14:paraId="78DAAF0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0.0397</w:t>
                  </w:r>
                </w:p>
              </w:tc>
              <w:tc>
                <w:tcPr>
                  <w:tcW w:w="1355" w:type="dxa"/>
                  <w:tcBorders>
                    <w:tl2br w:val="nil"/>
                    <w:tr2bl w:val="nil"/>
                  </w:tcBorders>
                  <w:vAlign w:val="center"/>
                </w:tcPr>
                <w:p w14:paraId="795EDD5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0.012</w:t>
                  </w:r>
                </w:p>
              </w:tc>
              <w:tc>
                <w:tcPr>
                  <w:tcW w:w="968" w:type="dxa"/>
                  <w:tcBorders>
                    <w:tl2br w:val="nil"/>
                    <w:tr2bl w:val="nil"/>
                  </w:tcBorders>
                  <w:vAlign w:val="center"/>
                </w:tcPr>
                <w:p w14:paraId="407E0DE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0.0416</w:t>
                  </w:r>
                </w:p>
              </w:tc>
              <w:tc>
                <w:tcPr>
                  <w:tcW w:w="1305" w:type="dxa"/>
                  <w:tcBorders>
                    <w:tl2br w:val="nil"/>
                    <w:tr2bl w:val="nil"/>
                  </w:tcBorders>
                  <w:vAlign w:val="center"/>
                </w:tcPr>
                <w:p w14:paraId="0B31700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0.012</w:t>
                  </w:r>
                </w:p>
              </w:tc>
              <w:tc>
                <w:tcPr>
                  <w:tcW w:w="507" w:type="dxa"/>
                  <w:vMerge w:val="continue"/>
                  <w:tcBorders>
                    <w:tl2br w:val="nil"/>
                    <w:tr2bl w:val="nil"/>
                  </w:tcBorders>
                  <w:vAlign w:val="center"/>
                </w:tcPr>
                <w:p w14:paraId="0948234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08E3BC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jc w:val="center"/>
              </w:trPr>
              <w:tc>
                <w:tcPr>
                  <w:tcW w:w="477" w:type="dxa"/>
                  <w:tcBorders>
                    <w:tl2br w:val="nil"/>
                    <w:tr2bl w:val="nil"/>
                  </w:tcBorders>
                  <w:vAlign w:val="center"/>
                </w:tcPr>
                <w:p w14:paraId="0ED2F68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w:t>
                  </w:r>
                </w:p>
              </w:tc>
              <w:tc>
                <w:tcPr>
                  <w:tcW w:w="1209" w:type="dxa"/>
                  <w:tcBorders>
                    <w:tl2br w:val="nil"/>
                    <w:tr2bl w:val="nil"/>
                  </w:tcBorders>
                  <w:vAlign w:val="center"/>
                </w:tcPr>
                <w:p w14:paraId="46FA672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砷</w:t>
                  </w:r>
                </w:p>
              </w:tc>
              <w:tc>
                <w:tcPr>
                  <w:tcW w:w="2014" w:type="dxa"/>
                  <w:tcBorders>
                    <w:tl2br w:val="nil"/>
                    <w:tr2bl w:val="nil"/>
                  </w:tcBorders>
                  <w:vAlign w:val="center"/>
                </w:tcPr>
                <w:p w14:paraId="36082ED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25</w:t>
                  </w:r>
                </w:p>
              </w:tc>
              <w:tc>
                <w:tcPr>
                  <w:tcW w:w="854" w:type="dxa"/>
                  <w:tcBorders>
                    <w:tl2br w:val="nil"/>
                    <w:tr2bl w:val="nil"/>
                  </w:tcBorders>
                  <w:vAlign w:val="center"/>
                </w:tcPr>
                <w:p w14:paraId="1459094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11.5</w:t>
                  </w:r>
                </w:p>
              </w:tc>
              <w:tc>
                <w:tcPr>
                  <w:tcW w:w="1355" w:type="dxa"/>
                  <w:tcBorders>
                    <w:tl2br w:val="nil"/>
                    <w:tr2bl w:val="nil"/>
                  </w:tcBorders>
                  <w:vAlign w:val="center"/>
                </w:tcPr>
                <w:p w14:paraId="3F42B5A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0.46</w:t>
                  </w:r>
                </w:p>
              </w:tc>
              <w:tc>
                <w:tcPr>
                  <w:tcW w:w="968" w:type="dxa"/>
                  <w:tcBorders>
                    <w:tl2br w:val="nil"/>
                    <w:tr2bl w:val="nil"/>
                  </w:tcBorders>
                  <w:vAlign w:val="center"/>
                </w:tcPr>
                <w:p w14:paraId="02D0543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9.50</w:t>
                  </w:r>
                </w:p>
              </w:tc>
              <w:tc>
                <w:tcPr>
                  <w:tcW w:w="1305" w:type="dxa"/>
                  <w:tcBorders>
                    <w:tl2br w:val="nil"/>
                    <w:tr2bl w:val="nil"/>
                  </w:tcBorders>
                  <w:vAlign w:val="center"/>
                </w:tcPr>
                <w:p w14:paraId="42C2762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0.38</w:t>
                  </w:r>
                </w:p>
              </w:tc>
              <w:tc>
                <w:tcPr>
                  <w:tcW w:w="507" w:type="dxa"/>
                  <w:vMerge w:val="continue"/>
                  <w:tcBorders>
                    <w:tl2br w:val="nil"/>
                    <w:tr2bl w:val="nil"/>
                  </w:tcBorders>
                  <w:vAlign w:val="center"/>
                </w:tcPr>
                <w:p w14:paraId="07E18BF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34A7D4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jc w:val="center"/>
              </w:trPr>
              <w:tc>
                <w:tcPr>
                  <w:tcW w:w="477" w:type="dxa"/>
                  <w:tcBorders>
                    <w:tl2br w:val="nil"/>
                    <w:tr2bl w:val="nil"/>
                  </w:tcBorders>
                  <w:vAlign w:val="center"/>
                </w:tcPr>
                <w:p w14:paraId="146899F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1209" w:type="dxa"/>
                  <w:tcBorders>
                    <w:tl2br w:val="nil"/>
                    <w:tr2bl w:val="nil"/>
                  </w:tcBorders>
                  <w:vAlign w:val="center"/>
                </w:tcPr>
                <w:p w14:paraId="1E7E1F6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铅</w:t>
                  </w:r>
                </w:p>
              </w:tc>
              <w:tc>
                <w:tcPr>
                  <w:tcW w:w="2014" w:type="dxa"/>
                  <w:tcBorders>
                    <w:tl2br w:val="nil"/>
                    <w:tr2bl w:val="nil"/>
                  </w:tcBorders>
                  <w:vAlign w:val="center"/>
                </w:tcPr>
                <w:p w14:paraId="446636DE">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170</w:t>
                  </w:r>
                </w:p>
              </w:tc>
              <w:tc>
                <w:tcPr>
                  <w:tcW w:w="854" w:type="dxa"/>
                  <w:tcBorders>
                    <w:tl2br w:val="nil"/>
                    <w:tr2bl w:val="nil"/>
                  </w:tcBorders>
                  <w:vAlign w:val="center"/>
                </w:tcPr>
                <w:p w14:paraId="71BE7FF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25</w:t>
                  </w:r>
                </w:p>
              </w:tc>
              <w:tc>
                <w:tcPr>
                  <w:tcW w:w="1355" w:type="dxa"/>
                  <w:tcBorders>
                    <w:tl2br w:val="nil"/>
                    <w:tr2bl w:val="nil"/>
                  </w:tcBorders>
                  <w:vAlign w:val="center"/>
                </w:tcPr>
                <w:p w14:paraId="6D331FF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0.147</w:t>
                  </w:r>
                </w:p>
              </w:tc>
              <w:tc>
                <w:tcPr>
                  <w:tcW w:w="968" w:type="dxa"/>
                  <w:tcBorders>
                    <w:tl2br w:val="nil"/>
                    <w:tr2bl w:val="nil"/>
                  </w:tcBorders>
                  <w:vAlign w:val="center"/>
                </w:tcPr>
                <w:p w14:paraId="6EDDC90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24</w:t>
                  </w:r>
                </w:p>
              </w:tc>
              <w:tc>
                <w:tcPr>
                  <w:tcW w:w="1305" w:type="dxa"/>
                  <w:tcBorders>
                    <w:tl2br w:val="nil"/>
                    <w:tr2bl w:val="nil"/>
                  </w:tcBorders>
                  <w:vAlign w:val="center"/>
                </w:tcPr>
                <w:p w14:paraId="081C6414">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0.141</w:t>
                  </w:r>
                </w:p>
              </w:tc>
              <w:tc>
                <w:tcPr>
                  <w:tcW w:w="507" w:type="dxa"/>
                  <w:vMerge w:val="continue"/>
                  <w:tcBorders>
                    <w:tl2br w:val="nil"/>
                    <w:tr2bl w:val="nil"/>
                  </w:tcBorders>
                  <w:vAlign w:val="center"/>
                </w:tcPr>
                <w:p w14:paraId="69BE55F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2BF296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jc w:val="center"/>
              </w:trPr>
              <w:tc>
                <w:tcPr>
                  <w:tcW w:w="477" w:type="dxa"/>
                  <w:tcBorders>
                    <w:tl2br w:val="nil"/>
                    <w:tr2bl w:val="nil"/>
                  </w:tcBorders>
                  <w:vAlign w:val="center"/>
                </w:tcPr>
                <w:p w14:paraId="19646C8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w:t>
                  </w:r>
                </w:p>
              </w:tc>
              <w:tc>
                <w:tcPr>
                  <w:tcW w:w="1209" w:type="dxa"/>
                  <w:tcBorders>
                    <w:tl2br w:val="nil"/>
                    <w:tr2bl w:val="nil"/>
                  </w:tcBorders>
                  <w:vAlign w:val="center"/>
                </w:tcPr>
                <w:p w14:paraId="232A4C2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铬（六价）</w:t>
                  </w:r>
                </w:p>
              </w:tc>
              <w:tc>
                <w:tcPr>
                  <w:tcW w:w="2014" w:type="dxa"/>
                  <w:tcBorders>
                    <w:tl2br w:val="nil"/>
                    <w:tr2bl w:val="nil"/>
                  </w:tcBorders>
                  <w:vAlign w:val="center"/>
                </w:tcPr>
                <w:p w14:paraId="29A4BD1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250</w:t>
                  </w:r>
                </w:p>
              </w:tc>
              <w:tc>
                <w:tcPr>
                  <w:tcW w:w="854" w:type="dxa"/>
                  <w:tcBorders>
                    <w:tl2br w:val="nil"/>
                    <w:tr2bl w:val="nil"/>
                  </w:tcBorders>
                  <w:vAlign w:val="center"/>
                </w:tcPr>
                <w:p w14:paraId="1DA32DF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＜0.5</w:t>
                  </w:r>
                </w:p>
              </w:tc>
              <w:tc>
                <w:tcPr>
                  <w:tcW w:w="1355" w:type="dxa"/>
                  <w:tcBorders>
                    <w:tl2br w:val="nil"/>
                    <w:tr2bl w:val="nil"/>
                  </w:tcBorders>
                  <w:vAlign w:val="center"/>
                </w:tcPr>
                <w:p w14:paraId="72654EA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968" w:type="dxa"/>
                  <w:tcBorders>
                    <w:tl2br w:val="nil"/>
                    <w:tr2bl w:val="nil"/>
                  </w:tcBorders>
                  <w:vAlign w:val="center"/>
                </w:tcPr>
                <w:p w14:paraId="3F6CAC80">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＜0.5</w:t>
                  </w:r>
                </w:p>
              </w:tc>
              <w:tc>
                <w:tcPr>
                  <w:tcW w:w="1305" w:type="dxa"/>
                  <w:tcBorders>
                    <w:tl2br w:val="nil"/>
                    <w:tr2bl w:val="nil"/>
                  </w:tcBorders>
                  <w:vAlign w:val="center"/>
                </w:tcPr>
                <w:p w14:paraId="484EC60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507" w:type="dxa"/>
                  <w:vMerge w:val="continue"/>
                  <w:tcBorders>
                    <w:tl2br w:val="nil"/>
                    <w:tr2bl w:val="nil"/>
                  </w:tcBorders>
                  <w:vAlign w:val="center"/>
                </w:tcPr>
                <w:p w14:paraId="7CEFAB5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3BE9E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477" w:type="dxa"/>
                  <w:tcBorders>
                    <w:tl2br w:val="nil"/>
                    <w:tr2bl w:val="nil"/>
                  </w:tcBorders>
                  <w:vAlign w:val="center"/>
                </w:tcPr>
                <w:p w14:paraId="057978E3">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w:t>
                  </w:r>
                </w:p>
              </w:tc>
              <w:tc>
                <w:tcPr>
                  <w:tcW w:w="1209" w:type="dxa"/>
                  <w:tcBorders>
                    <w:tl2br w:val="nil"/>
                    <w:tr2bl w:val="nil"/>
                  </w:tcBorders>
                  <w:vAlign w:val="center"/>
                </w:tcPr>
                <w:p w14:paraId="7B7EB2C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铜</w:t>
                  </w:r>
                </w:p>
              </w:tc>
              <w:tc>
                <w:tcPr>
                  <w:tcW w:w="2014" w:type="dxa"/>
                  <w:tcBorders>
                    <w:tl2br w:val="nil"/>
                    <w:tr2bl w:val="nil"/>
                  </w:tcBorders>
                  <w:vAlign w:val="center"/>
                </w:tcPr>
                <w:p w14:paraId="79ABA94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100</w:t>
                  </w:r>
                </w:p>
              </w:tc>
              <w:tc>
                <w:tcPr>
                  <w:tcW w:w="854" w:type="dxa"/>
                  <w:tcBorders>
                    <w:tl2br w:val="nil"/>
                    <w:tr2bl w:val="nil"/>
                  </w:tcBorders>
                  <w:vAlign w:val="center"/>
                </w:tcPr>
                <w:p w14:paraId="59D1CD8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17.9</w:t>
                  </w:r>
                </w:p>
              </w:tc>
              <w:tc>
                <w:tcPr>
                  <w:tcW w:w="1355" w:type="dxa"/>
                  <w:tcBorders>
                    <w:tl2br w:val="nil"/>
                    <w:tr2bl w:val="nil"/>
                  </w:tcBorders>
                  <w:vAlign w:val="center"/>
                </w:tcPr>
                <w:p w14:paraId="02D25D9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0.179</w:t>
                  </w:r>
                </w:p>
              </w:tc>
              <w:tc>
                <w:tcPr>
                  <w:tcW w:w="968" w:type="dxa"/>
                  <w:tcBorders>
                    <w:tl2br w:val="nil"/>
                    <w:tr2bl w:val="nil"/>
                  </w:tcBorders>
                  <w:vAlign w:val="center"/>
                </w:tcPr>
                <w:p w14:paraId="705F258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16.3</w:t>
                  </w:r>
                </w:p>
              </w:tc>
              <w:tc>
                <w:tcPr>
                  <w:tcW w:w="1305" w:type="dxa"/>
                  <w:tcBorders>
                    <w:tl2br w:val="nil"/>
                    <w:tr2bl w:val="nil"/>
                  </w:tcBorders>
                  <w:vAlign w:val="center"/>
                </w:tcPr>
                <w:p w14:paraId="223E6D2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0.163</w:t>
                  </w:r>
                </w:p>
              </w:tc>
              <w:tc>
                <w:tcPr>
                  <w:tcW w:w="507" w:type="dxa"/>
                  <w:vMerge w:val="continue"/>
                  <w:tcBorders>
                    <w:tl2br w:val="nil"/>
                    <w:tr2bl w:val="nil"/>
                  </w:tcBorders>
                  <w:vAlign w:val="center"/>
                </w:tcPr>
                <w:p w14:paraId="33233A1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714E1A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6" w:hRule="atLeast"/>
                <w:jc w:val="center"/>
              </w:trPr>
              <w:tc>
                <w:tcPr>
                  <w:tcW w:w="477" w:type="dxa"/>
                  <w:tcBorders>
                    <w:tl2br w:val="nil"/>
                    <w:tr2bl w:val="nil"/>
                  </w:tcBorders>
                  <w:vAlign w:val="center"/>
                </w:tcPr>
                <w:p w14:paraId="2C96895C">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w:t>
                  </w:r>
                </w:p>
              </w:tc>
              <w:tc>
                <w:tcPr>
                  <w:tcW w:w="1209" w:type="dxa"/>
                  <w:tcBorders>
                    <w:tl2br w:val="nil"/>
                    <w:tr2bl w:val="nil"/>
                  </w:tcBorders>
                  <w:vAlign w:val="center"/>
                </w:tcPr>
                <w:p w14:paraId="069BDA4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镍</w:t>
                  </w:r>
                </w:p>
              </w:tc>
              <w:tc>
                <w:tcPr>
                  <w:tcW w:w="2014" w:type="dxa"/>
                  <w:tcBorders>
                    <w:tl2br w:val="nil"/>
                    <w:tr2bl w:val="nil"/>
                  </w:tcBorders>
                  <w:vAlign w:val="center"/>
                </w:tcPr>
                <w:p w14:paraId="6149F66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190</w:t>
                  </w:r>
                </w:p>
              </w:tc>
              <w:tc>
                <w:tcPr>
                  <w:tcW w:w="854" w:type="dxa"/>
                  <w:tcBorders>
                    <w:tl2br w:val="nil"/>
                    <w:tr2bl w:val="nil"/>
                  </w:tcBorders>
                  <w:vAlign w:val="center"/>
                </w:tcPr>
                <w:p w14:paraId="565F48D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22</w:t>
                  </w:r>
                </w:p>
              </w:tc>
              <w:tc>
                <w:tcPr>
                  <w:tcW w:w="1355" w:type="dxa"/>
                  <w:tcBorders>
                    <w:tl2br w:val="nil"/>
                    <w:tr2bl w:val="nil"/>
                  </w:tcBorders>
                  <w:vAlign w:val="center"/>
                </w:tcPr>
                <w:p w14:paraId="3321EDD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0.116</w:t>
                  </w:r>
                </w:p>
              </w:tc>
              <w:tc>
                <w:tcPr>
                  <w:tcW w:w="968" w:type="dxa"/>
                  <w:tcBorders>
                    <w:tl2br w:val="nil"/>
                    <w:tr2bl w:val="nil"/>
                  </w:tcBorders>
                  <w:vAlign w:val="center"/>
                </w:tcPr>
                <w:p w14:paraId="2A7ABBF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21</w:t>
                  </w:r>
                </w:p>
              </w:tc>
              <w:tc>
                <w:tcPr>
                  <w:tcW w:w="1305" w:type="dxa"/>
                  <w:tcBorders>
                    <w:tl2br w:val="nil"/>
                    <w:tr2bl w:val="nil"/>
                  </w:tcBorders>
                  <w:vAlign w:val="center"/>
                </w:tcPr>
                <w:p w14:paraId="2E8CCAE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0.111</w:t>
                  </w:r>
                </w:p>
              </w:tc>
              <w:tc>
                <w:tcPr>
                  <w:tcW w:w="507" w:type="dxa"/>
                  <w:vMerge w:val="continue"/>
                  <w:tcBorders>
                    <w:tl2br w:val="nil"/>
                    <w:tr2bl w:val="nil"/>
                  </w:tcBorders>
                  <w:vAlign w:val="center"/>
                </w:tcPr>
                <w:p w14:paraId="6E3725B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189DC3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477" w:type="dxa"/>
                  <w:tcBorders>
                    <w:tl2br w:val="nil"/>
                    <w:tr2bl w:val="nil"/>
                  </w:tcBorders>
                  <w:vAlign w:val="center"/>
                </w:tcPr>
                <w:p w14:paraId="15D6B1A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9</w:t>
                  </w:r>
                </w:p>
              </w:tc>
              <w:tc>
                <w:tcPr>
                  <w:tcW w:w="1209" w:type="dxa"/>
                  <w:tcBorders>
                    <w:tl2br w:val="nil"/>
                    <w:tr2bl w:val="nil"/>
                  </w:tcBorders>
                  <w:vAlign w:val="center"/>
                </w:tcPr>
                <w:p w14:paraId="33FDBF52">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锌</w:t>
                  </w:r>
                </w:p>
              </w:tc>
              <w:tc>
                <w:tcPr>
                  <w:tcW w:w="2014" w:type="dxa"/>
                  <w:tcBorders>
                    <w:tl2br w:val="nil"/>
                    <w:tr2bl w:val="nil"/>
                  </w:tcBorders>
                  <w:vAlign w:val="center"/>
                </w:tcPr>
                <w:p w14:paraId="1A40F22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300</w:t>
                  </w:r>
                </w:p>
              </w:tc>
              <w:tc>
                <w:tcPr>
                  <w:tcW w:w="854" w:type="dxa"/>
                  <w:tcBorders>
                    <w:tl2br w:val="nil"/>
                    <w:tr2bl w:val="nil"/>
                  </w:tcBorders>
                  <w:vAlign w:val="center"/>
                </w:tcPr>
                <w:p w14:paraId="32ACE519">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40</w:t>
                  </w:r>
                </w:p>
              </w:tc>
              <w:tc>
                <w:tcPr>
                  <w:tcW w:w="1355" w:type="dxa"/>
                  <w:tcBorders>
                    <w:tl2br w:val="nil"/>
                    <w:tr2bl w:val="nil"/>
                  </w:tcBorders>
                  <w:vAlign w:val="center"/>
                </w:tcPr>
                <w:p w14:paraId="031B611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0.133</w:t>
                  </w:r>
                </w:p>
              </w:tc>
              <w:tc>
                <w:tcPr>
                  <w:tcW w:w="968" w:type="dxa"/>
                  <w:tcBorders>
                    <w:tl2br w:val="nil"/>
                    <w:tr2bl w:val="nil"/>
                  </w:tcBorders>
                  <w:vAlign w:val="center"/>
                </w:tcPr>
                <w:p w14:paraId="4EA0BC17">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38</w:t>
                  </w:r>
                </w:p>
              </w:tc>
              <w:tc>
                <w:tcPr>
                  <w:tcW w:w="1305" w:type="dxa"/>
                  <w:tcBorders>
                    <w:tl2br w:val="nil"/>
                    <w:tr2bl w:val="nil"/>
                  </w:tcBorders>
                  <w:vAlign w:val="center"/>
                </w:tcPr>
                <w:p w14:paraId="1C30ACA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0.127</w:t>
                  </w:r>
                </w:p>
              </w:tc>
              <w:tc>
                <w:tcPr>
                  <w:tcW w:w="507" w:type="dxa"/>
                  <w:vMerge w:val="continue"/>
                  <w:tcBorders>
                    <w:tl2br w:val="nil"/>
                    <w:tr2bl w:val="nil"/>
                  </w:tcBorders>
                  <w:vAlign w:val="center"/>
                </w:tcPr>
                <w:p w14:paraId="07DBE15A">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r w14:paraId="452D51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477" w:type="dxa"/>
                  <w:tcBorders>
                    <w:tl2br w:val="nil"/>
                    <w:tr2bl w:val="nil"/>
                  </w:tcBorders>
                  <w:vAlign w:val="center"/>
                </w:tcPr>
                <w:p w14:paraId="26059C5F">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w:t>
                  </w:r>
                </w:p>
              </w:tc>
              <w:tc>
                <w:tcPr>
                  <w:tcW w:w="1209" w:type="dxa"/>
                  <w:tcBorders>
                    <w:tl2br w:val="nil"/>
                    <w:tr2bl w:val="nil"/>
                  </w:tcBorders>
                  <w:vAlign w:val="center"/>
                </w:tcPr>
                <w:p w14:paraId="7B375DC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石油烃</w:t>
                  </w:r>
                </w:p>
              </w:tc>
              <w:tc>
                <w:tcPr>
                  <w:tcW w:w="2014" w:type="dxa"/>
                  <w:tcBorders>
                    <w:tl2br w:val="nil"/>
                    <w:tr2bl w:val="nil"/>
                  </w:tcBorders>
                  <w:vAlign w:val="center"/>
                </w:tcPr>
                <w:p w14:paraId="3A953B18">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854" w:type="dxa"/>
                  <w:tcBorders>
                    <w:tl2br w:val="nil"/>
                    <w:tr2bl w:val="nil"/>
                  </w:tcBorders>
                  <w:vAlign w:val="center"/>
                </w:tcPr>
                <w:p w14:paraId="19CC25F5">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w:t>
                  </w:r>
                </w:p>
              </w:tc>
              <w:tc>
                <w:tcPr>
                  <w:tcW w:w="1355" w:type="dxa"/>
                  <w:tcBorders>
                    <w:tl2br w:val="nil"/>
                    <w:tr2bl w:val="nil"/>
                  </w:tcBorders>
                  <w:vAlign w:val="center"/>
                </w:tcPr>
                <w:p w14:paraId="704258B1">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968" w:type="dxa"/>
                  <w:tcBorders>
                    <w:tl2br w:val="nil"/>
                    <w:tr2bl w:val="nil"/>
                  </w:tcBorders>
                  <w:vAlign w:val="center"/>
                </w:tcPr>
                <w:p w14:paraId="2F7C443D">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w:t>
                  </w:r>
                </w:p>
              </w:tc>
              <w:tc>
                <w:tcPr>
                  <w:tcW w:w="1305" w:type="dxa"/>
                  <w:tcBorders>
                    <w:tl2br w:val="nil"/>
                    <w:tr2bl w:val="nil"/>
                  </w:tcBorders>
                  <w:vAlign w:val="center"/>
                </w:tcPr>
                <w:p w14:paraId="21B916BB">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507" w:type="dxa"/>
                  <w:tcBorders>
                    <w:tl2br w:val="nil"/>
                    <w:tr2bl w:val="nil"/>
                  </w:tcBorders>
                  <w:vAlign w:val="center"/>
                </w:tcPr>
                <w:p w14:paraId="498E44A6">
                  <w:pPr>
                    <w:pStyle w:val="147"/>
                    <w:bidi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r>
          </w:tbl>
          <w:p w14:paraId="5910E5B9">
            <w:pPr>
              <w:spacing w:line="360" w:lineRule="auto"/>
              <w:ind w:firstLine="480" w:firstLineChars="20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根据土壤环境质量评价结果可见，项目区占地范围内土壤环境质量满足《土壤环境质量建设用地土壤污染风险管控标准(试行)》（GB36600-2018）表1第二类用地筛选值管控要求，项目占地范围外周边土壤环境质量满足《土壤环境质量农用地土壤污染风险管控标准(试行)》（GB15618-2018）表1农用地土壤污染风险筛选值管控要求。项目区所在区域土壤环境良好。</w:t>
            </w:r>
          </w:p>
        </w:tc>
      </w:tr>
      <w:tr w14:paraId="45F8E4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602" w:type="dxa"/>
            <w:vAlign w:val="center"/>
          </w:tcPr>
          <w:p w14:paraId="7EB5EEA7">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bCs/>
                <w:color w:val="000000" w:themeColor="text1"/>
                <w:sz w:val="24"/>
                <w14:textFill>
                  <w14:solidFill>
                    <w14:schemeClr w14:val="tx1"/>
                  </w14:solidFill>
                </w14:textFill>
              </w:rPr>
              <w:t>与项目有关的原有环境污染和生态破坏问题</w:t>
            </w:r>
          </w:p>
        </w:tc>
        <w:tc>
          <w:tcPr>
            <w:tcW w:w="8921" w:type="dxa"/>
            <w:vAlign w:val="center"/>
          </w:tcPr>
          <w:p w14:paraId="65181C6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工程上段起点（K131+231）与已建的阿扎特巴格防洪一期工程末端相接。一期工程建于2018-2019年，主要建设内容为护岸4.2km。经核实，一期工程已依法办理环境影响评价手续，于2017年12月取得原喀什地区生态环境局批复，并于2020年3月完成竣工环境保护验收。一期工程运营期间未发生环境污染事件，不存在遗留环境问题。本工程为二期工程，建设内容与一期工程衔接，独立开展环评。</w:t>
            </w:r>
          </w:p>
          <w:p w14:paraId="1A82AAE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p>
        </w:tc>
      </w:tr>
      <w:tr w14:paraId="4DB7C5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602" w:type="dxa"/>
            <w:vAlign w:val="center"/>
          </w:tcPr>
          <w:p w14:paraId="57A84692">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生态环境保护目标</w:t>
            </w:r>
          </w:p>
        </w:tc>
        <w:tc>
          <w:tcPr>
            <w:tcW w:w="8921" w:type="dxa"/>
            <w:vAlign w:val="center"/>
          </w:tcPr>
          <w:p w14:paraId="07E5467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周边300米范围内无居民区等大气环境敏感目标，周边50米范围内无声环境保护目标。同时，项目选址选线不涉及自然保护区、风景名胜区、生态保护红线、永久基本农田、公益林、饮用水水源保护区等任何《建设项目环境影响评价分类管理名录》中所列的环境敏感区，亦不涉及鱼类“三场”及洄游通道等水生生态敏感区。</w:t>
            </w:r>
            <w: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t>具体生态环境保护目标见下表。</w:t>
            </w:r>
          </w:p>
          <w:p w14:paraId="24F7D8D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color w:val="000000" w:themeColor="text1"/>
                <w:sz w:val="21"/>
                <w:szCs w:val="21"/>
                <w14:textFill>
                  <w14:solidFill>
                    <w14:schemeClr w14:val="tx1"/>
                  </w14:solidFill>
                </w14:textFill>
              </w:rPr>
            </w:pPr>
            <w:r>
              <w:rPr>
                <w:rFonts w:hint="default" w:ascii="Times New Roman" w:hAnsi="Times New Roman" w:eastAsia="宋体" w:cs="Times New Roman"/>
                <w:b/>
                <w:color w:val="000000" w:themeColor="text1"/>
                <w:sz w:val="21"/>
                <w:szCs w:val="21"/>
                <w14:textFill>
                  <w14:solidFill>
                    <w14:schemeClr w14:val="tx1"/>
                  </w14:solidFill>
                </w14:textFill>
              </w:rPr>
              <w:t>表3-</w:t>
            </w:r>
            <w:r>
              <w:rPr>
                <w:rFonts w:hint="default" w:ascii="Times New Roman" w:hAnsi="Times New Roman" w:eastAsia="宋体" w:cs="Times New Roman"/>
                <w:b/>
                <w:color w:val="000000" w:themeColor="text1"/>
                <w:sz w:val="21"/>
                <w:szCs w:val="21"/>
                <w:lang w:val="en-US" w:eastAsia="zh-CN"/>
                <w14:textFill>
                  <w14:solidFill>
                    <w14:schemeClr w14:val="tx1"/>
                  </w14:solidFill>
                </w14:textFill>
              </w:rPr>
              <w:t>9</w:t>
            </w:r>
            <w:r>
              <w:rPr>
                <w:rFonts w:hint="default" w:ascii="Times New Roman" w:hAnsi="Times New Roman" w:eastAsia="宋体" w:cs="Times New Roman"/>
                <w:b/>
                <w:color w:val="000000" w:themeColor="text1"/>
                <w:sz w:val="21"/>
                <w:szCs w:val="21"/>
                <w14:textFill>
                  <w14:solidFill>
                    <w14:schemeClr w14:val="tx1"/>
                  </w14:solidFill>
                </w14:textFill>
              </w:rPr>
              <w:t>项目环境保护目标表</w:t>
            </w:r>
          </w:p>
          <w:tbl>
            <w:tblPr>
              <w:tblStyle w:val="34"/>
              <w:tblW w:w="497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36"/>
              <w:gridCol w:w="1208"/>
              <w:gridCol w:w="1501"/>
              <w:gridCol w:w="1464"/>
              <w:gridCol w:w="3738"/>
            </w:tblGrid>
            <w:tr w14:paraId="3E404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36" w:type="dxa"/>
                  <w:vMerge w:val="restart"/>
                  <w:vAlign w:val="center"/>
                </w:tcPr>
                <w:p w14:paraId="0CF52524">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序号</w:t>
                  </w:r>
                </w:p>
              </w:tc>
              <w:tc>
                <w:tcPr>
                  <w:tcW w:w="1208" w:type="dxa"/>
                  <w:vMerge w:val="restart"/>
                  <w:vAlign w:val="center"/>
                </w:tcPr>
                <w:p w14:paraId="2D70F2EB">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环境要素</w:t>
                  </w:r>
                </w:p>
              </w:tc>
              <w:tc>
                <w:tcPr>
                  <w:tcW w:w="1501" w:type="dxa"/>
                  <w:vMerge w:val="restart"/>
                  <w:vAlign w:val="center"/>
                </w:tcPr>
                <w:p w14:paraId="751846C1">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保护对象</w:t>
                  </w:r>
                </w:p>
              </w:tc>
              <w:tc>
                <w:tcPr>
                  <w:tcW w:w="1464" w:type="dxa"/>
                  <w:vMerge w:val="restart"/>
                  <w:vAlign w:val="center"/>
                </w:tcPr>
                <w:p w14:paraId="796F4C61">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与项目位置关系</w:t>
                  </w:r>
                </w:p>
              </w:tc>
              <w:tc>
                <w:tcPr>
                  <w:tcW w:w="3738" w:type="dxa"/>
                  <w:vMerge w:val="restart"/>
                  <w:vAlign w:val="center"/>
                </w:tcPr>
                <w:p w14:paraId="3E2E41E2">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保护目标</w:t>
                  </w:r>
                </w:p>
              </w:tc>
            </w:tr>
            <w:tr w14:paraId="25314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36" w:type="dxa"/>
                  <w:vMerge w:val="continue"/>
                  <w:vAlign w:val="center"/>
                </w:tcPr>
                <w:p w14:paraId="717F3FB5">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p>
              </w:tc>
              <w:tc>
                <w:tcPr>
                  <w:tcW w:w="1208" w:type="dxa"/>
                  <w:vMerge w:val="continue"/>
                  <w:vAlign w:val="center"/>
                </w:tcPr>
                <w:p w14:paraId="066E8D98">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p>
              </w:tc>
              <w:tc>
                <w:tcPr>
                  <w:tcW w:w="1501" w:type="dxa"/>
                  <w:vMerge w:val="continue"/>
                  <w:vAlign w:val="center"/>
                </w:tcPr>
                <w:p w14:paraId="27F58838">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p>
              </w:tc>
              <w:tc>
                <w:tcPr>
                  <w:tcW w:w="1464" w:type="dxa"/>
                  <w:vMerge w:val="continue"/>
                  <w:vAlign w:val="center"/>
                </w:tcPr>
                <w:p w14:paraId="0A4AEADE">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p>
              </w:tc>
              <w:tc>
                <w:tcPr>
                  <w:tcW w:w="3738" w:type="dxa"/>
                  <w:vMerge w:val="continue"/>
                  <w:vAlign w:val="center"/>
                </w:tcPr>
                <w:p w14:paraId="72AC88AA">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p>
              </w:tc>
            </w:tr>
            <w:tr w14:paraId="7B63B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36" w:type="dxa"/>
                  <w:vAlign w:val="center"/>
                </w:tcPr>
                <w:p w14:paraId="7BDA2650">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1</w:t>
                  </w:r>
                </w:p>
              </w:tc>
              <w:tc>
                <w:tcPr>
                  <w:tcW w:w="1208" w:type="dxa"/>
                  <w:vAlign w:val="center"/>
                </w:tcPr>
                <w:p w14:paraId="38F8404D">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地表水</w:t>
                  </w:r>
                </w:p>
              </w:tc>
              <w:tc>
                <w:tcPr>
                  <w:tcW w:w="1501" w:type="dxa"/>
                  <w:vAlign w:val="center"/>
                </w:tcPr>
                <w:p w14:paraId="25BF0EFF">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eastAsia="zh-CN"/>
                      <w14:textFill>
                        <w14:solidFill>
                          <w14:schemeClr w14:val="tx1"/>
                        </w14:solidFill>
                      </w14:textFill>
                    </w:rPr>
                    <w:t>喀什地区叶尔羌河流域</w:t>
                  </w:r>
                </w:p>
              </w:tc>
              <w:tc>
                <w:tcPr>
                  <w:tcW w:w="1464" w:type="dxa"/>
                  <w:vAlign w:val="center"/>
                </w:tcPr>
                <w:p w14:paraId="47F48835">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项目位于</w:t>
                  </w:r>
                  <w:r>
                    <w:rPr>
                      <w:rFonts w:hint="default" w:ascii="Times New Roman" w:hAnsi="Times New Roman" w:eastAsia="宋体" w:cs="Times New Roman"/>
                      <w:color w:val="000000" w:themeColor="text1"/>
                      <w:highlight w:val="none"/>
                      <w:lang w:eastAsia="zh-CN"/>
                      <w14:textFill>
                        <w14:solidFill>
                          <w14:schemeClr w14:val="tx1"/>
                        </w14:solidFill>
                      </w14:textFill>
                    </w:rPr>
                    <w:t>叶尔羌河右岸</w:t>
                  </w:r>
                </w:p>
              </w:tc>
              <w:tc>
                <w:tcPr>
                  <w:tcW w:w="3738" w:type="dxa"/>
                  <w:vAlign w:val="center"/>
                </w:tcPr>
                <w:p w14:paraId="590C224A">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地表水环境质量标准</w:t>
                  </w:r>
                  <w:r>
                    <w:rPr>
                      <w:rFonts w:hint="default" w:ascii="Times New Roman" w:hAnsi="Times New Roman" w:eastAsia="宋体" w:cs="Times New Roman"/>
                      <w:color w:val="000000" w:themeColor="text1"/>
                      <w:highlight w:val="none"/>
                      <w14:textFill>
                        <w14:solidFill>
                          <w14:schemeClr w14:val="tx1"/>
                        </w14:solidFill>
                      </w14:textFill>
                    </w:rPr>
                    <w:t>》（GB3838-2002）中）</w:t>
                  </w:r>
                  <w:r>
                    <w:rPr>
                      <w:rFonts w:hint="default" w:ascii="Times New Roman" w:hAnsi="Times New Roman" w:eastAsia="宋体" w:cs="Times New Roman"/>
                      <w:color w:val="000000" w:themeColor="text1"/>
                      <w:highlight w:val="none"/>
                      <w14:textFill>
                        <w14:solidFill>
                          <w14:schemeClr w14:val="tx1"/>
                        </w14:solidFill>
                      </w14:textFill>
                    </w:rPr>
                    <w:fldChar w:fldCharType="begin"/>
                  </w:r>
                  <w:r>
                    <w:rPr>
                      <w:rFonts w:hint="default" w:ascii="Times New Roman" w:hAnsi="Times New Roman" w:eastAsia="宋体" w:cs="Times New Roman"/>
                      <w:color w:val="000000" w:themeColor="text1"/>
                      <w:highlight w:val="none"/>
                      <w14:textFill>
                        <w14:solidFill>
                          <w14:schemeClr w14:val="tx1"/>
                        </w14:solidFill>
                      </w14:textFill>
                    </w:rPr>
                    <w:instrText xml:space="preserve"> = 3 \* ROMAN \* MERGEFORMAT </w:instrText>
                  </w:r>
                  <w:r>
                    <w:rPr>
                      <w:rFonts w:hint="default" w:ascii="Times New Roman" w:hAnsi="Times New Roman" w:eastAsia="宋体" w:cs="Times New Roman"/>
                      <w:color w:val="000000" w:themeColor="text1"/>
                      <w:highlight w:val="none"/>
                      <w14:textFill>
                        <w14:solidFill>
                          <w14:schemeClr w14:val="tx1"/>
                        </w14:solidFill>
                      </w14:textFill>
                    </w:rPr>
                    <w:fldChar w:fldCharType="separate"/>
                  </w:r>
                  <w:r>
                    <w:rPr>
                      <w:rFonts w:hint="default" w:ascii="Times New Roman" w:hAnsi="Times New Roman" w:eastAsia="宋体" w:cs="Times New Roman"/>
                      <w:color w:val="000000" w:themeColor="text1"/>
                      <w:highlight w:val="none"/>
                      <w14:textFill>
                        <w14:solidFill>
                          <w14:schemeClr w14:val="tx1"/>
                        </w14:solidFill>
                      </w14:textFill>
                    </w:rPr>
                    <w:t>III</w:t>
                  </w:r>
                  <w:r>
                    <w:rPr>
                      <w:rFonts w:hint="default" w:ascii="Times New Roman" w:hAnsi="Times New Roman" w:eastAsia="宋体" w:cs="Times New Roman"/>
                      <w:color w:val="000000" w:themeColor="text1"/>
                      <w:highlight w:val="none"/>
                      <w14:textFill>
                        <w14:solidFill>
                          <w14:schemeClr w14:val="tx1"/>
                        </w14:solidFill>
                      </w14:textFill>
                    </w:rPr>
                    <w:fldChar w:fldCharType="end"/>
                  </w:r>
                  <w:r>
                    <w:rPr>
                      <w:rFonts w:hint="default" w:ascii="Times New Roman" w:hAnsi="Times New Roman" w:eastAsia="宋体" w:cs="Times New Roman"/>
                      <w:color w:val="000000" w:themeColor="text1"/>
                      <w:highlight w:val="none"/>
                      <w14:textFill>
                        <w14:solidFill>
                          <w14:schemeClr w14:val="tx1"/>
                        </w14:solidFill>
                      </w14:textFill>
                    </w:rPr>
                    <w:t>类标准</w:t>
                  </w:r>
                </w:p>
              </w:tc>
            </w:tr>
            <w:tr w14:paraId="67133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36" w:type="dxa"/>
                  <w:vAlign w:val="center"/>
                </w:tcPr>
                <w:p w14:paraId="1788F5E0">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2</w:t>
                  </w:r>
                </w:p>
              </w:tc>
              <w:tc>
                <w:tcPr>
                  <w:tcW w:w="1208" w:type="dxa"/>
                  <w:vAlign w:val="center"/>
                </w:tcPr>
                <w:p w14:paraId="243880F1">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地下水</w:t>
                  </w:r>
                </w:p>
              </w:tc>
              <w:tc>
                <w:tcPr>
                  <w:tcW w:w="1501" w:type="dxa"/>
                  <w:vAlign w:val="center"/>
                </w:tcPr>
                <w:p w14:paraId="2EAE5D36">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评价区潜水含水层</w:t>
                  </w:r>
                </w:p>
              </w:tc>
              <w:tc>
                <w:tcPr>
                  <w:tcW w:w="1464" w:type="dxa"/>
                  <w:vAlign w:val="center"/>
                </w:tcPr>
                <w:p w14:paraId="30A98FE1">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项目区及周边（潜水位埋深2-4m）</w:t>
                  </w:r>
                </w:p>
              </w:tc>
              <w:tc>
                <w:tcPr>
                  <w:tcW w:w="3738" w:type="dxa"/>
                  <w:vAlign w:val="center"/>
                </w:tcPr>
                <w:p w14:paraId="157BD022">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《地下水质量标准》（GB/T14848-2017）Ⅲ类标准（施工期保护）</w:t>
                  </w:r>
                </w:p>
              </w:tc>
            </w:tr>
            <w:tr w14:paraId="34C91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36" w:type="dxa"/>
                  <w:vAlign w:val="center"/>
                </w:tcPr>
                <w:p w14:paraId="5CB479EA">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3</w:t>
                  </w:r>
                </w:p>
              </w:tc>
              <w:tc>
                <w:tcPr>
                  <w:tcW w:w="1208" w:type="dxa"/>
                  <w:vAlign w:val="center"/>
                </w:tcPr>
                <w:p w14:paraId="1B0A3479">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土壤</w:t>
                  </w:r>
                </w:p>
              </w:tc>
              <w:tc>
                <w:tcPr>
                  <w:tcW w:w="1501" w:type="dxa"/>
                  <w:vAlign w:val="center"/>
                </w:tcPr>
                <w:p w14:paraId="6935154E">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项目区及周边农田等</w:t>
                  </w:r>
                </w:p>
              </w:tc>
              <w:tc>
                <w:tcPr>
                  <w:tcW w:w="1464" w:type="dxa"/>
                  <w:vAlign w:val="center"/>
                </w:tcPr>
                <w:p w14:paraId="53ADB12F">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项目区及周边农田、临时占地范围</w:t>
                  </w:r>
                </w:p>
              </w:tc>
              <w:tc>
                <w:tcPr>
                  <w:tcW w:w="3738" w:type="dxa"/>
                  <w:vAlign w:val="center"/>
                </w:tcPr>
                <w:p w14:paraId="23D2AE9B">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《土壤环境质量农用地土壤污染风险管控标准(试行)》（GB15618-2018）表1农用地土壤污染风险筛选值、《土壤环境质量建设用地土壤污染风险管控标准(试行)》（GB36600-2018）表1第二类用地筛选值</w:t>
                  </w:r>
                </w:p>
              </w:tc>
            </w:tr>
            <w:tr w14:paraId="379C8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36" w:type="dxa"/>
                  <w:shd w:val="clear" w:color="auto" w:fill="auto"/>
                  <w:vAlign w:val="center"/>
                </w:tcPr>
                <w:p w14:paraId="0C46298F">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4</w:t>
                  </w:r>
                </w:p>
              </w:tc>
              <w:tc>
                <w:tcPr>
                  <w:tcW w:w="1208" w:type="dxa"/>
                  <w:shd w:val="clear" w:color="auto" w:fill="auto"/>
                  <w:vAlign w:val="center"/>
                </w:tcPr>
                <w:p w14:paraId="3E61F936">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生态环境</w:t>
                  </w:r>
                </w:p>
              </w:tc>
              <w:tc>
                <w:tcPr>
                  <w:tcW w:w="1501" w:type="dxa"/>
                  <w:shd w:val="clear" w:color="auto" w:fill="auto"/>
                  <w:vAlign w:val="center"/>
                </w:tcPr>
                <w:p w14:paraId="7023188F">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区域生态系统结构与功能、动植物、水土保持</w:t>
                  </w:r>
                </w:p>
              </w:tc>
              <w:tc>
                <w:tcPr>
                  <w:tcW w:w="1464" w:type="dxa"/>
                  <w:vAlign w:val="center"/>
                </w:tcPr>
                <w:p w14:paraId="04305F5E">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项目区及周边</w:t>
                  </w:r>
                </w:p>
              </w:tc>
              <w:tc>
                <w:tcPr>
                  <w:tcW w:w="3738" w:type="dxa"/>
                  <w:vAlign w:val="center"/>
                </w:tcPr>
                <w:p w14:paraId="2C67F0D1">
                  <w:pPr>
                    <w:pStyle w:val="114"/>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维持工程影响区域自然生态系统的结构和功能，基本维持区域景观生态体系的完整性、稳定性和多样性；减少建设活动对地表植被的破坏，尽量降低对占地区动植物的影响；加强施工期监督管理，降低生态破坏，减少水土流失量</w:t>
                  </w:r>
                </w:p>
              </w:tc>
            </w:tr>
            <w:tr w14:paraId="64592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36" w:type="dxa"/>
                  <w:shd w:val="clear" w:color="auto" w:fill="auto"/>
                  <w:vAlign w:val="center"/>
                </w:tcPr>
                <w:p w14:paraId="09C65A6D">
                  <w:pPr>
                    <w:keepNext w:val="0"/>
                    <w:keepLines w:val="0"/>
                    <w:widowControl/>
                    <w:suppressLineNumbers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5</w:t>
                  </w:r>
                </w:p>
              </w:tc>
              <w:tc>
                <w:tcPr>
                  <w:tcW w:w="1208" w:type="dxa"/>
                  <w:shd w:val="clear" w:color="auto" w:fill="auto"/>
                  <w:vAlign w:val="center"/>
                </w:tcPr>
                <w:p w14:paraId="2B65EA71">
                  <w:pPr>
                    <w:keepNext w:val="0"/>
                    <w:keepLines w:val="0"/>
                    <w:widowControl/>
                    <w:suppressLineNumbers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水生生态</w:t>
                  </w:r>
                </w:p>
              </w:tc>
              <w:tc>
                <w:tcPr>
                  <w:tcW w:w="1501" w:type="dxa"/>
                  <w:shd w:val="clear" w:color="auto" w:fill="auto"/>
                  <w:vAlign w:val="center"/>
                </w:tcPr>
                <w:p w14:paraId="22301EAA">
                  <w:pPr>
                    <w:keepNext w:val="0"/>
                    <w:keepLines w:val="0"/>
                    <w:widowControl/>
                    <w:suppressLineNumbers w:val="0"/>
                    <w:jc w:val="left"/>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塔里木裂腹鱼自治区二级保护鱼类</w:t>
                  </w:r>
                </w:p>
              </w:tc>
              <w:tc>
                <w:tcPr>
                  <w:tcW w:w="1464" w:type="dxa"/>
                  <w:vAlign w:val="center"/>
                </w:tcPr>
                <w:p w14:paraId="4A805918">
                  <w:pPr>
                    <w:keepNext w:val="0"/>
                    <w:keepLines w:val="0"/>
                    <w:widowControl/>
                    <w:suppressLineNumbers w:val="0"/>
                    <w:jc w:val="left"/>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评价河段偶有出现</w:t>
                  </w:r>
                </w:p>
              </w:tc>
              <w:tc>
                <w:tcPr>
                  <w:tcW w:w="3738" w:type="dxa"/>
                  <w:vAlign w:val="center"/>
                </w:tcPr>
                <w:p w14:paraId="2A5D3A07">
                  <w:pPr>
                    <w:keepNext w:val="0"/>
                    <w:keepLines w:val="0"/>
                    <w:widowControl/>
                    <w:suppressLineNumbers w:val="0"/>
                    <w:jc w:val="left"/>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保护该物种不受施工活动影响；施工期避让繁殖期（5-7月）；严禁捕杀；施工废水零排放</w:t>
                  </w:r>
                </w:p>
              </w:tc>
            </w:tr>
          </w:tbl>
          <w:p w14:paraId="4DEB7585">
            <w:pPr>
              <w:spacing w:line="360" w:lineRule="auto"/>
              <w:ind w:firstLine="420" w:firstLineChars="200"/>
              <w:rPr>
                <w:rFonts w:hint="default" w:ascii="Times New Roman" w:hAnsi="Times New Roman" w:eastAsia="宋体" w:cs="Times New Roman"/>
                <w:color w:val="000000" w:themeColor="text1"/>
                <w:lang w:val="en-US" w:eastAsia="zh-CN"/>
                <w14:textFill>
                  <w14:solidFill>
                    <w14:schemeClr w14:val="tx1"/>
                  </w14:solidFill>
                </w14:textFill>
              </w:rPr>
            </w:pPr>
          </w:p>
        </w:tc>
      </w:tr>
      <w:tr w14:paraId="0A6A28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88" w:hRule="atLeast"/>
          <w:jc w:val="center"/>
        </w:trPr>
        <w:tc>
          <w:tcPr>
            <w:tcW w:w="602" w:type="dxa"/>
            <w:vAlign w:val="center"/>
          </w:tcPr>
          <w:p w14:paraId="682EF384">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评价</w:t>
            </w:r>
          </w:p>
          <w:p w14:paraId="3CF5623E">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标准</w:t>
            </w:r>
          </w:p>
        </w:tc>
        <w:tc>
          <w:tcPr>
            <w:tcW w:w="8921" w:type="dxa"/>
            <w:vAlign w:val="center"/>
          </w:tcPr>
          <w:p w14:paraId="522CC5A4">
            <w:pPr>
              <w:spacing w:line="360" w:lineRule="auto"/>
              <w:ind w:firstLine="482" w:firstLineChars="200"/>
              <w:rPr>
                <w:rFonts w:hint="default" w:ascii="Times New Roman" w:hAnsi="Times New Roman" w:eastAsia="宋体" w:cs="Times New Roman"/>
                <w:b/>
                <w:bCs/>
                <w:color w:val="000000" w:themeColor="text1"/>
                <w:kern w:val="0"/>
                <w:sz w:val="24"/>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1环境质量标准</w:t>
            </w:r>
          </w:p>
          <w:p w14:paraId="6902A3D1">
            <w:pPr>
              <w:pStyle w:val="77"/>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（1）环境空气</w:t>
            </w:r>
          </w:p>
          <w:p w14:paraId="06198086">
            <w:pPr>
              <w:pStyle w:val="77"/>
              <w:ind w:firstLine="480"/>
              <w:rPr>
                <w:rFonts w:hint="default" w:ascii="Times New Roman" w:hAnsi="Times New Roman" w:eastAsia="宋体" w:cs="Times New Roman"/>
                <w:color w:val="000000" w:themeColor="text1"/>
                <w:lang w:val="zh-CN"/>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大气环境常规因子执行《环境空气质量标准》（</w:t>
            </w:r>
            <w:r>
              <w:rPr>
                <w:rFonts w:hint="default" w:ascii="Times New Roman" w:hAnsi="Times New Roman" w:eastAsia="宋体" w:cs="Times New Roman"/>
                <w:color w:val="000000" w:themeColor="text1"/>
                <w:lang w:eastAsia="zh-CN"/>
                <w14:textFill>
                  <w14:solidFill>
                    <w14:schemeClr w14:val="tx1"/>
                  </w14:solidFill>
                </w14:textFill>
              </w:rPr>
              <w:t>GB3095-2026</w:t>
            </w:r>
            <w:r>
              <w:rPr>
                <w:rFonts w:hint="default" w:ascii="Times New Roman" w:hAnsi="Times New Roman" w:eastAsia="宋体" w:cs="Times New Roman"/>
                <w:color w:val="000000" w:themeColor="text1"/>
                <w14:textFill>
                  <w14:solidFill>
                    <w14:schemeClr w14:val="tx1"/>
                  </w14:solidFill>
                </w14:textFill>
              </w:rPr>
              <w:t>）中</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表1过渡阶段浓度限值</w:t>
            </w:r>
            <w:r>
              <w:rPr>
                <w:rFonts w:hint="default" w:ascii="Times New Roman" w:hAnsi="Times New Roman" w:eastAsia="宋体" w:cs="Times New Roman"/>
                <w:color w:val="000000" w:themeColor="text1"/>
                <w:sz w:val="24"/>
                <w:highlight w:val="none"/>
                <w14:textFill>
                  <w14:solidFill>
                    <w14:schemeClr w14:val="tx1"/>
                  </w14:solidFill>
                </w14:textFill>
              </w:rPr>
              <w:t>二级标</w:t>
            </w:r>
            <w:r>
              <w:rPr>
                <w:rFonts w:hint="default" w:ascii="Times New Roman" w:hAnsi="Times New Roman" w:eastAsia="宋体" w:cs="Times New Roman"/>
                <w:color w:val="000000" w:themeColor="text1"/>
                <w14:textFill>
                  <w14:solidFill>
                    <w14:schemeClr w14:val="tx1"/>
                  </w14:solidFill>
                </w14:textFill>
              </w:rPr>
              <w:t>准</w:t>
            </w:r>
            <w:r>
              <w:rPr>
                <w:rFonts w:hint="default" w:ascii="Times New Roman" w:hAnsi="Times New Roman" w:eastAsia="宋体" w:cs="Times New Roman"/>
                <w:color w:val="000000" w:themeColor="text1"/>
                <w:lang w:val="en-US" w:eastAsia="zh-CN"/>
                <w14:textFill>
                  <w14:solidFill>
                    <w14:schemeClr w14:val="tx1"/>
                  </w14:solidFill>
                </w14:textFill>
              </w:rPr>
              <w:t>和表2二级标准</w:t>
            </w:r>
            <w:r>
              <w:rPr>
                <w:rFonts w:hint="default" w:ascii="Times New Roman" w:hAnsi="Times New Roman" w:eastAsia="宋体" w:cs="Times New Roman"/>
                <w:color w:val="000000" w:themeColor="text1"/>
                <w:lang w:val="zh-CN"/>
                <w14:textFill>
                  <w14:solidFill>
                    <w14:schemeClr w14:val="tx1"/>
                  </w14:solidFill>
                </w14:textFill>
              </w:rPr>
              <w:t>。</w:t>
            </w:r>
          </w:p>
          <w:p w14:paraId="37286ED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color w:val="000000" w:themeColor="text1"/>
                <w:sz w:val="21"/>
                <w:szCs w:val="21"/>
                <w14:textFill>
                  <w14:solidFill>
                    <w14:schemeClr w14:val="tx1"/>
                  </w14:solidFill>
                </w14:textFill>
              </w:rPr>
            </w:pPr>
            <w:r>
              <w:rPr>
                <w:rFonts w:hint="default" w:ascii="Times New Roman" w:hAnsi="Times New Roman" w:eastAsia="宋体" w:cs="Times New Roman"/>
                <w:b/>
                <w:color w:val="000000" w:themeColor="text1"/>
                <w:sz w:val="21"/>
                <w:szCs w:val="21"/>
                <w14:textFill>
                  <w14:solidFill>
                    <w14:schemeClr w14:val="tx1"/>
                  </w14:solidFill>
                </w14:textFill>
              </w:rPr>
              <w:t>表</w:t>
            </w:r>
            <w:r>
              <w:rPr>
                <w:rFonts w:hint="default" w:ascii="Times New Roman" w:hAnsi="Times New Roman" w:eastAsia="宋体" w:cs="Times New Roman"/>
                <w:b/>
                <w:color w:val="000000" w:themeColor="text1"/>
                <w:sz w:val="21"/>
                <w:szCs w:val="21"/>
                <w:lang w:val="en-US" w:eastAsia="zh-CN"/>
                <w14:textFill>
                  <w14:solidFill>
                    <w14:schemeClr w14:val="tx1"/>
                  </w14:solidFill>
                </w14:textFill>
              </w:rPr>
              <w:t>3-10</w:t>
            </w:r>
            <w:r>
              <w:rPr>
                <w:rFonts w:hint="default" w:ascii="Times New Roman" w:hAnsi="Times New Roman" w:eastAsia="宋体" w:cs="Times New Roman"/>
                <w:b/>
                <w:color w:val="000000" w:themeColor="text1"/>
                <w:sz w:val="21"/>
                <w:szCs w:val="21"/>
                <w14:textFill>
                  <w14:solidFill>
                    <w14:schemeClr w14:val="tx1"/>
                  </w14:solidFill>
                </w14:textFill>
              </w:rPr>
              <w:t>区域大气环境评价标准</w:t>
            </w:r>
          </w:p>
          <w:tbl>
            <w:tblPr>
              <w:tblStyle w:val="34"/>
              <w:tblW w:w="85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7"/>
              <w:gridCol w:w="2670"/>
              <w:gridCol w:w="2136"/>
              <w:gridCol w:w="3077"/>
            </w:tblGrid>
            <w:tr w14:paraId="375EA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Align w:val="center"/>
                </w:tcPr>
                <w:p w14:paraId="7D0D8D78">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序号</w:t>
                  </w:r>
                </w:p>
              </w:tc>
              <w:tc>
                <w:tcPr>
                  <w:tcW w:w="2670" w:type="dxa"/>
                  <w:vAlign w:val="center"/>
                </w:tcPr>
                <w:p w14:paraId="0A3F24E7">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污染物项目</w:t>
                  </w:r>
                </w:p>
              </w:tc>
              <w:tc>
                <w:tcPr>
                  <w:tcW w:w="2136" w:type="dxa"/>
                  <w:vAlign w:val="center"/>
                </w:tcPr>
                <w:p w14:paraId="0D649D7B">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平均时间</w:t>
                  </w:r>
                </w:p>
              </w:tc>
              <w:tc>
                <w:tcPr>
                  <w:tcW w:w="3077" w:type="dxa"/>
                  <w:vAlign w:val="center"/>
                </w:tcPr>
                <w:p w14:paraId="5191DB5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表1过渡阶段浓度限值</w:t>
                  </w:r>
                  <w:r>
                    <w:rPr>
                      <w:rFonts w:hint="default" w:ascii="Times New Roman" w:hAnsi="Times New Roman" w:eastAsia="宋体" w:cs="Times New Roman"/>
                      <w:color w:val="000000" w:themeColor="text1"/>
                      <w:sz w:val="21"/>
                      <w:szCs w:val="21"/>
                      <w14:textFill>
                        <w14:solidFill>
                          <w14:schemeClr w14:val="tx1"/>
                        </w14:solidFill>
                      </w14:textFill>
                    </w:rPr>
                    <w:t>二级标准</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表2二级标准</w:t>
                  </w:r>
                </w:p>
              </w:tc>
            </w:tr>
            <w:tr w14:paraId="1F716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restart"/>
                  <w:vAlign w:val="center"/>
                </w:tcPr>
                <w:p w14:paraId="2200A524">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cr/>
                  </w:r>
                  <w:r>
                    <w:rPr>
                      <w:rFonts w:hint="default" w:ascii="Times New Roman" w:hAnsi="Times New Roman" w:eastAsia="宋体" w:cs="Times New Roman"/>
                      <w:color w:val="000000" w:themeColor="text1"/>
                      <w14:textFill>
                        <w14:solidFill>
                          <w14:schemeClr w14:val="tx1"/>
                        </w14:solidFill>
                      </w14:textFill>
                    </w:rPr>
                    <w:t>1</w:t>
                  </w:r>
                </w:p>
              </w:tc>
              <w:tc>
                <w:tcPr>
                  <w:tcW w:w="2670" w:type="dxa"/>
                  <w:vMerge w:val="restart"/>
                  <w:vAlign w:val="center"/>
                </w:tcPr>
                <w:p w14:paraId="00D32E2A">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二氧化硫（SO</w:t>
                  </w:r>
                  <w:r>
                    <w:rPr>
                      <w:rFonts w:hint="default" w:ascii="Times New Roman" w:hAnsi="Times New Roman" w:eastAsia="宋体" w:cs="Times New Roman"/>
                      <w:color w:val="000000" w:themeColor="text1"/>
                      <w:vertAlign w:val="subscript"/>
                      <w14:textFill>
                        <w14:solidFill>
                          <w14:schemeClr w14:val="tx1"/>
                        </w14:solidFill>
                      </w14:textFill>
                    </w:rPr>
                    <w:t>2</w:t>
                  </w:r>
                  <w:r>
                    <w:rPr>
                      <w:rFonts w:hint="default" w:ascii="Times New Roman" w:hAnsi="Times New Roman" w:eastAsia="宋体" w:cs="Times New Roman"/>
                      <w:color w:val="000000" w:themeColor="text1"/>
                      <w14:textFill>
                        <w14:solidFill>
                          <w14:schemeClr w14:val="tx1"/>
                        </w14:solidFill>
                      </w14:textFill>
                    </w:rPr>
                    <w:t>）</w:t>
                  </w:r>
                </w:p>
              </w:tc>
              <w:tc>
                <w:tcPr>
                  <w:tcW w:w="2136" w:type="dxa"/>
                  <w:vAlign w:val="center"/>
                </w:tcPr>
                <w:p w14:paraId="2BBA8DC0">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年平均</w:t>
                  </w:r>
                </w:p>
              </w:tc>
              <w:tc>
                <w:tcPr>
                  <w:tcW w:w="3077" w:type="dxa"/>
                  <w:vAlign w:val="center"/>
                </w:tcPr>
                <w:p w14:paraId="1B0546C4">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1F772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continue"/>
                  <w:vAlign w:val="center"/>
                </w:tcPr>
                <w:p w14:paraId="5C8400C6">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670" w:type="dxa"/>
                  <w:vMerge w:val="continue"/>
                  <w:vAlign w:val="center"/>
                </w:tcPr>
                <w:p w14:paraId="1EAC5C53">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136" w:type="dxa"/>
                  <w:vAlign w:val="center"/>
                </w:tcPr>
                <w:p w14:paraId="69D7FA56">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24小时平均</w:t>
                  </w:r>
                </w:p>
              </w:tc>
              <w:tc>
                <w:tcPr>
                  <w:tcW w:w="3077" w:type="dxa"/>
                  <w:vAlign w:val="center"/>
                </w:tcPr>
                <w:p w14:paraId="65765FC2">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150μg/m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40D33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continue"/>
                  <w:vAlign w:val="center"/>
                </w:tcPr>
                <w:p w14:paraId="0A8CAF22">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670" w:type="dxa"/>
                  <w:vMerge w:val="continue"/>
                  <w:vAlign w:val="center"/>
                </w:tcPr>
                <w:p w14:paraId="6D6B1D4D">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136" w:type="dxa"/>
                  <w:vAlign w:val="center"/>
                </w:tcPr>
                <w:p w14:paraId="6403F0B7">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1小时平均</w:t>
                  </w:r>
                </w:p>
              </w:tc>
              <w:tc>
                <w:tcPr>
                  <w:tcW w:w="3077" w:type="dxa"/>
                  <w:vAlign w:val="center"/>
                </w:tcPr>
                <w:p w14:paraId="609069BD">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500μg/m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0722F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restart"/>
                  <w:vAlign w:val="center"/>
                </w:tcPr>
                <w:p w14:paraId="46434E80">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w:t>
                  </w:r>
                </w:p>
              </w:tc>
              <w:tc>
                <w:tcPr>
                  <w:tcW w:w="2670" w:type="dxa"/>
                  <w:vMerge w:val="restart"/>
                  <w:vAlign w:val="center"/>
                </w:tcPr>
                <w:p w14:paraId="668E8086">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二氧化氮（NO</w:t>
                  </w:r>
                  <w:r>
                    <w:rPr>
                      <w:rFonts w:hint="default" w:ascii="Times New Roman" w:hAnsi="Times New Roman" w:eastAsia="宋体" w:cs="Times New Roman"/>
                      <w:color w:val="000000" w:themeColor="text1"/>
                      <w:vertAlign w:val="subscript"/>
                      <w14:textFill>
                        <w14:solidFill>
                          <w14:schemeClr w14:val="tx1"/>
                        </w14:solidFill>
                      </w14:textFill>
                    </w:rPr>
                    <w:t>2</w:t>
                  </w:r>
                  <w:r>
                    <w:rPr>
                      <w:rFonts w:hint="default" w:ascii="Times New Roman" w:hAnsi="Times New Roman" w:eastAsia="宋体" w:cs="Times New Roman"/>
                      <w:color w:val="000000" w:themeColor="text1"/>
                      <w14:textFill>
                        <w14:solidFill>
                          <w14:schemeClr w14:val="tx1"/>
                        </w14:solidFill>
                      </w14:textFill>
                    </w:rPr>
                    <w:t>）</w:t>
                  </w:r>
                </w:p>
              </w:tc>
              <w:tc>
                <w:tcPr>
                  <w:tcW w:w="2136" w:type="dxa"/>
                  <w:vAlign w:val="center"/>
                </w:tcPr>
                <w:p w14:paraId="3986D97E">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年平均</w:t>
                  </w:r>
                </w:p>
              </w:tc>
              <w:tc>
                <w:tcPr>
                  <w:tcW w:w="3077" w:type="dxa"/>
                  <w:vAlign w:val="center"/>
                </w:tcPr>
                <w:p w14:paraId="5A09BFC1">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40μg/m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5DDA0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continue"/>
                  <w:vAlign w:val="center"/>
                </w:tcPr>
                <w:p w14:paraId="7085A0CE">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670" w:type="dxa"/>
                  <w:vMerge w:val="continue"/>
                  <w:vAlign w:val="center"/>
                </w:tcPr>
                <w:p w14:paraId="4DBDA73D">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136" w:type="dxa"/>
                  <w:vAlign w:val="center"/>
                </w:tcPr>
                <w:p w14:paraId="478992C3">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24小时平均</w:t>
                  </w:r>
                </w:p>
              </w:tc>
              <w:tc>
                <w:tcPr>
                  <w:tcW w:w="3077" w:type="dxa"/>
                  <w:vAlign w:val="center"/>
                </w:tcPr>
                <w:p w14:paraId="4448CCB4">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80μg/m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602B1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continue"/>
                  <w:vAlign w:val="center"/>
                </w:tcPr>
                <w:p w14:paraId="45890D3B">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670" w:type="dxa"/>
                  <w:vMerge w:val="continue"/>
                  <w:vAlign w:val="center"/>
                </w:tcPr>
                <w:p w14:paraId="33134846">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136" w:type="dxa"/>
                  <w:vAlign w:val="center"/>
                </w:tcPr>
                <w:p w14:paraId="51F225C0">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1小时平均</w:t>
                  </w:r>
                </w:p>
              </w:tc>
              <w:tc>
                <w:tcPr>
                  <w:tcW w:w="3077" w:type="dxa"/>
                  <w:vAlign w:val="center"/>
                </w:tcPr>
                <w:p w14:paraId="25DE9767">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200μg/m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6B910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restart"/>
                  <w:vAlign w:val="center"/>
                </w:tcPr>
                <w:p w14:paraId="4FA19F28">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3</w:t>
                  </w:r>
                </w:p>
              </w:tc>
              <w:tc>
                <w:tcPr>
                  <w:tcW w:w="2670" w:type="dxa"/>
                  <w:vMerge w:val="restart"/>
                  <w:vAlign w:val="center"/>
                </w:tcPr>
                <w:p w14:paraId="7174784D">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颗粒物（粒径小于等于10μm，PM</w:t>
                  </w:r>
                  <w:r>
                    <w:rPr>
                      <w:rFonts w:hint="default" w:ascii="Times New Roman" w:hAnsi="Times New Roman" w:eastAsia="宋体" w:cs="Times New Roman"/>
                      <w:color w:val="000000" w:themeColor="text1"/>
                      <w:vertAlign w:val="subscript"/>
                      <w14:textFill>
                        <w14:solidFill>
                          <w14:schemeClr w14:val="tx1"/>
                        </w14:solidFill>
                      </w14:textFill>
                    </w:rPr>
                    <w:t>10</w:t>
                  </w:r>
                  <w:r>
                    <w:rPr>
                      <w:rFonts w:hint="default" w:ascii="Times New Roman" w:hAnsi="Times New Roman" w:eastAsia="宋体" w:cs="Times New Roman"/>
                      <w:color w:val="000000" w:themeColor="text1"/>
                      <w14:textFill>
                        <w14:solidFill>
                          <w14:schemeClr w14:val="tx1"/>
                        </w14:solidFill>
                      </w14:textFill>
                    </w:rPr>
                    <w:t>）</w:t>
                  </w:r>
                </w:p>
              </w:tc>
              <w:tc>
                <w:tcPr>
                  <w:tcW w:w="2136" w:type="dxa"/>
                  <w:vAlign w:val="center"/>
                </w:tcPr>
                <w:p w14:paraId="18134E2D">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年平均</w:t>
                  </w:r>
                </w:p>
              </w:tc>
              <w:tc>
                <w:tcPr>
                  <w:tcW w:w="3077" w:type="dxa"/>
                  <w:vAlign w:val="center"/>
                </w:tcPr>
                <w:p w14:paraId="469105E7">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r>
                    <w:rPr>
                      <w:rFonts w:hint="default" w:ascii="Times New Roman" w:hAnsi="Times New Roman" w:eastAsia="宋体" w:cs="Times New Roman"/>
                      <w:color w:val="000000" w:themeColor="text1"/>
                      <w14:textFill>
                        <w14:solidFill>
                          <w14:schemeClr w14:val="tx1"/>
                        </w14:solidFill>
                      </w14:textFill>
                    </w:rPr>
                    <w:t>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4A4E6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continue"/>
                  <w:vAlign w:val="center"/>
                </w:tcPr>
                <w:p w14:paraId="76F6B829">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670" w:type="dxa"/>
                  <w:vMerge w:val="continue"/>
                  <w:vAlign w:val="center"/>
                </w:tcPr>
                <w:p w14:paraId="6BF3C993">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136" w:type="dxa"/>
                  <w:vAlign w:val="center"/>
                </w:tcPr>
                <w:p w14:paraId="7297FB87">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24小时平均</w:t>
                  </w:r>
                </w:p>
              </w:tc>
              <w:tc>
                <w:tcPr>
                  <w:tcW w:w="3077" w:type="dxa"/>
                  <w:vAlign w:val="center"/>
                </w:tcPr>
                <w:p w14:paraId="71E72F05">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w:t>
                  </w:r>
                  <w:r>
                    <w:rPr>
                      <w:rFonts w:hint="default" w:ascii="Times New Roman" w:hAnsi="Times New Roman" w:eastAsia="宋体" w:cs="Times New Roman"/>
                      <w:color w:val="000000" w:themeColor="text1"/>
                      <w:lang w:val="en-US" w:eastAsia="zh-CN"/>
                      <w14:textFill>
                        <w14:solidFill>
                          <w14:schemeClr w14:val="tx1"/>
                        </w14:solidFill>
                      </w14:textFill>
                    </w:rPr>
                    <w:t>2</w:t>
                  </w:r>
                  <w:r>
                    <w:rPr>
                      <w:rFonts w:hint="default" w:ascii="Times New Roman" w:hAnsi="Times New Roman" w:eastAsia="宋体" w:cs="Times New Roman"/>
                      <w:color w:val="000000" w:themeColor="text1"/>
                      <w14:textFill>
                        <w14:solidFill>
                          <w14:schemeClr w14:val="tx1"/>
                        </w14:solidFill>
                      </w14:textFill>
                    </w:rPr>
                    <w:t>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4F4F9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restart"/>
                  <w:vAlign w:val="center"/>
                </w:tcPr>
                <w:p w14:paraId="5D5C3846">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4</w:t>
                  </w:r>
                </w:p>
              </w:tc>
              <w:tc>
                <w:tcPr>
                  <w:tcW w:w="2670" w:type="dxa"/>
                  <w:vMerge w:val="restart"/>
                  <w:vAlign w:val="center"/>
                </w:tcPr>
                <w:p w14:paraId="62BC7670">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颗粒物（粒径小于等于2.5μm，PM</w:t>
                  </w:r>
                  <w:r>
                    <w:rPr>
                      <w:rFonts w:hint="default" w:ascii="Times New Roman" w:hAnsi="Times New Roman" w:eastAsia="宋体" w:cs="Times New Roman"/>
                      <w:color w:val="000000" w:themeColor="text1"/>
                      <w:vertAlign w:val="subscript"/>
                      <w14:textFill>
                        <w14:solidFill>
                          <w14:schemeClr w14:val="tx1"/>
                        </w14:solidFill>
                      </w14:textFill>
                    </w:rPr>
                    <w:t>2.5</w:t>
                  </w:r>
                  <w:r>
                    <w:rPr>
                      <w:rFonts w:hint="default" w:ascii="Times New Roman" w:hAnsi="Times New Roman" w:eastAsia="宋体" w:cs="Times New Roman"/>
                      <w:color w:val="000000" w:themeColor="text1"/>
                      <w14:textFill>
                        <w14:solidFill>
                          <w14:schemeClr w14:val="tx1"/>
                        </w14:solidFill>
                      </w14:textFill>
                    </w:rPr>
                    <w:t>）</w:t>
                  </w:r>
                </w:p>
              </w:tc>
              <w:tc>
                <w:tcPr>
                  <w:tcW w:w="2136" w:type="dxa"/>
                  <w:vAlign w:val="center"/>
                </w:tcPr>
                <w:p w14:paraId="6FF240AE">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年平均</w:t>
                  </w:r>
                </w:p>
              </w:tc>
              <w:tc>
                <w:tcPr>
                  <w:tcW w:w="3077" w:type="dxa"/>
                  <w:vAlign w:val="center"/>
                </w:tcPr>
                <w:p w14:paraId="6E9C026E">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3</w:t>
                  </w:r>
                  <w:r>
                    <w:rPr>
                      <w:rFonts w:hint="default" w:ascii="Times New Roman" w:hAnsi="Times New Roman" w:eastAsia="宋体" w:cs="Times New Roman"/>
                      <w:color w:val="000000" w:themeColor="text1"/>
                      <w:lang w:val="en-US" w:eastAsia="zh-CN"/>
                      <w14:textFill>
                        <w14:solidFill>
                          <w14:schemeClr w14:val="tx1"/>
                        </w14:solidFill>
                      </w14:textFill>
                    </w:rPr>
                    <w:t>0</w:t>
                  </w:r>
                  <w:r>
                    <w:rPr>
                      <w:rFonts w:hint="default" w:ascii="Times New Roman" w:hAnsi="Times New Roman" w:eastAsia="宋体" w:cs="Times New Roman"/>
                      <w:color w:val="000000" w:themeColor="text1"/>
                      <w14:textFill>
                        <w14:solidFill>
                          <w14:schemeClr w14:val="tx1"/>
                        </w14:solidFill>
                      </w14:textFill>
                    </w:rPr>
                    <w:t>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581C6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continue"/>
                  <w:vAlign w:val="center"/>
                </w:tcPr>
                <w:p w14:paraId="182F719A">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670" w:type="dxa"/>
                  <w:vMerge w:val="continue"/>
                  <w:vAlign w:val="center"/>
                </w:tcPr>
                <w:p w14:paraId="5CC5475A">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136" w:type="dxa"/>
                  <w:vAlign w:val="center"/>
                </w:tcPr>
                <w:p w14:paraId="18DB4A1E">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24小时平均</w:t>
                  </w:r>
                </w:p>
              </w:tc>
              <w:tc>
                <w:tcPr>
                  <w:tcW w:w="3077" w:type="dxa"/>
                  <w:vAlign w:val="center"/>
                </w:tcPr>
                <w:p w14:paraId="039D0C02">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60</w:t>
                  </w:r>
                  <w:r>
                    <w:rPr>
                      <w:rFonts w:hint="default" w:ascii="Times New Roman" w:hAnsi="Times New Roman" w:eastAsia="宋体" w:cs="Times New Roman"/>
                      <w:color w:val="000000" w:themeColor="text1"/>
                      <w14:textFill>
                        <w14:solidFill>
                          <w14:schemeClr w14:val="tx1"/>
                        </w14:solidFill>
                      </w14:textFill>
                    </w:rPr>
                    <w:t>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59115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restart"/>
                  <w:vAlign w:val="center"/>
                </w:tcPr>
                <w:p w14:paraId="237893A5">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w:t>
                  </w:r>
                </w:p>
              </w:tc>
              <w:tc>
                <w:tcPr>
                  <w:tcW w:w="2670" w:type="dxa"/>
                  <w:vMerge w:val="restart"/>
                  <w:vAlign w:val="center"/>
                </w:tcPr>
                <w:p w14:paraId="739375F9">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总悬浮颗粒物</w:t>
                  </w:r>
                </w:p>
              </w:tc>
              <w:tc>
                <w:tcPr>
                  <w:tcW w:w="2136" w:type="dxa"/>
                  <w:vAlign w:val="center"/>
                </w:tcPr>
                <w:p w14:paraId="7FDB99CA">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年平均</w:t>
                  </w:r>
                </w:p>
              </w:tc>
              <w:tc>
                <w:tcPr>
                  <w:tcW w:w="3077" w:type="dxa"/>
                  <w:vAlign w:val="center"/>
                </w:tcPr>
                <w:p w14:paraId="35286254">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200μg/m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4DF2F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continue"/>
                  <w:vAlign w:val="center"/>
                </w:tcPr>
                <w:p w14:paraId="7046B6E5">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670" w:type="dxa"/>
                  <w:vMerge w:val="continue"/>
                  <w:vAlign w:val="center"/>
                </w:tcPr>
                <w:p w14:paraId="0ED824D9">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136" w:type="dxa"/>
                  <w:vAlign w:val="center"/>
                </w:tcPr>
                <w:p w14:paraId="24A84743">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24小时平均</w:t>
                  </w:r>
                </w:p>
              </w:tc>
              <w:tc>
                <w:tcPr>
                  <w:tcW w:w="3077" w:type="dxa"/>
                  <w:vAlign w:val="center"/>
                </w:tcPr>
                <w:p w14:paraId="1EF895F6">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300μg/m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1DA66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restart"/>
                  <w:vAlign w:val="center"/>
                </w:tcPr>
                <w:p w14:paraId="687F891C">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w:t>
                  </w:r>
                </w:p>
              </w:tc>
              <w:tc>
                <w:tcPr>
                  <w:tcW w:w="2670" w:type="dxa"/>
                  <w:vMerge w:val="restart"/>
                  <w:vAlign w:val="center"/>
                </w:tcPr>
                <w:p w14:paraId="10AF96B1">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臭氧（O</w:t>
                  </w:r>
                  <w:r>
                    <w:rPr>
                      <w:rFonts w:hint="default" w:ascii="Times New Roman" w:hAnsi="Times New Roman" w:eastAsia="宋体" w:cs="Times New Roman"/>
                      <w:color w:val="000000" w:themeColor="text1"/>
                      <w:vertAlign w:val="subscript"/>
                      <w14:textFill>
                        <w14:solidFill>
                          <w14:schemeClr w14:val="tx1"/>
                        </w14:solidFill>
                      </w14:textFill>
                    </w:rPr>
                    <w:t>3</w:t>
                  </w:r>
                  <w:r>
                    <w:rPr>
                      <w:rFonts w:hint="default" w:ascii="Times New Roman" w:hAnsi="Times New Roman" w:eastAsia="宋体" w:cs="Times New Roman"/>
                      <w:color w:val="000000" w:themeColor="text1"/>
                      <w14:textFill>
                        <w14:solidFill>
                          <w14:schemeClr w14:val="tx1"/>
                        </w14:solidFill>
                      </w14:textFill>
                    </w:rPr>
                    <w:t>）</w:t>
                  </w:r>
                </w:p>
              </w:tc>
              <w:tc>
                <w:tcPr>
                  <w:tcW w:w="2136" w:type="dxa"/>
                  <w:vAlign w:val="center"/>
                </w:tcPr>
                <w:p w14:paraId="46A40686">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日最大8小时平均</w:t>
                  </w:r>
                </w:p>
              </w:tc>
              <w:tc>
                <w:tcPr>
                  <w:tcW w:w="3077" w:type="dxa"/>
                  <w:vAlign w:val="center"/>
                </w:tcPr>
                <w:p w14:paraId="34B306FB">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160μg/m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2F1AE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continue"/>
                  <w:vAlign w:val="center"/>
                </w:tcPr>
                <w:p w14:paraId="6B1334B6">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670" w:type="dxa"/>
                  <w:vMerge w:val="continue"/>
                  <w:vAlign w:val="center"/>
                </w:tcPr>
                <w:p w14:paraId="15032A6B">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136" w:type="dxa"/>
                  <w:vAlign w:val="center"/>
                </w:tcPr>
                <w:p w14:paraId="101B95FF">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1小时平均</w:t>
                  </w:r>
                </w:p>
              </w:tc>
              <w:tc>
                <w:tcPr>
                  <w:tcW w:w="3077" w:type="dxa"/>
                  <w:vAlign w:val="center"/>
                </w:tcPr>
                <w:p w14:paraId="4E6829C1">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200μg/m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78D1C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restart"/>
                  <w:vAlign w:val="center"/>
                </w:tcPr>
                <w:p w14:paraId="05EBE4EA">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w:t>
                  </w:r>
                </w:p>
              </w:tc>
              <w:tc>
                <w:tcPr>
                  <w:tcW w:w="2670" w:type="dxa"/>
                  <w:vMerge w:val="restart"/>
                  <w:vAlign w:val="center"/>
                </w:tcPr>
                <w:p w14:paraId="5971ED5F">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一氧化碳（CO）</w:t>
                  </w:r>
                </w:p>
              </w:tc>
              <w:tc>
                <w:tcPr>
                  <w:tcW w:w="2136" w:type="dxa"/>
                  <w:vAlign w:val="center"/>
                </w:tcPr>
                <w:p w14:paraId="7A53A889">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24小时平均</w:t>
                  </w:r>
                </w:p>
              </w:tc>
              <w:tc>
                <w:tcPr>
                  <w:tcW w:w="3077" w:type="dxa"/>
                  <w:vAlign w:val="center"/>
                </w:tcPr>
                <w:p w14:paraId="1446F49C">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4mg/m</w:t>
                  </w:r>
                  <w:r>
                    <w:rPr>
                      <w:rFonts w:hint="default" w:ascii="Times New Roman" w:hAnsi="Times New Roman" w:eastAsia="宋体" w:cs="Times New Roman"/>
                      <w:color w:val="000000" w:themeColor="text1"/>
                      <w:vertAlign w:val="superscript"/>
                      <w14:textFill>
                        <w14:solidFill>
                          <w14:schemeClr w14:val="tx1"/>
                        </w14:solidFill>
                      </w14:textFill>
                    </w:rPr>
                    <w:t>3</w:t>
                  </w:r>
                </w:p>
              </w:tc>
            </w:tr>
            <w:tr w14:paraId="7D153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7" w:type="dxa"/>
                  <w:vMerge w:val="continue"/>
                  <w:vAlign w:val="center"/>
                </w:tcPr>
                <w:p w14:paraId="45164C20">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670" w:type="dxa"/>
                  <w:vMerge w:val="continue"/>
                  <w:vAlign w:val="center"/>
                </w:tcPr>
                <w:p w14:paraId="322951C9">
                  <w:pPr>
                    <w:pStyle w:val="79"/>
                    <w:spacing w:line="240" w:lineRule="auto"/>
                    <w:rPr>
                      <w:rFonts w:hint="default" w:ascii="Times New Roman" w:hAnsi="Times New Roman" w:eastAsia="宋体" w:cs="Times New Roman"/>
                      <w:color w:val="000000" w:themeColor="text1"/>
                      <w14:textFill>
                        <w14:solidFill>
                          <w14:schemeClr w14:val="tx1"/>
                        </w14:solidFill>
                      </w14:textFill>
                    </w:rPr>
                  </w:pPr>
                </w:p>
              </w:tc>
              <w:tc>
                <w:tcPr>
                  <w:tcW w:w="2136" w:type="dxa"/>
                  <w:vAlign w:val="center"/>
                </w:tcPr>
                <w:p w14:paraId="4139D2D1">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1小时平均</w:t>
                  </w:r>
                </w:p>
              </w:tc>
              <w:tc>
                <w:tcPr>
                  <w:tcW w:w="3077" w:type="dxa"/>
                  <w:vAlign w:val="center"/>
                </w:tcPr>
                <w:p w14:paraId="3AC229E3">
                  <w:pPr>
                    <w:pStyle w:val="79"/>
                    <w:spacing w:line="240" w:lineRule="auto"/>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10mg/m</w:t>
                  </w:r>
                  <w:r>
                    <w:rPr>
                      <w:rFonts w:hint="default" w:ascii="Times New Roman" w:hAnsi="Times New Roman" w:eastAsia="宋体" w:cs="Times New Roman"/>
                      <w:color w:val="000000" w:themeColor="text1"/>
                      <w:vertAlign w:val="superscript"/>
                      <w14:textFill>
                        <w14:solidFill>
                          <w14:schemeClr w14:val="tx1"/>
                        </w14:solidFill>
                      </w14:textFill>
                    </w:rPr>
                    <w:t>3</w:t>
                  </w:r>
                </w:p>
              </w:tc>
            </w:tr>
          </w:tbl>
          <w:p w14:paraId="17C861A7">
            <w:pPr>
              <w:spacing w:line="360" w:lineRule="auto"/>
              <w:ind w:firstLine="480" w:firstLineChars="200"/>
              <w:rPr>
                <w:rFonts w:hint="default" w:ascii="Times New Roman" w:hAnsi="Times New Roman" w:eastAsia="宋体" w:cs="Times New Roman"/>
                <w:color w:val="000000" w:themeColor="text1"/>
                <w:sz w:val="24"/>
                <w:lang w:val="zh-CN"/>
                <w14:textFill>
                  <w14:solidFill>
                    <w14:schemeClr w14:val="tx1"/>
                  </w14:solidFill>
                </w14:textFill>
              </w:rPr>
            </w:pPr>
            <w:r>
              <w:rPr>
                <w:rFonts w:hint="default" w:ascii="Times New Roman" w:hAnsi="Times New Roman" w:eastAsia="宋体" w:cs="Times New Roman"/>
                <w:color w:val="000000" w:themeColor="text1"/>
                <w:sz w:val="24"/>
                <w:lang w:val="zh-CN"/>
                <w14:textFill>
                  <w14:solidFill>
                    <w14:schemeClr w14:val="tx1"/>
                  </w14:solidFill>
                </w14:textFill>
              </w:rPr>
              <w:t>（2）地表水环境</w:t>
            </w:r>
          </w:p>
          <w:p w14:paraId="1154E00E">
            <w:pPr>
              <w:pStyle w:val="116"/>
              <w:ind w:firstLine="480"/>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叶尔羌河地表水环境执行</w:t>
            </w:r>
            <w:r>
              <w:rPr>
                <w:rFonts w:hint="default" w:ascii="Times New Roman" w:hAnsi="Times New Roman" w:eastAsia="宋体" w:cs="Times New Roman"/>
                <w:color w:val="000000" w:themeColor="text1"/>
                <w:lang w:val="zh-CN" w:eastAsia="zh-CN"/>
                <w14:textFill>
                  <w14:solidFill>
                    <w14:schemeClr w14:val="tx1"/>
                  </w14:solidFill>
                </w14:textFill>
              </w:rPr>
              <w:t>《地表水环境质量标准》（GB3838-2002）</w:t>
            </w:r>
            <w:r>
              <w:rPr>
                <w:rFonts w:hint="default" w:ascii="Times New Roman" w:hAnsi="Times New Roman" w:eastAsia="宋体" w:cs="Times New Roman"/>
                <w:color w:val="000000" w:themeColor="text1"/>
                <w:lang w:val="zh-CN" w:eastAsia="zh-CN"/>
                <w14:textFill>
                  <w14:solidFill>
                    <w14:schemeClr w14:val="tx1"/>
                  </w14:solidFill>
                </w14:textFill>
              </w:rPr>
              <w:fldChar w:fldCharType="begin"/>
            </w:r>
            <w:r>
              <w:rPr>
                <w:rFonts w:hint="default" w:ascii="Times New Roman" w:hAnsi="Times New Roman" w:eastAsia="宋体" w:cs="Times New Roman"/>
                <w:color w:val="000000" w:themeColor="text1"/>
                <w:lang w:val="zh-CN" w:eastAsia="zh-CN"/>
                <w14:textFill>
                  <w14:solidFill>
                    <w14:schemeClr w14:val="tx1"/>
                  </w14:solidFill>
                </w14:textFill>
              </w:rPr>
              <w:instrText xml:space="preserve"> = 3 \* ROMAN </w:instrText>
            </w:r>
            <w:r>
              <w:rPr>
                <w:rFonts w:hint="default" w:ascii="Times New Roman" w:hAnsi="Times New Roman" w:eastAsia="宋体" w:cs="Times New Roman"/>
                <w:color w:val="000000" w:themeColor="text1"/>
                <w:lang w:val="zh-CN" w:eastAsia="zh-CN"/>
                <w14:textFill>
                  <w14:solidFill>
                    <w14:schemeClr w14:val="tx1"/>
                  </w14:solidFill>
                </w14:textFill>
              </w:rPr>
              <w:fldChar w:fldCharType="separate"/>
            </w:r>
            <w:r>
              <w:rPr>
                <w:rFonts w:hint="default" w:ascii="Times New Roman" w:hAnsi="Times New Roman" w:eastAsia="宋体" w:cs="Times New Roman"/>
                <w:color w:val="000000" w:themeColor="text1"/>
                <w:lang w:val="zh-CN" w:eastAsia="zh-CN"/>
                <w14:textFill>
                  <w14:solidFill>
                    <w14:schemeClr w14:val="tx1"/>
                  </w14:solidFill>
                </w14:textFill>
              </w:rPr>
              <w:t>Ⅲ</w:t>
            </w:r>
            <w:r>
              <w:rPr>
                <w:rFonts w:hint="default" w:ascii="Times New Roman" w:hAnsi="Times New Roman" w:eastAsia="宋体" w:cs="Times New Roman"/>
                <w:color w:val="000000" w:themeColor="text1"/>
                <w:lang w:val="zh-CN" w:eastAsia="zh-CN"/>
                <w14:textFill>
                  <w14:solidFill>
                    <w14:schemeClr w14:val="tx1"/>
                  </w14:solidFill>
                </w14:textFill>
              </w:rPr>
              <w:fldChar w:fldCharType="end"/>
            </w:r>
            <w:r>
              <w:rPr>
                <w:rFonts w:hint="default" w:ascii="Times New Roman" w:hAnsi="Times New Roman" w:eastAsia="宋体" w:cs="Times New Roman"/>
                <w:color w:val="000000" w:themeColor="text1"/>
                <w:lang w:val="zh-CN" w:eastAsia="zh-CN"/>
                <w14:textFill>
                  <w14:solidFill>
                    <w14:schemeClr w14:val="tx1"/>
                  </w14:solidFill>
                </w14:textFill>
              </w:rPr>
              <w:t>类标准。</w:t>
            </w:r>
          </w:p>
          <w:p w14:paraId="4ACEBB3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color w:val="000000" w:themeColor="text1"/>
                <w:sz w:val="21"/>
                <w:szCs w:val="21"/>
                <w14:textFill>
                  <w14:solidFill>
                    <w14:schemeClr w14:val="tx1"/>
                  </w14:solidFill>
                </w14:textFill>
              </w:rPr>
            </w:pPr>
            <w:r>
              <w:rPr>
                <w:rFonts w:hint="default" w:ascii="Times New Roman" w:hAnsi="Times New Roman" w:eastAsia="宋体" w:cs="Times New Roman"/>
                <w:b/>
                <w:color w:val="000000" w:themeColor="text1"/>
                <w:sz w:val="21"/>
                <w:szCs w:val="21"/>
                <w14:textFill>
                  <w14:solidFill>
                    <w14:schemeClr w14:val="tx1"/>
                  </w14:solidFill>
                </w14:textFill>
              </w:rPr>
              <w:t>表</w:t>
            </w:r>
            <w:r>
              <w:rPr>
                <w:rFonts w:hint="default" w:ascii="Times New Roman" w:hAnsi="Times New Roman" w:eastAsia="宋体" w:cs="Times New Roman"/>
                <w:b/>
                <w:color w:val="000000" w:themeColor="text1"/>
                <w:sz w:val="21"/>
                <w:szCs w:val="21"/>
                <w:lang w:val="en-US" w:eastAsia="zh-CN"/>
                <w14:textFill>
                  <w14:solidFill>
                    <w14:schemeClr w14:val="tx1"/>
                  </w14:solidFill>
                </w14:textFill>
              </w:rPr>
              <w:t>3-11</w:t>
            </w:r>
            <w:r>
              <w:rPr>
                <w:rFonts w:hint="default" w:ascii="Times New Roman" w:hAnsi="Times New Roman" w:eastAsia="宋体" w:cs="Times New Roman"/>
                <w:b/>
                <w:color w:val="000000" w:themeColor="text1"/>
                <w:sz w:val="21"/>
                <w:szCs w:val="21"/>
                <w14:textFill>
                  <w14:solidFill>
                    <w14:schemeClr w14:val="tx1"/>
                  </w14:solidFill>
                </w14:textFill>
              </w:rPr>
              <w:t>区域</w:t>
            </w:r>
            <w:r>
              <w:rPr>
                <w:rFonts w:hint="default" w:ascii="Times New Roman" w:hAnsi="Times New Roman" w:eastAsia="宋体" w:cs="Times New Roman"/>
                <w:b/>
                <w:color w:val="000000" w:themeColor="text1"/>
                <w:sz w:val="21"/>
                <w:szCs w:val="21"/>
                <w:lang w:val="en-US" w:eastAsia="zh-CN"/>
                <w14:textFill>
                  <w14:solidFill>
                    <w14:schemeClr w14:val="tx1"/>
                  </w14:solidFill>
                </w14:textFill>
              </w:rPr>
              <w:t>地表水</w:t>
            </w:r>
            <w:r>
              <w:rPr>
                <w:rFonts w:hint="default" w:ascii="Times New Roman" w:hAnsi="Times New Roman" w:eastAsia="宋体" w:cs="Times New Roman"/>
                <w:b/>
                <w:color w:val="000000" w:themeColor="text1"/>
                <w:sz w:val="21"/>
                <w:szCs w:val="21"/>
                <w14:textFill>
                  <w14:solidFill>
                    <w14:schemeClr w14:val="tx1"/>
                  </w14:solidFill>
                </w14:textFill>
              </w:rPr>
              <w:t>环境</w:t>
            </w:r>
            <w:r>
              <w:rPr>
                <w:rFonts w:hint="default" w:ascii="Times New Roman" w:hAnsi="Times New Roman" w:eastAsia="宋体" w:cs="Times New Roman"/>
                <w:b/>
                <w:color w:val="000000" w:themeColor="text1"/>
                <w:sz w:val="21"/>
                <w:szCs w:val="21"/>
                <w:lang w:val="en-US" w:eastAsia="zh-CN"/>
                <w14:textFill>
                  <w14:solidFill>
                    <w14:schemeClr w14:val="tx1"/>
                  </w14:solidFill>
                </w14:textFill>
              </w:rPr>
              <w:t>质量</w:t>
            </w:r>
            <w:r>
              <w:rPr>
                <w:rFonts w:hint="default" w:ascii="Times New Roman" w:hAnsi="Times New Roman" w:eastAsia="宋体" w:cs="Times New Roman"/>
                <w:b/>
                <w:color w:val="000000" w:themeColor="text1"/>
                <w:sz w:val="21"/>
                <w:szCs w:val="21"/>
                <w14:textFill>
                  <w14:solidFill>
                    <w14:schemeClr w14:val="tx1"/>
                  </w14:solidFill>
                </w14:textFill>
              </w:rPr>
              <w:t>标准</w:t>
            </w:r>
          </w:p>
          <w:tbl>
            <w:tblPr>
              <w:tblStyle w:val="35"/>
              <w:tblW w:w="87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8"/>
              <w:gridCol w:w="2714"/>
              <w:gridCol w:w="2176"/>
              <w:gridCol w:w="2177"/>
            </w:tblGrid>
            <w:tr w14:paraId="76805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77E16B5A">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序号</w:t>
                  </w:r>
                </w:p>
              </w:tc>
              <w:tc>
                <w:tcPr>
                  <w:tcW w:w="2714" w:type="dxa"/>
                  <w:vAlign w:val="center"/>
                </w:tcPr>
                <w:p w14:paraId="292547DF">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项目</w:t>
                  </w:r>
                </w:p>
              </w:tc>
              <w:tc>
                <w:tcPr>
                  <w:tcW w:w="2176" w:type="dxa"/>
                  <w:vAlign w:val="center"/>
                </w:tcPr>
                <w:p w14:paraId="3F1F6BC9">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单位</w:t>
                  </w:r>
                </w:p>
              </w:tc>
              <w:tc>
                <w:tcPr>
                  <w:tcW w:w="2177" w:type="dxa"/>
                  <w:vAlign w:val="center"/>
                </w:tcPr>
                <w:p w14:paraId="7A922056">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Ⅲ类标准值</w:t>
                  </w:r>
                </w:p>
              </w:tc>
            </w:tr>
            <w:tr w14:paraId="4FD71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5496FA8C">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w:t>
                  </w:r>
                </w:p>
              </w:tc>
              <w:tc>
                <w:tcPr>
                  <w:tcW w:w="2714" w:type="dxa"/>
                  <w:vAlign w:val="center"/>
                </w:tcPr>
                <w:p w14:paraId="6BFBE5CC">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pH（无量纲）</w:t>
                  </w:r>
                </w:p>
              </w:tc>
              <w:tc>
                <w:tcPr>
                  <w:tcW w:w="2176" w:type="dxa"/>
                  <w:vAlign w:val="center"/>
                </w:tcPr>
                <w:p w14:paraId="775358EF">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2177" w:type="dxa"/>
                  <w:vAlign w:val="center"/>
                </w:tcPr>
                <w:p w14:paraId="296C2C4B">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6～9</w:t>
                  </w:r>
                </w:p>
              </w:tc>
            </w:tr>
            <w:tr w14:paraId="50185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527FD64A">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w:t>
                  </w:r>
                </w:p>
              </w:tc>
              <w:tc>
                <w:tcPr>
                  <w:tcW w:w="2714" w:type="dxa"/>
                  <w:vAlign w:val="center"/>
                </w:tcPr>
                <w:p w14:paraId="23E1226E">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化学需氧量（COD）</w:t>
                  </w:r>
                </w:p>
              </w:tc>
              <w:tc>
                <w:tcPr>
                  <w:tcW w:w="2176" w:type="dxa"/>
                  <w:vAlign w:val="center"/>
                </w:tcPr>
                <w:p w14:paraId="245B35C5">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mg/L</w:t>
                  </w:r>
                </w:p>
              </w:tc>
              <w:tc>
                <w:tcPr>
                  <w:tcW w:w="2177" w:type="dxa"/>
                  <w:vAlign w:val="center"/>
                </w:tcPr>
                <w:p w14:paraId="26816952">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w:t>
                  </w:r>
                </w:p>
              </w:tc>
            </w:tr>
            <w:tr w14:paraId="34610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3D3B6970">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p>
              </w:tc>
              <w:tc>
                <w:tcPr>
                  <w:tcW w:w="2714" w:type="dxa"/>
                  <w:vAlign w:val="center"/>
                </w:tcPr>
                <w:p w14:paraId="53A1E432">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五日生化需氧量（BOD₅）</w:t>
                  </w:r>
                </w:p>
              </w:tc>
              <w:tc>
                <w:tcPr>
                  <w:tcW w:w="2176" w:type="dxa"/>
                  <w:vAlign w:val="center"/>
                </w:tcPr>
                <w:p w14:paraId="0E4D2139">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mg/L</w:t>
                  </w:r>
                </w:p>
              </w:tc>
              <w:tc>
                <w:tcPr>
                  <w:tcW w:w="2177" w:type="dxa"/>
                  <w:vAlign w:val="center"/>
                </w:tcPr>
                <w:p w14:paraId="765025DE">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p>
              </w:tc>
            </w:tr>
            <w:tr w14:paraId="7634B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481C9D5A">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p>
              </w:tc>
              <w:tc>
                <w:tcPr>
                  <w:tcW w:w="2714" w:type="dxa"/>
                  <w:vAlign w:val="center"/>
                </w:tcPr>
                <w:p w14:paraId="1D738A19">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氨氮（NH₃-N）</w:t>
                  </w:r>
                </w:p>
              </w:tc>
              <w:tc>
                <w:tcPr>
                  <w:tcW w:w="2176" w:type="dxa"/>
                  <w:vAlign w:val="center"/>
                </w:tcPr>
                <w:p w14:paraId="24FECFD0">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mg/L</w:t>
                  </w:r>
                </w:p>
              </w:tc>
              <w:tc>
                <w:tcPr>
                  <w:tcW w:w="2177" w:type="dxa"/>
                  <w:vAlign w:val="center"/>
                </w:tcPr>
                <w:p w14:paraId="135FD1FC">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w:t>
                  </w:r>
                </w:p>
              </w:tc>
            </w:tr>
            <w:tr w14:paraId="06272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2F0576EC">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p>
              </w:tc>
              <w:tc>
                <w:tcPr>
                  <w:tcW w:w="2714" w:type="dxa"/>
                  <w:vAlign w:val="center"/>
                </w:tcPr>
                <w:p w14:paraId="187ECF69">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总磷（以P计）</w:t>
                  </w:r>
                </w:p>
              </w:tc>
              <w:tc>
                <w:tcPr>
                  <w:tcW w:w="2176" w:type="dxa"/>
                  <w:vAlign w:val="center"/>
                </w:tcPr>
                <w:p w14:paraId="412F70EF">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mg/L</w:t>
                  </w:r>
                </w:p>
              </w:tc>
              <w:tc>
                <w:tcPr>
                  <w:tcW w:w="2177" w:type="dxa"/>
                  <w:vAlign w:val="center"/>
                </w:tcPr>
                <w:p w14:paraId="31B3FF67">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≤0.2（湖、库0.05）</w:t>
                  </w:r>
                </w:p>
              </w:tc>
            </w:tr>
            <w:tr w14:paraId="7975C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3D1C5FC0">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p>
              </w:tc>
              <w:tc>
                <w:tcPr>
                  <w:tcW w:w="2714" w:type="dxa"/>
                  <w:vAlign w:val="center"/>
                </w:tcPr>
                <w:p w14:paraId="2A793A6E">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溶解氧（DO）</w:t>
                  </w:r>
                </w:p>
              </w:tc>
              <w:tc>
                <w:tcPr>
                  <w:tcW w:w="2176" w:type="dxa"/>
                  <w:vAlign w:val="center"/>
                </w:tcPr>
                <w:p w14:paraId="0663EA00">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mg/L</w:t>
                  </w:r>
                </w:p>
              </w:tc>
              <w:tc>
                <w:tcPr>
                  <w:tcW w:w="2177" w:type="dxa"/>
                  <w:vAlign w:val="center"/>
                </w:tcPr>
                <w:p w14:paraId="5A494EF0">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p>
              </w:tc>
            </w:tr>
            <w:tr w14:paraId="1C0F5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42C5810B">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w:t>
                  </w:r>
                </w:p>
              </w:tc>
              <w:tc>
                <w:tcPr>
                  <w:tcW w:w="2714" w:type="dxa"/>
                  <w:vAlign w:val="center"/>
                </w:tcPr>
                <w:p w14:paraId="4195C44C">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石油类</w:t>
                  </w:r>
                </w:p>
              </w:tc>
              <w:tc>
                <w:tcPr>
                  <w:tcW w:w="2176" w:type="dxa"/>
                  <w:vAlign w:val="center"/>
                </w:tcPr>
                <w:p w14:paraId="31AC2F34">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mg/L</w:t>
                  </w:r>
                </w:p>
              </w:tc>
              <w:tc>
                <w:tcPr>
                  <w:tcW w:w="2177" w:type="dxa"/>
                  <w:vAlign w:val="center"/>
                </w:tcPr>
                <w:p w14:paraId="04AC139D">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≤0.05</w:t>
                  </w:r>
                </w:p>
              </w:tc>
            </w:tr>
            <w:tr w14:paraId="50BA9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701E761A">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w:t>
                  </w:r>
                </w:p>
              </w:tc>
              <w:tc>
                <w:tcPr>
                  <w:tcW w:w="2714" w:type="dxa"/>
                  <w:vAlign w:val="center"/>
                </w:tcPr>
                <w:p w14:paraId="24652C22">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阴离子表面活性剂（LAS）</w:t>
                  </w:r>
                </w:p>
              </w:tc>
              <w:tc>
                <w:tcPr>
                  <w:tcW w:w="2176" w:type="dxa"/>
                  <w:vAlign w:val="center"/>
                </w:tcPr>
                <w:p w14:paraId="3DBE1F42">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mg/L</w:t>
                  </w:r>
                </w:p>
              </w:tc>
              <w:tc>
                <w:tcPr>
                  <w:tcW w:w="2177" w:type="dxa"/>
                  <w:vAlign w:val="center"/>
                </w:tcPr>
                <w:p w14:paraId="6D934A82">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≤0.2</w:t>
                  </w:r>
                </w:p>
              </w:tc>
            </w:tr>
            <w:tr w14:paraId="2D362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Align w:val="center"/>
                </w:tcPr>
                <w:p w14:paraId="5E1BB60E">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w:t>
                  </w:r>
                </w:p>
              </w:tc>
              <w:tc>
                <w:tcPr>
                  <w:tcW w:w="2714" w:type="dxa"/>
                  <w:vAlign w:val="center"/>
                </w:tcPr>
                <w:p w14:paraId="49CAA5B4">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悬浮物（SS）</w:t>
                  </w:r>
                </w:p>
              </w:tc>
              <w:tc>
                <w:tcPr>
                  <w:tcW w:w="2176" w:type="dxa"/>
                  <w:vAlign w:val="center"/>
                </w:tcPr>
                <w:p w14:paraId="2928ACC8">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mg/L</w:t>
                  </w:r>
                </w:p>
              </w:tc>
              <w:tc>
                <w:tcPr>
                  <w:tcW w:w="2177" w:type="dxa"/>
                  <w:vAlign w:val="center"/>
                </w:tcPr>
                <w:p w14:paraId="5313047D">
                  <w:pPr>
                    <w:pStyle w:val="79"/>
                    <w:spacing w:line="240" w:lineRule="auto"/>
                    <w:rPr>
                      <w:rFonts w:hint="default" w:ascii="Times New Roman" w:hAnsi="Times New Roman" w:eastAsia="宋体" w:cs="Times New Roman"/>
                      <w:color w:val="000000" w:themeColor="text1"/>
                      <w:lang w:val="zh-CN"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未作规定</w:t>
                  </w:r>
                </w:p>
              </w:tc>
            </w:tr>
          </w:tbl>
          <w:p w14:paraId="6662DDF1">
            <w:pPr>
              <w:spacing w:line="360" w:lineRule="auto"/>
              <w:ind w:firstLine="480" w:firstLineChars="200"/>
              <w:rPr>
                <w:rFonts w:hint="default" w:ascii="Times New Roman" w:hAnsi="Times New Roman" w:eastAsia="宋体" w:cs="Times New Roman"/>
                <w:color w:val="000000" w:themeColor="text1"/>
                <w:sz w:val="24"/>
                <w:lang w:val="zh-CN" w:eastAsia="zh-CN"/>
                <w14:textFill>
                  <w14:solidFill>
                    <w14:schemeClr w14:val="tx1"/>
                  </w14:solidFill>
                </w14:textFill>
              </w:rPr>
            </w:pPr>
            <w:r>
              <w:rPr>
                <w:rFonts w:hint="default" w:ascii="Times New Roman" w:hAnsi="Times New Roman" w:eastAsia="宋体" w:cs="Times New Roman"/>
                <w:color w:val="000000" w:themeColor="text1"/>
                <w:sz w:val="24"/>
                <w:lang w:val="zh-CN" w:eastAsia="zh-CN"/>
                <w14:textFill>
                  <w14:solidFill>
                    <w14:schemeClr w14:val="tx1"/>
                  </w14:solidFill>
                </w14:textFill>
              </w:rPr>
              <w:t>（</w:t>
            </w:r>
            <w:r>
              <w:rPr>
                <w:rFonts w:hint="default" w:ascii="Times New Roman" w:hAnsi="Times New Roman" w:eastAsia="宋体" w:cs="Times New Roman"/>
                <w:color w:val="000000" w:themeColor="text1"/>
                <w:sz w:val="24"/>
                <w:lang w:val="en-US" w:eastAsia="zh-CN"/>
                <w14:textFill>
                  <w14:solidFill>
                    <w14:schemeClr w14:val="tx1"/>
                  </w14:solidFill>
                </w14:textFill>
              </w:rPr>
              <w:t>3</w:t>
            </w:r>
            <w:r>
              <w:rPr>
                <w:rFonts w:hint="default" w:ascii="Times New Roman" w:hAnsi="Times New Roman" w:eastAsia="宋体" w:cs="Times New Roman"/>
                <w:color w:val="000000" w:themeColor="text1"/>
                <w:sz w:val="24"/>
                <w:lang w:val="zh-CN" w:eastAsia="zh-CN"/>
                <w14:textFill>
                  <w14:solidFill>
                    <w14:schemeClr w14:val="tx1"/>
                  </w14:solidFill>
                </w14:textFill>
              </w:rPr>
              <w:t>）地下水质量标准</w:t>
            </w:r>
          </w:p>
          <w:p w14:paraId="6D6E291C">
            <w:pPr>
              <w:spacing w:line="360" w:lineRule="auto"/>
              <w:ind w:firstLine="480" w:firstLineChars="200"/>
              <w:rPr>
                <w:rFonts w:hint="default" w:ascii="Times New Roman" w:hAnsi="Times New Roman" w:eastAsia="宋体" w:cs="Times New Roman"/>
                <w:color w:val="000000" w:themeColor="text1"/>
                <w:sz w:val="24"/>
                <w:lang w:val="zh-CN"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区域</w:t>
            </w:r>
            <w:r>
              <w:rPr>
                <w:rFonts w:hint="default" w:ascii="Times New Roman" w:hAnsi="Times New Roman" w:eastAsia="宋体" w:cs="Times New Roman"/>
                <w:color w:val="000000" w:themeColor="text1"/>
                <w:sz w:val="24"/>
                <w:lang w:val="zh-CN" w:eastAsia="zh-CN"/>
                <w14:textFill>
                  <w14:solidFill>
                    <w14:schemeClr w14:val="tx1"/>
                  </w14:solidFill>
                </w14:textFill>
              </w:rPr>
              <w:t>地下水执行《地下水质量标准》（GB/T14848-2017）Ⅲ类标准</w:t>
            </w:r>
          </w:p>
          <w:p w14:paraId="4EC4D79C">
            <w:pPr>
              <w:spacing w:line="360" w:lineRule="auto"/>
              <w:ind w:firstLine="480" w:firstLineChars="200"/>
              <w:rPr>
                <w:rFonts w:hint="default" w:ascii="Times New Roman" w:hAnsi="Times New Roman" w:eastAsia="宋体" w:cs="Times New Roman"/>
                <w:color w:val="000000" w:themeColor="text1"/>
                <w:sz w:val="24"/>
                <w:lang w:val="zh-CN"/>
                <w14:textFill>
                  <w14:solidFill>
                    <w14:schemeClr w14:val="tx1"/>
                  </w14:solidFill>
                </w14:textFill>
              </w:rPr>
            </w:pPr>
            <w:r>
              <w:rPr>
                <w:rFonts w:hint="default" w:ascii="Times New Roman" w:hAnsi="Times New Roman" w:eastAsia="宋体" w:cs="Times New Roman"/>
                <w:color w:val="000000" w:themeColor="text1"/>
                <w:sz w:val="24"/>
                <w:lang w:val="zh-CN"/>
                <w14:textFill>
                  <w14:solidFill>
                    <w14:schemeClr w14:val="tx1"/>
                  </w14:solidFill>
                </w14:textFill>
              </w:rPr>
              <w:t>（</w:t>
            </w:r>
            <w:r>
              <w:rPr>
                <w:rFonts w:hint="default" w:ascii="Times New Roman" w:hAnsi="Times New Roman" w:eastAsia="宋体" w:cs="Times New Roman"/>
                <w:color w:val="000000" w:themeColor="text1"/>
                <w:sz w:val="24"/>
                <w:lang w:val="en-US" w:eastAsia="zh-CN"/>
                <w14:textFill>
                  <w14:solidFill>
                    <w14:schemeClr w14:val="tx1"/>
                  </w14:solidFill>
                </w14:textFill>
              </w:rPr>
              <w:t>4</w:t>
            </w:r>
            <w:r>
              <w:rPr>
                <w:rFonts w:hint="default" w:ascii="Times New Roman" w:hAnsi="Times New Roman" w:eastAsia="宋体" w:cs="Times New Roman"/>
                <w:color w:val="000000" w:themeColor="text1"/>
                <w:sz w:val="24"/>
                <w:lang w:val="zh-CN"/>
                <w14:textFill>
                  <w14:solidFill>
                    <w14:schemeClr w14:val="tx1"/>
                  </w14:solidFill>
                </w14:textFill>
              </w:rPr>
              <w:t>）土壤</w:t>
            </w:r>
          </w:p>
          <w:p w14:paraId="2C8DCDEF">
            <w:pPr>
              <w:spacing w:line="360" w:lineRule="auto"/>
              <w:ind w:firstLine="480" w:firstLineChars="200"/>
              <w:rPr>
                <w:rFonts w:hint="default" w:ascii="Times New Roman" w:hAnsi="Times New Roman" w:eastAsia="宋体" w:cs="Times New Roman"/>
                <w:color w:val="000000" w:themeColor="text1"/>
                <w:sz w:val="24"/>
                <w:lang w:val="zh-CN"/>
                <w14:textFill>
                  <w14:solidFill>
                    <w14:schemeClr w14:val="tx1"/>
                  </w14:solidFill>
                </w14:textFill>
              </w:rPr>
            </w:pPr>
            <w:r>
              <w:rPr>
                <w:rFonts w:hint="default" w:ascii="Times New Roman" w:hAnsi="Times New Roman" w:eastAsia="宋体" w:cs="Times New Roman"/>
                <w:color w:val="000000" w:themeColor="text1"/>
                <w:sz w:val="24"/>
                <w:lang w:val="zh-CN"/>
                <w14:textFill>
                  <w14:solidFill>
                    <w14:schemeClr w14:val="tx1"/>
                  </w14:solidFill>
                </w14:textFill>
              </w:rPr>
              <w:t>项目占地范围内土壤执行《土壤环境质量建设用地土壤污染风险管控标准(试行)》（GB36600-2018）表1第二类用地筛选值；占地范围外土壤执行《土壤环境质量农用地土壤污染风险管控标准（试行）》（GB15618-2018）表1农用地土壤污染风险筛选值。</w:t>
            </w:r>
          </w:p>
          <w:p w14:paraId="1FAFE69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color w:val="000000" w:themeColor="text1"/>
                <w:sz w:val="21"/>
                <w:szCs w:val="21"/>
                <w14:textFill>
                  <w14:solidFill>
                    <w14:schemeClr w14:val="tx1"/>
                  </w14:solidFill>
                </w14:textFill>
              </w:rPr>
            </w:pPr>
            <w:r>
              <w:rPr>
                <w:rFonts w:hint="default" w:ascii="Times New Roman" w:hAnsi="Times New Roman" w:eastAsia="宋体" w:cs="Times New Roman"/>
                <w:b/>
                <w:color w:val="000000" w:themeColor="text1"/>
                <w:sz w:val="21"/>
                <w:szCs w:val="21"/>
                <w14:textFill>
                  <w14:solidFill>
                    <w14:schemeClr w14:val="tx1"/>
                  </w14:solidFill>
                </w14:textFill>
              </w:rPr>
              <w:t>表</w:t>
            </w:r>
            <w:r>
              <w:rPr>
                <w:rFonts w:hint="default" w:ascii="Times New Roman" w:hAnsi="Times New Roman" w:eastAsia="宋体" w:cs="Times New Roman"/>
                <w:b/>
                <w:color w:val="000000" w:themeColor="text1"/>
                <w:sz w:val="21"/>
                <w:szCs w:val="21"/>
                <w:lang w:val="en-US" w:eastAsia="zh-CN"/>
                <w14:textFill>
                  <w14:solidFill>
                    <w14:schemeClr w14:val="tx1"/>
                  </w14:solidFill>
                </w14:textFill>
              </w:rPr>
              <w:t>3-12</w:t>
            </w:r>
            <w:r>
              <w:rPr>
                <w:rFonts w:hint="default" w:ascii="Times New Roman" w:hAnsi="Times New Roman" w:eastAsia="宋体" w:cs="Times New Roman"/>
                <w:b/>
                <w:color w:val="000000" w:themeColor="text1"/>
                <w:sz w:val="21"/>
                <w:szCs w:val="21"/>
                <w14:textFill>
                  <w14:solidFill>
                    <w14:schemeClr w14:val="tx1"/>
                  </w14:solidFill>
                </w14:textFill>
              </w:rPr>
              <w:t>建设用地土壤环境质量标准单位：mg/kg</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01"/>
              <w:gridCol w:w="2902"/>
              <w:gridCol w:w="2902"/>
            </w:tblGrid>
            <w:tr w14:paraId="398C9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06935C76">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序号</w:t>
                  </w:r>
                </w:p>
              </w:tc>
              <w:tc>
                <w:tcPr>
                  <w:tcW w:w="2902" w:type="dxa"/>
                  <w:vAlign w:val="top"/>
                </w:tcPr>
                <w:p w14:paraId="6C696A21">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污染物名称</w:t>
                  </w:r>
                </w:p>
              </w:tc>
              <w:tc>
                <w:tcPr>
                  <w:tcW w:w="2902" w:type="dxa"/>
                  <w:vAlign w:val="top"/>
                </w:tcPr>
                <w:p w14:paraId="02B84BC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筛选值</w:t>
                  </w:r>
                </w:p>
              </w:tc>
            </w:tr>
            <w:tr w14:paraId="740B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3336A5A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w:t>
                  </w:r>
                </w:p>
              </w:tc>
              <w:tc>
                <w:tcPr>
                  <w:tcW w:w="2902" w:type="dxa"/>
                  <w:vAlign w:val="top"/>
                </w:tcPr>
                <w:p w14:paraId="1EFB2D45">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汞</w:t>
                  </w:r>
                </w:p>
              </w:tc>
              <w:tc>
                <w:tcPr>
                  <w:tcW w:w="2902" w:type="dxa"/>
                  <w:vAlign w:val="top"/>
                </w:tcPr>
                <w:p w14:paraId="007917C9">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38</w:t>
                  </w:r>
                </w:p>
              </w:tc>
            </w:tr>
            <w:tr w14:paraId="6CA25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0AF0404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w:t>
                  </w:r>
                </w:p>
              </w:tc>
              <w:tc>
                <w:tcPr>
                  <w:tcW w:w="2902" w:type="dxa"/>
                  <w:vAlign w:val="top"/>
                </w:tcPr>
                <w:p w14:paraId="54D49E5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砷</w:t>
                  </w:r>
                </w:p>
              </w:tc>
              <w:tc>
                <w:tcPr>
                  <w:tcW w:w="2902" w:type="dxa"/>
                  <w:vAlign w:val="top"/>
                </w:tcPr>
                <w:p w14:paraId="29D457CA">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60</w:t>
                  </w:r>
                </w:p>
              </w:tc>
            </w:tr>
            <w:tr w14:paraId="64CE6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6624D9D7">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p>
              </w:tc>
              <w:tc>
                <w:tcPr>
                  <w:tcW w:w="2902" w:type="dxa"/>
                  <w:vAlign w:val="top"/>
                </w:tcPr>
                <w:p w14:paraId="6AF46174">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铜</w:t>
                  </w:r>
                </w:p>
              </w:tc>
              <w:tc>
                <w:tcPr>
                  <w:tcW w:w="2902" w:type="dxa"/>
                  <w:vAlign w:val="top"/>
                </w:tcPr>
                <w:p w14:paraId="419F482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18000</w:t>
                  </w:r>
                </w:p>
              </w:tc>
            </w:tr>
            <w:tr w14:paraId="41A89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3FB802B">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p>
              </w:tc>
              <w:tc>
                <w:tcPr>
                  <w:tcW w:w="2902" w:type="dxa"/>
                  <w:vAlign w:val="top"/>
                </w:tcPr>
                <w:p w14:paraId="07B6B3A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铅</w:t>
                  </w:r>
                </w:p>
              </w:tc>
              <w:tc>
                <w:tcPr>
                  <w:tcW w:w="2902" w:type="dxa"/>
                  <w:vAlign w:val="top"/>
                </w:tcPr>
                <w:p w14:paraId="2561317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800</w:t>
                  </w:r>
                </w:p>
              </w:tc>
            </w:tr>
            <w:tr w14:paraId="6AD97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0097A5D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p>
              </w:tc>
              <w:tc>
                <w:tcPr>
                  <w:tcW w:w="2902" w:type="dxa"/>
                  <w:vAlign w:val="top"/>
                </w:tcPr>
                <w:p w14:paraId="2E6182F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铬(六价)</w:t>
                  </w:r>
                </w:p>
              </w:tc>
              <w:tc>
                <w:tcPr>
                  <w:tcW w:w="2902" w:type="dxa"/>
                  <w:vAlign w:val="top"/>
                </w:tcPr>
                <w:p w14:paraId="7DC66230">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5.7</w:t>
                  </w:r>
                </w:p>
              </w:tc>
            </w:tr>
            <w:tr w14:paraId="4D9C5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72AA350">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p>
              </w:tc>
              <w:tc>
                <w:tcPr>
                  <w:tcW w:w="2902" w:type="dxa"/>
                  <w:vAlign w:val="top"/>
                </w:tcPr>
                <w:p w14:paraId="180BDD4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镍</w:t>
                  </w:r>
                </w:p>
              </w:tc>
              <w:tc>
                <w:tcPr>
                  <w:tcW w:w="2902" w:type="dxa"/>
                  <w:vAlign w:val="top"/>
                </w:tcPr>
                <w:p w14:paraId="1799260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900</w:t>
                  </w:r>
                </w:p>
              </w:tc>
            </w:tr>
            <w:tr w14:paraId="516AA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6C7DE1C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w:t>
                  </w:r>
                </w:p>
              </w:tc>
              <w:tc>
                <w:tcPr>
                  <w:tcW w:w="2902" w:type="dxa"/>
                  <w:vAlign w:val="top"/>
                </w:tcPr>
                <w:p w14:paraId="3631DAF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镉</w:t>
                  </w:r>
                </w:p>
              </w:tc>
              <w:tc>
                <w:tcPr>
                  <w:tcW w:w="2902" w:type="dxa"/>
                  <w:vAlign w:val="top"/>
                </w:tcPr>
                <w:p w14:paraId="653ACEC1">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65</w:t>
                  </w:r>
                </w:p>
              </w:tc>
            </w:tr>
            <w:tr w14:paraId="6BB41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25B387E7">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w:t>
                  </w:r>
                </w:p>
              </w:tc>
              <w:tc>
                <w:tcPr>
                  <w:tcW w:w="2902" w:type="dxa"/>
                  <w:vAlign w:val="top"/>
                </w:tcPr>
                <w:p w14:paraId="79F6669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苯</w:t>
                  </w:r>
                </w:p>
              </w:tc>
              <w:tc>
                <w:tcPr>
                  <w:tcW w:w="2902" w:type="dxa"/>
                  <w:vAlign w:val="top"/>
                </w:tcPr>
                <w:p w14:paraId="31D094E9">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p>
              </w:tc>
            </w:tr>
            <w:tr w14:paraId="4DDE8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1BEEAAF0">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w:t>
                  </w:r>
                </w:p>
              </w:tc>
              <w:tc>
                <w:tcPr>
                  <w:tcW w:w="2902" w:type="dxa"/>
                  <w:vAlign w:val="top"/>
                </w:tcPr>
                <w:p w14:paraId="7A8E2765">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甲苯</w:t>
                  </w:r>
                </w:p>
              </w:tc>
              <w:tc>
                <w:tcPr>
                  <w:tcW w:w="2902" w:type="dxa"/>
                  <w:vAlign w:val="top"/>
                </w:tcPr>
                <w:p w14:paraId="2CB5953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1200</w:t>
                  </w:r>
                </w:p>
              </w:tc>
            </w:tr>
            <w:tr w14:paraId="0F6A4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EB238DB">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w:t>
                  </w:r>
                </w:p>
              </w:tc>
              <w:tc>
                <w:tcPr>
                  <w:tcW w:w="2902" w:type="dxa"/>
                  <w:vAlign w:val="top"/>
                </w:tcPr>
                <w:p w14:paraId="6EC188A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乙苯</w:t>
                  </w:r>
                </w:p>
              </w:tc>
              <w:tc>
                <w:tcPr>
                  <w:tcW w:w="2902" w:type="dxa"/>
                  <w:vAlign w:val="top"/>
                </w:tcPr>
                <w:p w14:paraId="06A9F48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28</w:t>
                  </w:r>
                </w:p>
              </w:tc>
            </w:tr>
            <w:tr w14:paraId="5F62D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78515EF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11</w:t>
                  </w:r>
                </w:p>
              </w:tc>
              <w:tc>
                <w:tcPr>
                  <w:tcW w:w="2902" w:type="dxa"/>
                  <w:vAlign w:val="top"/>
                </w:tcPr>
                <w:p w14:paraId="133C9EE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间&amp;对-二甲苯</w:t>
                  </w:r>
                </w:p>
              </w:tc>
              <w:tc>
                <w:tcPr>
                  <w:tcW w:w="2902" w:type="dxa"/>
                  <w:vAlign w:val="top"/>
                </w:tcPr>
                <w:p w14:paraId="1549A457">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570</w:t>
                  </w:r>
                </w:p>
              </w:tc>
            </w:tr>
            <w:tr w14:paraId="2680A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0AC68F9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w:t>
                  </w:r>
                </w:p>
              </w:tc>
              <w:tc>
                <w:tcPr>
                  <w:tcW w:w="2902" w:type="dxa"/>
                  <w:vAlign w:val="top"/>
                </w:tcPr>
                <w:p w14:paraId="7C037226">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苯乙烯</w:t>
                  </w:r>
                </w:p>
              </w:tc>
              <w:tc>
                <w:tcPr>
                  <w:tcW w:w="2902" w:type="dxa"/>
                  <w:vAlign w:val="top"/>
                </w:tcPr>
                <w:p w14:paraId="17107D7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1290</w:t>
                  </w:r>
                </w:p>
              </w:tc>
            </w:tr>
            <w:tr w14:paraId="18823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10FD9424">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13</w:t>
                  </w:r>
                </w:p>
              </w:tc>
              <w:tc>
                <w:tcPr>
                  <w:tcW w:w="2902" w:type="dxa"/>
                  <w:vAlign w:val="top"/>
                </w:tcPr>
                <w:p w14:paraId="46E188F5">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邻-二甲苯</w:t>
                  </w:r>
                </w:p>
              </w:tc>
              <w:tc>
                <w:tcPr>
                  <w:tcW w:w="2902" w:type="dxa"/>
                  <w:vAlign w:val="top"/>
                </w:tcPr>
                <w:p w14:paraId="2030683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640</w:t>
                  </w:r>
                </w:p>
              </w:tc>
            </w:tr>
            <w:tr w14:paraId="6055E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7D4CA1F1">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14</w:t>
                  </w:r>
                </w:p>
              </w:tc>
              <w:tc>
                <w:tcPr>
                  <w:tcW w:w="2902" w:type="dxa"/>
                  <w:vAlign w:val="top"/>
                </w:tcPr>
                <w:p w14:paraId="75089050">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1，2-二氯丙烷</w:t>
                  </w:r>
                </w:p>
              </w:tc>
              <w:tc>
                <w:tcPr>
                  <w:tcW w:w="2902" w:type="dxa"/>
                  <w:vAlign w:val="top"/>
                </w:tcPr>
                <w:p w14:paraId="73FC63CB">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p>
              </w:tc>
            </w:tr>
            <w:tr w14:paraId="1B931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697C321A">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w:t>
                  </w:r>
                </w:p>
              </w:tc>
              <w:tc>
                <w:tcPr>
                  <w:tcW w:w="2902" w:type="dxa"/>
                  <w:vAlign w:val="top"/>
                </w:tcPr>
                <w:p w14:paraId="128D3D4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氯甲烷</w:t>
                  </w:r>
                </w:p>
              </w:tc>
              <w:tc>
                <w:tcPr>
                  <w:tcW w:w="2902" w:type="dxa"/>
                  <w:vAlign w:val="top"/>
                </w:tcPr>
                <w:p w14:paraId="714B2B9A">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37</w:t>
                  </w:r>
                </w:p>
              </w:tc>
            </w:tr>
            <w:tr w14:paraId="692B2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953FFA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16</w:t>
                  </w:r>
                </w:p>
              </w:tc>
              <w:tc>
                <w:tcPr>
                  <w:tcW w:w="2902" w:type="dxa"/>
                  <w:vAlign w:val="top"/>
                </w:tcPr>
                <w:p w14:paraId="0C6DD9F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氯乙烯</w:t>
                  </w:r>
                </w:p>
              </w:tc>
              <w:tc>
                <w:tcPr>
                  <w:tcW w:w="2902" w:type="dxa"/>
                  <w:vAlign w:val="top"/>
                </w:tcPr>
                <w:p w14:paraId="3D0A3A6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0.43</w:t>
                  </w:r>
                </w:p>
              </w:tc>
            </w:tr>
            <w:tr w14:paraId="52C46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612B12FF">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17</w:t>
                  </w:r>
                </w:p>
              </w:tc>
              <w:tc>
                <w:tcPr>
                  <w:tcW w:w="2902" w:type="dxa"/>
                  <w:vAlign w:val="top"/>
                </w:tcPr>
                <w:p w14:paraId="1729E5E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1，1-二氯乙烯</w:t>
                  </w:r>
                </w:p>
              </w:tc>
              <w:tc>
                <w:tcPr>
                  <w:tcW w:w="2902" w:type="dxa"/>
                  <w:vAlign w:val="top"/>
                </w:tcPr>
                <w:p w14:paraId="74BA3AA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66</w:t>
                  </w:r>
                </w:p>
              </w:tc>
            </w:tr>
            <w:tr w14:paraId="020D6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65BF2A9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18</w:t>
                  </w:r>
                </w:p>
              </w:tc>
              <w:tc>
                <w:tcPr>
                  <w:tcW w:w="2902" w:type="dxa"/>
                  <w:vAlign w:val="top"/>
                </w:tcPr>
                <w:p w14:paraId="75D611C7">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二氯甲烷</w:t>
                  </w:r>
                </w:p>
              </w:tc>
              <w:tc>
                <w:tcPr>
                  <w:tcW w:w="2902" w:type="dxa"/>
                  <w:vAlign w:val="top"/>
                </w:tcPr>
                <w:p w14:paraId="5CB65DE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616</w:t>
                  </w:r>
                </w:p>
              </w:tc>
            </w:tr>
            <w:tr w14:paraId="26111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6556FAC7">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19</w:t>
                  </w:r>
                </w:p>
              </w:tc>
              <w:tc>
                <w:tcPr>
                  <w:tcW w:w="2902" w:type="dxa"/>
                  <w:vAlign w:val="top"/>
                </w:tcPr>
                <w:p w14:paraId="52607AF0">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反-1，2-二氯乙烯</w:t>
                  </w:r>
                </w:p>
              </w:tc>
              <w:tc>
                <w:tcPr>
                  <w:tcW w:w="2902" w:type="dxa"/>
                  <w:vAlign w:val="top"/>
                </w:tcPr>
                <w:p w14:paraId="5B5BFB0D">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54</w:t>
                  </w:r>
                </w:p>
              </w:tc>
            </w:tr>
            <w:tr w14:paraId="24E5B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12BD4CF">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w:t>
                  </w:r>
                </w:p>
              </w:tc>
              <w:tc>
                <w:tcPr>
                  <w:tcW w:w="2902" w:type="dxa"/>
                  <w:vAlign w:val="top"/>
                </w:tcPr>
                <w:p w14:paraId="69209CC1">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1，1-二氯乙烷</w:t>
                  </w:r>
                </w:p>
              </w:tc>
              <w:tc>
                <w:tcPr>
                  <w:tcW w:w="2902" w:type="dxa"/>
                  <w:vAlign w:val="top"/>
                </w:tcPr>
                <w:p w14:paraId="5AE96AC4">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w:t>
                  </w:r>
                </w:p>
              </w:tc>
            </w:tr>
            <w:tr w14:paraId="4A4BD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16565D9D">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21</w:t>
                  </w:r>
                </w:p>
              </w:tc>
              <w:tc>
                <w:tcPr>
                  <w:tcW w:w="2902" w:type="dxa"/>
                  <w:vAlign w:val="top"/>
                </w:tcPr>
                <w:p w14:paraId="3F27EE31">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顺-1，2-二氯乙烯</w:t>
                  </w:r>
                </w:p>
              </w:tc>
              <w:tc>
                <w:tcPr>
                  <w:tcW w:w="2902" w:type="dxa"/>
                  <w:vAlign w:val="top"/>
                </w:tcPr>
                <w:p w14:paraId="0717551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596</w:t>
                  </w:r>
                </w:p>
              </w:tc>
            </w:tr>
            <w:tr w14:paraId="23E13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7DB50A55">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22</w:t>
                  </w:r>
                </w:p>
              </w:tc>
              <w:tc>
                <w:tcPr>
                  <w:tcW w:w="2902" w:type="dxa"/>
                  <w:vAlign w:val="top"/>
                </w:tcPr>
                <w:p w14:paraId="483F9DFF">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1，1，1-三氯乙烷</w:t>
                  </w:r>
                </w:p>
              </w:tc>
              <w:tc>
                <w:tcPr>
                  <w:tcW w:w="2902" w:type="dxa"/>
                  <w:vAlign w:val="top"/>
                </w:tcPr>
                <w:p w14:paraId="4C7F6410">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840</w:t>
                  </w:r>
                </w:p>
              </w:tc>
            </w:tr>
            <w:tr w14:paraId="0E153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51D07F16">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23</w:t>
                  </w:r>
                </w:p>
              </w:tc>
              <w:tc>
                <w:tcPr>
                  <w:tcW w:w="2902" w:type="dxa"/>
                  <w:vAlign w:val="top"/>
                </w:tcPr>
                <w:p w14:paraId="566B568D">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四氯化碳</w:t>
                  </w:r>
                </w:p>
              </w:tc>
              <w:tc>
                <w:tcPr>
                  <w:tcW w:w="2902" w:type="dxa"/>
                  <w:vAlign w:val="top"/>
                </w:tcPr>
                <w:p w14:paraId="4ADEB4E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2.8</w:t>
                  </w:r>
                </w:p>
              </w:tc>
            </w:tr>
            <w:tr w14:paraId="4AAF2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EA94D0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24</w:t>
                  </w:r>
                </w:p>
              </w:tc>
              <w:tc>
                <w:tcPr>
                  <w:tcW w:w="2902" w:type="dxa"/>
                  <w:vAlign w:val="top"/>
                </w:tcPr>
                <w:p w14:paraId="3B107D5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1，2-二氯乙烷</w:t>
                  </w:r>
                </w:p>
              </w:tc>
              <w:tc>
                <w:tcPr>
                  <w:tcW w:w="2902" w:type="dxa"/>
                  <w:vAlign w:val="top"/>
                </w:tcPr>
                <w:p w14:paraId="78F13DB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p>
              </w:tc>
            </w:tr>
            <w:tr w14:paraId="149E4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732F87E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25</w:t>
                  </w:r>
                </w:p>
              </w:tc>
              <w:tc>
                <w:tcPr>
                  <w:tcW w:w="2902" w:type="dxa"/>
                  <w:vAlign w:val="top"/>
                </w:tcPr>
                <w:p w14:paraId="3549D680">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三氯乙烯</w:t>
                  </w:r>
                </w:p>
              </w:tc>
              <w:tc>
                <w:tcPr>
                  <w:tcW w:w="2902" w:type="dxa"/>
                  <w:vAlign w:val="top"/>
                </w:tcPr>
                <w:p w14:paraId="719149D7">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2.8</w:t>
                  </w:r>
                </w:p>
              </w:tc>
            </w:tr>
            <w:tr w14:paraId="3B6A0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3949182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26</w:t>
                  </w:r>
                </w:p>
              </w:tc>
              <w:tc>
                <w:tcPr>
                  <w:tcW w:w="2902" w:type="dxa"/>
                  <w:vAlign w:val="top"/>
                </w:tcPr>
                <w:p w14:paraId="5FEA48E7">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1，1，2-三氯乙烷</w:t>
                  </w:r>
                </w:p>
              </w:tc>
              <w:tc>
                <w:tcPr>
                  <w:tcW w:w="2902" w:type="dxa"/>
                  <w:vAlign w:val="top"/>
                </w:tcPr>
                <w:p w14:paraId="15F0E95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2.8</w:t>
                  </w:r>
                </w:p>
              </w:tc>
            </w:tr>
            <w:tr w14:paraId="4C0DD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9E08B94">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27</w:t>
                  </w:r>
                </w:p>
              </w:tc>
              <w:tc>
                <w:tcPr>
                  <w:tcW w:w="2902" w:type="dxa"/>
                  <w:vAlign w:val="top"/>
                </w:tcPr>
                <w:p w14:paraId="0B52B90D">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四氯乙烯</w:t>
                  </w:r>
                </w:p>
              </w:tc>
              <w:tc>
                <w:tcPr>
                  <w:tcW w:w="2902" w:type="dxa"/>
                  <w:vAlign w:val="top"/>
                </w:tcPr>
                <w:p w14:paraId="62D5AA2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53</w:t>
                  </w:r>
                </w:p>
              </w:tc>
            </w:tr>
            <w:tr w14:paraId="764D2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205F94F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28</w:t>
                  </w:r>
                </w:p>
              </w:tc>
              <w:tc>
                <w:tcPr>
                  <w:tcW w:w="2902" w:type="dxa"/>
                  <w:vAlign w:val="top"/>
                </w:tcPr>
                <w:p w14:paraId="32A03EB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1，1，1，2-四氯乙烷</w:t>
                  </w:r>
                </w:p>
              </w:tc>
              <w:tc>
                <w:tcPr>
                  <w:tcW w:w="2902" w:type="dxa"/>
                  <w:vAlign w:val="top"/>
                </w:tcPr>
                <w:p w14:paraId="30EEA6E4">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w:t>
                  </w:r>
                </w:p>
              </w:tc>
            </w:tr>
            <w:tr w14:paraId="64240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022DA471">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29</w:t>
                  </w:r>
                </w:p>
              </w:tc>
              <w:tc>
                <w:tcPr>
                  <w:tcW w:w="2902" w:type="dxa"/>
                  <w:vAlign w:val="top"/>
                </w:tcPr>
                <w:p w14:paraId="3A551D3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1，1，2，2-四氯乙烷</w:t>
                  </w:r>
                </w:p>
              </w:tc>
              <w:tc>
                <w:tcPr>
                  <w:tcW w:w="2902" w:type="dxa"/>
                  <w:vAlign w:val="top"/>
                </w:tcPr>
                <w:p w14:paraId="080E9BD5">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6.8</w:t>
                  </w:r>
                </w:p>
              </w:tc>
            </w:tr>
            <w:tr w14:paraId="0DA83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1CB33A2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30</w:t>
                  </w:r>
                </w:p>
              </w:tc>
              <w:tc>
                <w:tcPr>
                  <w:tcW w:w="2902" w:type="dxa"/>
                  <w:vAlign w:val="top"/>
                </w:tcPr>
                <w:p w14:paraId="60CDBDB4">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1，2，3-三氯丙烷</w:t>
                  </w:r>
                </w:p>
              </w:tc>
              <w:tc>
                <w:tcPr>
                  <w:tcW w:w="2902" w:type="dxa"/>
                  <w:vAlign w:val="top"/>
                </w:tcPr>
                <w:p w14:paraId="54E212A7">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0.5</w:t>
                  </w:r>
                </w:p>
              </w:tc>
            </w:tr>
            <w:tr w14:paraId="3FBF5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76A9E3D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31</w:t>
                  </w:r>
                </w:p>
              </w:tc>
              <w:tc>
                <w:tcPr>
                  <w:tcW w:w="2902" w:type="dxa"/>
                  <w:vAlign w:val="top"/>
                </w:tcPr>
                <w:p w14:paraId="13107239">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氯苯</w:t>
                  </w:r>
                </w:p>
              </w:tc>
              <w:tc>
                <w:tcPr>
                  <w:tcW w:w="2902" w:type="dxa"/>
                  <w:vAlign w:val="top"/>
                </w:tcPr>
                <w:p w14:paraId="0A1AAAD9">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270</w:t>
                  </w:r>
                </w:p>
              </w:tc>
            </w:tr>
            <w:tr w14:paraId="07013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30C7104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32</w:t>
                  </w:r>
                </w:p>
              </w:tc>
              <w:tc>
                <w:tcPr>
                  <w:tcW w:w="2902" w:type="dxa"/>
                  <w:vAlign w:val="top"/>
                </w:tcPr>
                <w:p w14:paraId="4BAA1DC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氯仿</w:t>
                  </w:r>
                </w:p>
              </w:tc>
              <w:tc>
                <w:tcPr>
                  <w:tcW w:w="2902" w:type="dxa"/>
                  <w:vAlign w:val="top"/>
                </w:tcPr>
                <w:p w14:paraId="27FC5A5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0.9</w:t>
                  </w:r>
                </w:p>
              </w:tc>
            </w:tr>
            <w:tr w14:paraId="60ECE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15903D17">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33</w:t>
                  </w:r>
                </w:p>
              </w:tc>
              <w:tc>
                <w:tcPr>
                  <w:tcW w:w="2902" w:type="dxa"/>
                  <w:vAlign w:val="top"/>
                </w:tcPr>
                <w:p w14:paraId="4D98A66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2-氯酚</w:t>
                  </w:r>
                </w:p>
              </w:tc>
              <w:tc>
                <w:tcPr>
                  <w:tcW w:w="2902" w:type="dxa"/>
                  <w:vAlign w:val="top"/>
                </w:tcPr>
                <w:p w14:paraId="7BDE6B2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2256</w:t>
                  </w:r>
                </w:p>
              </w:tc>
            </w:tr>
            <w:tr w14:paraId="73031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32D73CF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34</w:t>
                  </w:r>
                </w:p>
              </w:tc>
              <w:tc>
                <w:tcPr>
                  <w:tcW w:w="2902" w:type="dxa"/>
                  <w:vAlign w:val="top"/>
                </w:tcPr>
                <w:p w14:paraId="4D7885A4">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萘</w:t>
                  </w:r>
                </w:p>
              </w:tc>
              <w:tc>
                <w:tcPr>
                  <w:tcW w:w="2902" w:type="dxa"/>
                  <w:vAlign w:val="top"/>
                </w:tcPr>
                <w:p w14:paraId="0C849151">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70</w:t>
                  </w:r>
                </w:p>
              </w:tc>
            </w:tr>
            <w:tr w14:paraId="62791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2A09360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35</w:t>
                  </w:r>
                </w:p>
              </w:tc>
              <w:tc>
                <w:tcPr>
                  <w:tcW w:w="2902" w:type="dxa"/>
                  <w:vAlign w:val="top"/>
                </w:tcPr>
                <w:p w14:paraId="4EA83B1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苯并(a)蒽</w:t>
                  </w:r>
                </w:p>
              </w:tc>
              <w:tc>
                <w:tcPr>
                  <w:tcW w:w="2902" w:type="dxa"/>
                  <w:vAlign w:val="top"/>
                </w:tcPr>
                <w:p w14:paraId="1C607E76">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w:t>
                  </w:r>
                </w:p>
              </w:tc>
            </w:tr>
            <w:tr w14:paraId="078F2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3DEDDEB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36</w:t>
                  </w:r>
                </w:p>
              </w:tc>
              <w:tc>
                <w:tcPr>
                  <w:tcW w:w="2902" w:type="dxa"/>
                  <w:vAlign w:val="top"/>
                </w:tcPr>
                <w:p w14:paraId="46B89FF9">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䓛</w:t>
                  </w:r>
                </w:p>
              </w:tc>
              <w:tc>
                <w:tcPr>
                  <w:tcW w:w="2902" w:type="dxa"/>
                  <w:vAlign w:val="top"/>
                </w:tcPr>
                <w:p w14:paraId="7AB59C5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1293</w:t>
                  </w:r>
                </w:p>
              </w:tc>
            </w:tr>
            <w:tr w14:paraId="78025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0B798F6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37</w:t>
                  </w:r>
                </w:p>
              </w:tc>
              <w:tc>
                <w:tcPr>
                  <w:tcW w:w="2902" w:type="dxa"/>
                  <w:vAlign w:val="top"/>
                </w:tcPr>
                <w:p w14:paraId="2D0B1211">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苯并(b)荧蒽</w:t>
                  </w:r>
                </w:p>
              </w:tc>
              <w:tc>
                <w:tcPr>
                  <w:tcW w:w="2902" w:type="dxa"/>
                  <w:vAlign w:val="top"/>
                </w:tcPr>
                <w:p w14:paraId="375D4A5B">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w:t>
                  </w:r>
                </w:p>
              </w:tc>
            </w:tr>
            <w:tr w14:paraId="6DF2A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972CFEA">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38</w:t>
                  </w:r>
                </w:p>
              </w:tc>
              <w:tc>
                <w:tcPr>
                  <w:tcW w:w="2902" w:type="dxa"/>
                  <w:vAlign w:val="top"/>
                </w:tcPr>
                <w:p w14:paraId="6A853326">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苯并(k)荧蒽</w:t>
                  </w:r>
                </w:p>
              </w:tc>
              <w:tc>
                <w:tcPr>
                  <w:tcW w:w="2902" w:type="dxa"/>
                  <w:vAlign w:val="top"/>
                </w:tcPr>
                <w:p w14:paraId="77F06866">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151</w:t>
                  </w:r>
                </w:p>
              </w:tc>
            </w:tr>
            <w:tr w14:paraId="5C085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7254A562">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39</w:t>
                  </w:r>
                </w:p>
              </w:tc>
              <w:tc>
                <w:tcPr>
                  <w:tcW w:w="2902" w:type="dxa"/>
                  <w:vAlign w:val="top"/>
                </w:tcPr>
                <w:p w14:paraId="1470CFFF">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苯并(a)芘</w:t>
                  </w:r>
                </w:p>
              </w:tc>
              <w:tc>
                <w:tcPr>
                  <w:tcW w:w="2902" w:type="dxa"/>
                  <w:vAlign w:val="top"/>
                </w:tcPr>
                <w:p w14:paraId="505AB90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w:t>
                  </w:r>
                </w:p>
              </w:tc>
            </w:tr>
            <w:tr w14:paraId="63E32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7BFA3EC0">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40</w:t>
                  </w:r>
                </w:p>
              </w:tc>
              <w:tc>
                <w:tcPr>
                  <w:tcW w:w="2902" w:type="dxa"/>
                  <w:vAlign w:val="top"/>
                </w:tcPr>
                <w:p w14:paraId="69F5447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茚并(1，2，3-cd)芘</w:t>
                  </w:r>
                </w:p>
              </w:tc>
              <w:tc>
                <w:tcPr>
                  <w:tcW w:w="2902" w:type="dxa"/>
                  <w:vAlign w:val="top"/>
                </w:tcPr>
                <w:p w14:paraId="5DE0B201">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w:t>
                  </w:r>
                </w:p>
              </w:tc>
            </w:tr>
            <w:tr w14:paraId="221E5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0B7C322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41</w:t>
                  </w:r>
                </w:p>
              </w:tc>
              <w:tc>
                <w:tcPr>
                  <w:tcW w:w="2902" w:type="dxa"/>
                  <w:vAlign w:val="top"/>
                </w:tcPr>
                <w:p w14:paraId="2AF73ED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硝基苯</w:t>
                  </w:r>
                </w:p>
              </w:tc>
              <w:tc>
                <w:tcPr>
                  <w:tcW w:w="2902" w:type="dxa"/>
                  <w:vAlign w:val="top"/>
                </w:tcPr>
                <w:p w14:paraId="5B742ACB">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76</w:t>
                  </w:r>
                </w:p>
              </w:tc>
            </w:tr>
            <w:tr w14:paraId="6211E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72DC0F1F">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42</w:t>
                  </w:r>
                </w:p>
              </w:tc>
              <w:tc>
                <w:tcPr>
                  <w:tcW w:w="2902" w:type="dxa"/>
                  <w:vAlign w:val="top"/>
                </w:tcPr>
                <w:p w14:paraId="4439987F">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1，4-二氯苯</w:t>
                  </w:r>
                </w:p>
              </w:tc>
              <w:tc>
                <w:tcPr>
                  <w:tcW w:w="2902" w:type="dxa"/>
                  <w:vAlign w:val="top"/>
                </w:tcPr>
                <w:p w14:paraId="33DDC348">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w:t>
                  </w:r>
                </w:p>
              </w:tc>
            </w:tr>
            <w:tr w14:paraId="60BF0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4F3490C">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43</w:t>
                  </w:r>
                </w:p>
              </w:tc>
              <w:tc>
                <w:tcPr>
                  <w:tcW w:w="2902" w:type="dxa"/>
                  <w:vAlign w:val="top"/>
                </w:tcPr>
                <w:p w14:paraId="4A35142F">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1，2-二氯苯</w:t>
                  </w:r>
                </w:p>
              </w:tc>
              <w:tc>
                <w:tcPr>
                  <w:tcW w:w="2902" w:type="dxa"/>
                  <w:vAlign w:val="top"/>
                </w:tcPr>
                <w:p w14:paraId="388BE783">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560</w:t>
                  </w:r>
                </w:p>
              </w:tc>
            </w:tr>
            <w:tr w14:paraId="5C842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738D601B">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44</w:t>
                  </w:r>
                </w:p>
              </w:tc>
              <w:tc>
                <w:tcPr>
                  <w:tcW w:w="2902" w:type="dxa"/>
                  <w:vAlign w:val="top"/>
                </w:tcPr>
                <w:p w14:paraId="7DD8586F">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苯胺</w:t>
                  </w:r>
                </w:p>
              </w:tc>
              <w:tc>
                <w:tcPr>
                  <w:tcW w:w="2902" w:type="dxa"/>
                  <w:vAlign w:val="top"/>
                </w:tcPr>
                <w:p w14:paraId="54E13A7E">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260</w:t>
                  </w:r>
                </w:p>
              </w:tc>
            </w:tr>
            <w:tr w14:paraId="37E9C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vAlign w:val="top"/>
                </w:tcPr>
                <w:p w14:paraId="4A0A96B4">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45</w:t>
                  </w:r>
                </w:p>
              </w:tc>
              <w:tc>
                <w:tcPr>
                  <w:tcW w:w="2902" w:type="dxa"/>
                  <w:vAlign w:val="top"/>
                </w:tcPr>
                <w:p w14:paraId="48E3EBE4">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二苯并[a，h]蒽</w:t>
                  </w:r>
                </w:p>
              </w:tc>
              <w:tc>
                <w:tcPr>
                  <w:tcW w:w="2902" w:type="dxa"/>
                  <w:vAlign w:val="top"/>
                </w:tcPr>
                <w:p w14:paraId="0AA69B26">
                  <w:pPr>
                    <w:pStyle w:val="79"/>
                    <w:spacing w:line="240" w:lineRule="auto"/>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w:t>
                  </w:r>
                </w:p>
              </w:tc>
            </w:tr>
          </w:tbl>
          <w:p w14:paraId="13C81C4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color w:val="000000" w:themeColor="text1"/>
                <w:sz w:val="21"/>
                <w:szCs w:val="21"/>
                <w14:textFill>
                  <w14:solidFill>
                    <w14:schemeClr w14:val="tx1"/>
                  </w14:solidFill>
                </w14:textFill>
              </w:rPr>
            </w:pPr>
            <w:r>
              <w:rPr>
                <w:rFonts w:hint="default" w:ascii="Times New Roman" w:hAnsi="Times New Roman" w:eastAsia="宋体" w:cs="Times New Roman"/>
                <w:b/>
                <w:color w:val="000000" w:themeColor="text1"/>
                <w:sz w:val="21"/>
                <w:szCs w:val="21"/>
                <w14:textFill>
                  <w14:solidFill>
                    <w14:schemeClr w14:val="tx1"/>
                  </w14:solidFill>
                </w14:textFill>
              </w:rPr>
              <w:t>表</w:t>
            </w:r>
            <w:r>
              <w:rPr>
                <w:rFonts w:hint="default" w:ascii="Times New Roman" w:hAnsi="Times New Roman" w:eastAsia="宋体" w:cs="Times New Roman"/>
                <w:b/>
                <w:color w:val="000000" w:themeColor="text1"/>
                <w:sz w:val="21"/>
                <w:szCs w:val="21"/>
                <w:lang w:val="en-US" w:eastAsia="zh-CN"/>
                <w14:textFill>
                  <w14:solidFill>
                    <w14:schemeClr w14:val="tx1"/>
                  </w14:solidFill>
                </w14:textFill>
              </w:rPr>
              <w:t>3-13农用</w:t>
            </w:r>
            <w:r>
              <w:rPr>
                <w:rFonts w:hint="default" w:ascii="Times New Roman" w:hAnsi="Times New Roman" w:eastAsia="宋体" w:cs="Times New Roman"/>
                <w:b/>
                <w:color w:val="000000" w:themeColor="text1"/>
                <w:sz w:val="21"/>
                <w:szCs w:val="21"/>
                <w14:textFill>
                  <w14:solidFill>
                    <w14:schemeClr w14:val="tx1"/>
                  </w14:solidFill>
                </w14:textFill>
              </w:rPr>
              <w:t>地土壤环境质量标准单位：mg/kg</w:t>
            </w:r>
          </w:p>
          <w:tbl>
            <w:tblPr>
              <w:tblStyle w:val="35"/>
              <w:tblW w:w="87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3"/>
              <w:gridCol w:w="817"/>
              <w:gridCol w:w="991"/>
              <w:gridCol w:w="1165"/>
              <w:gridCol w:w="1485"/>
              <w:gridCol w:w="1760"/>
              <w:gridCol w:w="1244"/>
            </w:tblGrid>
            <w:tr w14:paraId="55BE8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Merge w:val="restart"/>
                  <w:vAlign w:val="center"/>
                </w:tcPr>
                <w:p w14:paraId="66F27320">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序号</w:t>
                  </w:r>
                </w:p>
              </w:tc>
              <w:tc>
                <w:tcPr>
                  <w:tcW w:w="1808" w:type="dxa"/>
                  <w:gridSpan w:val="2"/>
                  <w:vMerge w:val="restart"/>
                  <w:vAlign w:val="center"/>
                </w:tcPr>
                <w:p w14:paraId="655182D9">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污染物项目</w:t>
                  </w:r>
                </w:p>
              </w:tc>
              <w:tc>
                <w:tcPr>
                  <w:tcW w:w="5654" w:type="dxa"/>
                  <w:gridSpan w:val="4"/>
                  <w:vAlign w:val="center"/>
                </w:tcPr>
                <w:p w14:paraId="748B590A">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风险筛选值</w:t>
                  </w:r>
                </w:p>
              </w:tc>
            </w:tr>
            <w:tr w14:paraId="49847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Merge w:val="continue"/>
                  <w:vAlign w:val="center"/>
                </w:tcPr>
                <w:p w14:paraId="2BF3EA69">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808" w:type="dxa"/>
                  <w:gridSpan w:val="2"/>
                  <w:vMerge w:val="continue"/>
                  <w:vAlign w:val="center"/>
                </w:tcPr>
                <w:p w14:paraId="3E5E1F96">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165" w:type="dxa"/>
                  <w:vAlign w:val="center"/>
                </w:tcPr>
                <w:p w14:paraId="6FFB96E2">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pH≤5.5</w:t>
                  </w:r>
                </w:p>
              </w:tc>
              <w:tc>
                <w:tcPr>
                  <w:tcW w:w="1485" w:type="dxa"/>
                  <w:vAlign w:val="center"/>
                </w:tcPr>
                <w:p w14:paraId="35A65402">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5.5＜pH≤6.5</w:t>
                  </w:r>
                </w:p>
              </w:tc>
              <w:tc>
                <w:tcPr>
                  <w:tcW w:w="1760" w:type="dxa"/>
                  <w:vAlign w:val="center"/>
                </w:tcPr>
                <w:p w14:paraId="1F5ABB5B">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6.5＜pH≤7.5</w:t>
                  </w:r>
                </w:p>
              </w:tc>
              <w:tc>
                <w:tcPr>
                  <w:tcW w:w="1244" w:type="dxa"/>
                  <w:vAlign w:val="center"/>
                </w:tcPr>
                <w:p w14:paraId="29562787">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pH＞7.5</w:t>
                  </w:r>
                </w:p>
              </w:tc>
            </w:tr>
            <w:tr w14:paraId="2A426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Align w:val="center"/>
                </w:tcPr>
                <w:p w14:paraId="5BA21005">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w:t>
                  </w:r>
                </w:p>
              </w:tc>
              <w:tc>
                <w:tcPr>
                  <w:tcW w:w="817" w:type="dxa"/>
                  <w:vAlign w:val="center"/>
                </w:tcPr>
                <w:p w14:paraId="351774EC">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镉</w:t>
                  </w:r>
                </w:p>
              </w:tc>
              <w:tc>
                <w:tcPr>
                  <w:tcW w:w="991" w:type="dxa"/>
                  <w:vAlign w:val="center"/>
                </w:tcPr>
                <w:p w14:paraId="32126993">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w:t>
                  </w:r>
                </w:p>
              </w:tc>
              <w:tc>
                <w:tcPr>
                  <w:tcW w:w="1165" w:type="dxa"/>
                  <w:vAlign w:val="center"/>
                </w:tcPr>
                <w:p w14:paraId="0C29D6E6">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0.3</w:t>
                  </w:r>
                </w:p>
              </w:tc>
              <w:tc>
                <w:tcPr>
                  <w:tcW w:w="1485" w:type="dxa"/>
                  <w:vAlign w:val="center"/>
                </w:tcPr>
                <w:p w14:paraId="006EBB2C">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0.3</w:t>
                  </w:r>
                </w:p>
              </w:tc>
              <w:tc>
                <w:tcPr>
                  <w:tcW w:w="1760" w:type="dxa"/>
                  <w:vAlign w:val="center"/>
                </w:tcPr>
                <w:p w14:paraId="5388C430">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0.3</w:t>
                  </w:r>
                </w:p>
              </w:tc>
              <w:tc>
                <w:tcPr>
                  <w:tcW w:w="1244" w:type="dxa"/>
                  <w:vAlign w:val="center"/>
                </w:tcPr>
                <w:p w14:paraId="5D94C346">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0.6</w:t>
                  </w:r>
                </w:p>
              </w:tc>
            </w:tr>
            <w:tr w14:paraId="6B42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Align w:val="center"/>
                </w:tcPr>
                <w:p w14:paraId="751F861D">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w:t>
                  </w:r>
                </w:p>
              </w:tc>
              <w:tc>
                <w:tcPr>
                  <w:tcW w:w="817" w:type="dxa"/>
                  <w:vAlign w:val="center"/>
                </w:tcPr>
                <w:p w14:paraId="435D33EB">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汞</w:t>
                  </w:r>
                </w:p>
              </w:tc>
              <w:tc>
                <w:tcPr>
                  <w:tcW w:w="991" w:type="dxa"/>
                  <w:vAlign w:val="center"/>
                </w:tcPr>
                <w:p w14:paraId="05FAE68A">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w:t>
                  </w:r>
                </w:p>
              </w:tc>
              <w:tc>
                <w:tcPr>
                  <w:tcW w:w="1165" w:type="dxa"/>
                  <w:vAlign w:val="center"/>
                </w:tcPr>
                <w:p w14:paraId="3DC48FF4">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1.3</w:t>
                  </w:r>
                </w:p>
              </w:tc>
              <w:tc>
                <w:tcPr>
                  <w:tcW w:w="1485" w:type="dxa"/>
                  <w:vAlign w:val="center"/>
                </w:tcPr>
                <w:p w14:paraId="4BA3FF36">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1.8</w:t>
                  </w:r>
                </w:p>
              </w:tc>
              <w:tc>
                <w:tcPr>
                  <w:tcW w:w="1760" w:type="dxa"/>
                  <w:vAlign w:val="center"/>
                </w:tcPr>
                <w:p w14:paraId="5DBE6A1A">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2.4</w:t>
                  </w:r>
                </w:p>
              </w:tc>
              <w:tc>
                <w:tcPr>
                  <w:tcW w:w="1244" w:type="dxa"/>
                  <w:vAlign w:val="center"/>
                </w:tcPr>
                <w:p w14:paraId="60668E82">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3.4</w:t>
                  </w:r>
                </w:p>
              </w:tc>
            </w:tr>
            <w:tr w14:paraId="65278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Align w:val="center"/>
                </w:tcPr>
                <w:p w14:paraId="5F1F8C32">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p>
              </w:tc>
              <w:tc>
                <w:tcPr>
                  <w:tcW w:w="817" w:type="dxa"/>
                  <w:vAlign w:val="center"/>
                </w:tcPr>
                <w:p w14:paraId="61C73995">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砷</w:t>
                  </w:r>
                </w:p>
              </w:tc>
              <w:tc>
                <w:tcPr>
                  <w:tcW w:w="991" w:type="dxa"/>
                  <w:vAlign w:val="center"/>
                </w:tcPr>
                <w:p w14:paraId="323D3959">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w:t>
                  </w:r>
                </w:p>
              </w:tc>
              <w:tc>
                <w:tcPr>
                  <w:tcW w:w="1165" w:type="dxa"/>
                  <w:vAlign w:val="center"/>
                </w:tcPr>
                <w:p w14:paraId="5E6C4D7F">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40</w:t>
                  </w:r>
                </w:p>
              </w:tc>
              <w:tc>
                <w:tcPr>
                  <w:tcW w:w="1485" w:type="dxa"/>
                  <w:vAlign w:val="center"/>
                </w:tcPr>
                <w:p w14:paraId="482FBF04">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40</w:t>
                  </w:r>
                </w:p>
              </w:tc>
              <w:tc>
                <w:tcPr>
                  <w:tcW w:w="1760" w:type="dxa"/>
                  <w:vAlign w:val="center"/>
                </w:tcPr>
                <w:p w14:paraId="27D8E026">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30</w:t>
                  </w:r>
                </w:p>
              </w:tc>
              <w:tc>
                <w:tcPr>
                  <w:tcW w:w="1244" w:type="dxa"/>
                  <w:vAlign w:val="center"/>
                </w:tcPr>
                <w:p w14:paraId="46DFD2AB">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25</w:t>
                  </w:r>
                </w:p>
              </w:tc>
            </w:tr>
            <w:tr w14:paraId="56C77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Align w:val="center"/>
                </w:tcPr>
                <w:p w14:paraId="321A68FB">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p>
              </w:tc>
              <w:tc>
                <w:tcPr>
                  <w:tcW w:w="817" w:type="dxa"/>
                  <w:vAlign w:val="center"/>
                </w:tcPr>
                <w:p w14:paraId="142F939F">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铅</w:t>
                  </w:r>
                </w:p>
              </w:tc>
              <w:tc>
                <w:tcPr>
                  <w:tcW w:w="991" w:type="dxa"/>
                  <w:vAlign w:val="center"/>
                </w:tcPr>
                <w:p w14:paraId="59C737D2">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w:t>
                  </w:r>
                </w:p>
              </w:tc>
              <w:tc>
                <w:tcPr>
                  <w:tcW w:w="1165" w:type="dxa"/>
                  <w:vAlign w:val="center"/>
                </w:tcPr>
                <w:p w14:paraId="49E6F332">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70</w:t>
                  </w:r>
                </w:p>
              </w:tc>
              <w:tc>
                <w:tcPr>
                  <w:tcW w:w="1485" w:type="dxa"/>
                  <w:vAlign w:val="center"/>
                </w:tcPr>
                <w:p w14:paraId="04630B59">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90</w:t>
                  </w:r>
                </w:p>
              </w:tc>
              <w:tc>
                <w:tcPr>
                  <w:tcW w:w="1760" w:type="dxa"/>
                  <w:vAlign w:val="center"/>
                </w:tcPr>
                <w:p w14:paraId="2B54ECB7">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120</w:t>
                  </w:r>
                </w:p>
              </w:tc>
              <w:tc>
                <w:tcPr>
                  <w:tcW w:w="1244" w:type="dxa"/>
                  <w:vAlign w:val="center"/>
                </w:tcPr>
                <w:p w14:paraId="019C411C">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170</w:t>
                  </w:r>
                </w:p>
              </w:tc>
            </w:tr>
            <w:tr w14:paraId="12306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Align w:val="center"/>
                </w:tcPr>
                <w:p w14:paraId="06EAF0C0">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p>
              </w:tc>
              <w:tc>
                <w:tcPr>
                  <w:tcW w:w="817" w:type="dxa"/>
                  <w:vAlign w:val="center"/>
                </w:tcPr>
                <w:p w14:paraId="4C763C1E">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铬</w:t>
                  </w:r>
                </w:p>
              </w:tc>
              <w:tc>
                <w:tcPr>
                  <w:tcW w:w="991" w:type="dxa"/>
                  <w:vAlign w:val="center"/>
                </w:tcPr>
                <w:p w14:paraId="08AECF17">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w:t>
                  </w:r>
                </w:p>
              </w:tc>
              <w:tc>
                <w:tcPr>
                  <w:tcW w:w="1165" w:type="dxa"/>
                  <w:vAlign w:val="center"/>
                </w:tcPr>
                <w:p w14:paraId="48C9F20F">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150</w:t>
                  </w:r>
                </w:p>
              </w:tc>
              <w:tc>
                <w:tcPr>
                  <w:tcW w:w="1485" w:type="dxa"/>
                  <w:vAlign w:val="center"/>
                </w:tcPr>
                <w:p w14:paraId="2D88411C">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150</w:t>
                  </w:r>
                </w:p>
              </w:tc>
              <w:tc>
                <w:tcPr>
                  <w:tcW w:w="1760" w:type="dxa"/>
                  <w:vAlign w:val="center"/>
                </w:tcPr>
                <w:p w14:paraId="7A77283F">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200</w:t>
                  </w:r>
                </w:p>
              </w:tc>
              <w:tc>
                <w:tcPr>
                  <w:tcW w:w="1244" w:type="dxa"/>
                  <w:vAlign w:val="center"/>
                </w:tcPr>
                <w:p w14:paraId="66D451CC">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250</w:t>
                  </w:r>
                </w:p>
              </w:tc>
            </w:tr>
            <w:tr w14:paraId="5DDD5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Align w:val="center"/>
                </w:tcPr>
                <w:p w14:paraId="2723AD0E">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p>
              </w:tc>
              <w:tc>
                <w:tcPr>
                  <w:tcW w:w="817" w:type="dxa"/>
                  <w:vAlign w:val="center"/>
                </w:tcPr>
                <w:p w14:paraId="52B8D4F6">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铜</w:t>
                  </w:r>
                </w:p>
              </w:tc>
              <w:tc>
                <w:tcPr>
                  <w:tcW w:w="991" w:type="dxa"/>
                  <w:vAlign w:val="center"/>
                </w:tcPr>
                <w:p w14:paraId="0FF19F44">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其他</w:t>
                  </w:r>
                </w:p>
              </w:tc>
              <w:tc>
                <w:tcPr>
                  <w:tcW w:w="1165" w:type="dxa"/>
                  <w:vAlign w:val="center"/>
                </w:tcPr>
                <w:p w14:paraId="44E7D37A">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50</w:t>
                  </w:r>
                </w:p>
              </w:tc>
              <w:tc>
                <w:tcPr>
                  <w:tcW w:w="1485" w:type="dxa"/>
                  <w:vAlign w:val="center"/>
                </w:tcPr>
                <w:p w14:paraId="0617E26A">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50</w:t>
                  </w:r>
                </w:p>
              </w:tc>
              <w:tc>
                <w:tcPr>
                  <w:tcW w:w="1760" w:type="dxa"/>
                  <w:vAlign w:val="center"/>
                </w:tcPr>
                <w:p w14:paraId="2A16F50D">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100</w:t>
                  </w:r>
                </w:p>
              </w:tc>
              <w:tc>
                <w:tcPr>
                  <w:tcW w:w="1244" w:type="dxa"/>
                  <w:vAlign w:val="center"/>
                </w:tcPr>
                <w:p w14:paraId="6424FC3A">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100</w:t>
                  </w:r>
                </w:p>
              </w:tc>
            </w:tr>
            <w:tr w14:paraId="1951B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Align w:val="center"/>
                </w:tcPr>
                <w:p w14:paraId="2D49BEC6">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w:t>
                  </w:r>
                </w:p>
              </w:tc>
              <w:tc>
                <w:tcPr>
                  <w:tcW w:w="1808" w:type="dxa"/>
                  <w:gridSpan w:val="2"/>
                  <w:vAlign w:val="center"/>
                </w:tcPr>
                <w:p w14:paraId="3B7E5063">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镍</w:t>
                  </w:r>
                </w:p>
              </w:tc>
              <w:tc>
                <w:tcPr>
                  <w:tcW w:w="1165" w:type="dxa"/>
                  <w:vAlign w:val="center"/>
                </w:tcPr>
                <w:p w14:paraId="7ACFCCB5">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60</w:t>
                  </w:r>
                </w:p>
              </w:tc>
              <w:tc>
                <w:tcPr>
                  <w:tcW w:w="1485" w:type="dxa"/>
                  <w:vAlign w:val="center"/>
                </w:tcPr>
                <w:p w14:paraId="57F88904">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70</w:t>
                  </w:r>
                </w:p>
              </w:tc>
              <w:tc>
                <w:tcPr>
                  <w:tcW w:w="1760" w:type="dxa"/>
                  <w:vAlign w:val="center"/>
                </w:tcPr>
                <w:p w14:paraId="4771C814">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100</w:t>
                  </w:r>
                </w:p>
              </w:tc>
              <w:tc>
                <w:tcPr>
                  <w:tcW w:w="1244" w:type="dxa"/>
                  <w:vAlign w:val="center"/>
                </w:tcPr>
                <w:p w14:paraId="61DFEBA7">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190</w:t>
                  </w:r>
                </w:p>
              </w:tc>
            </w:tr>
            <w:tr w14:paraId="72413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3" w:type="dxa"/>
                  <w:vAlign w:val="center"/>
                </w:tcPr>
                <w:p w14:paraId="35975EC9">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w:t>
                  </w:r>
                </w:p>
              </w:tc>
              <w:tc>
                <w:tcPr>
                  <w:tcW w:w="1808" w:type="dxa"/>
                  <w:gridSpan w:val="2"/>
                  <w:vAlign w:val="center"/>
                </w:tcPr>
                <w:p w14:paraId="120FEA18">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锌</w:t>
                  </w:r>
                </w:p>
              </w:tc>
              <w:tc>
                <w:tcPr>
                  <w:tcW w:w="1165" w:type="dxa"/>
                  <w:vAlign w:val="center"/>
                </w:tcPr>
                <w:p w14:paraId="26CDFBD1">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200</w:t>
                  </w:r>
                </w:p>
              </w:tc>
              <w:tc>
                <w:tcPr>
                  <w:tcW w:w="1485" w:type="dxa"/>
                  <w:vAlign w:val="center"/>
                </w:tcPr>
                <w:p w14:paraId="0AE34AB8">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200</w:t>
                  </w:r>
                </w:p>
              </w:tc>
              <w:tc>
                <w:tcPr>
                  <w:tcW w:w="1760" w:type="dxa"/>
                  <w:vAlign w:val="center"/>
                </w:tcPr>
                <w:p w14:paraId="1FFFB787">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250</w:t>
                  </w:r>
                </w:p>
              </w:tc>
              <w:tc>
                <w:tcPr>
                  <w:tcW w:w="1244" w:type="dxa"/>
                  <w:vAlign w:val="center"/>
                </w:tcPr>
                <w:p w14:paraId="3DD5C0FE">
                  <w:pPr>
                    <w:pStyle w:val="79"/>
                    <w:spacing w:line="240" w:lineRule="auto"/>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300</w:t>
                  </w:r>
                </w:p>
              </w:tc>
            </w:tr>
          </w:tbl>
          <w:p w14:paraId="7C0C46A7">
            <w:pPr>
              <w:spacing w:line="360" w:lineRule="auto"/>
              <w:ind w:firstLine="482" w:firstLineChars="200"/>
              <w:rPr>
                <w:rFonts w:hint="default" w:ascii="Times New Roman" w:hAnsi="Times New Roman" w:eastAsia="宋体" w:cs="Times New Roman"/>
                <w:b/>
                <w:bCs/>
                <w:color w:val="000000" w:themeColor="text1"/>
                <w:sz w:val="24"/>
                <w14:textFill>
                  <w14:solidFill>
                    <w14:schemeClr w14:val="tx1"/>
                  </w14:solidFill>
                </w14:textFill>
              </w:rPr>
            </w:pPr>
            <w:r>
              <w:rPr>
                <w:rFonts w:hint="default" w:ascii="Times New Roman" w:hAnsi="Times New Roman" w:eastAsia="宋体" w:cs="Times New Roman"/>
                <w:b/>
                <w:bCs/>
                <w:color w:val="000000" w:themeColor="text1"/>
                <w:sz w:val="24"/>
                <w14:textFill>
                  <w14:solidFill>
                    <w14:schemeClr w14:val="tx1"/>
                  </w14:solidFill>
                </w14:textFill>
              </w:rPr>
              <w:t>2污染物排放标准</w:t>
            </w:r>
          </w:p>
          <w:p w14:paraId="5682F9DC">
            <w:pPr>
              <w:adjustRightInd w:val="0"/>
              <w:spacing w:line="360" w:lineRule="auto"/>
              <w:ind w:left="105" w:leftChars="50" w:right="105" w:rightChars="50" w:firstLine="470" w:firstLineChars="196"/>
              <w:rPr>
                <w:rFonts w:hint="default" w:ascii="Times New Roman" w:hAnsi="Times New Roman" w:eastAsia="宋体" w:cs="Times New Roman"/>
                <w:bCs/>
                <w:color w:val="000000" w:themeColor="text1"/>
                <w:sz w:val="24"/>
                <w14:textFill>
                  <w14:solidFill>
                    <w14:schemeClr w14:val="tx1"/>
                  </w14:solidFill>
                </w14:textFill>
              </w:rPr>
            </w:pPr>
            <w:r>
              <w:rPr>
                <w:rFonts w:hint="default" w:ascii="Times New Roman" w:hAnsi="Times New Roman" w:eastAsia="宋体" w:cs="Times New Roman"/>
                <w:bCs/>
                <w:color w:val="000000" w:themeColor="text1"/>
                <w:sz w:val="24"/>
                <w14:textFill>
                  <w14:solidFill>
                    <w14:schemeClr w14:val="tx1"/>
                  </w14:solidFill>
                </w14:textFill>
              </w:rPr>
              <w:t>（1）废气</w:t>
            </w:r>
          </w:p>
          <w:p w14:paraId="63E6E39D">
            <w:pPr>
              <w:pStyle w:val="77"/>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kern w:val="28"/>
                <w14:textFill>
                  <w14:solidFill>
                    <w14:schemeClr w14:val="tx1"/>
                  </w14:solidFill>
                </w14:textFill>
              </w:rPr>
              <w:t>施工期扬尘执行</w:t>
            </w:r>
            <w:r>
              <w:rPr>
                <w:rFonts w:hint="default" w:ascii="Times New Roman" w:hAnsi="Times New Roman" w:eastAsia="宋体" w:cs="Times New Roman"/>
                <w:color w:val="000000" w:themeColor="text1"/>
                <w14:textFill>
                  <w14:solidFill>
                    <w14:schemeClr w14:val="tx1"/>
                  </w14:solidFill>
                </w14:textFill>
              </w:rPr>
              <w:t>《大气污染物综合排放标准》（GB16297-1996）表2</w:t>
            </w:r>
            <w:r>
              <w:rPr>
                <w:rFonts w:hint="default" w:ascii="Times New Roman" w:hAnsi="Times New Roman" w:eastAsia="宋体" w:cs="Times New Roman"/>
                <w:color w:val="000000" w:themeColor="text1"/>
                <w:spacing w:val="-3"/>
                <w14:textFill>
                  <w14:solidFill>
                    <w14:schemeClr w14:val="tx1"/>
                  </w14:solidFill>
                </w14:textFill>
              </w:rPr>
              <w:t>无组织排放监控浓度限值</w:t>
            </w:r>
            <w:r>
              <w:rPr>
                <w:rFonts w:hint="default" w:ascii="Times New Roman" w:hAnsi="Times New Roman" w:eastAsia="宋体" w:cs="Times New Roman"/>
                <w:color w:val="000000" w:themeColor="text1"/>
                <w14:textFill>
                  <w14:solidFill>
                    <w14:schemeClr w14:val="tx1"/>
                  </w14:solidFill>
                </w14:textFill>
              </w:rPr>
              <w:t>。</w:t>
            </w:r>
          </w:p>
          <w:p w14:paraId="2144327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color w:val="000000" w:themeColor="text1"/>
                <w:sz w:val="21"/>
                <w:szCs w:val="21"/>
                <w14:textFill>
                  <w14:solidFill>
                    <w14:schemeClr w14:val="tx1"/>
                  </w14:solidFill>
                </w14:textFill>
              </w:rPr>
            </w:pPr>
            <w:r>
              <w:rPr>
                <w:rFonts w:hint="default" w:ascii="Times New Roman" w:hAnsi="Times New Roman" w:eastAsia="宋体" w:cs="Times New Roman"/>
                <w:b/>
                <w:color w:val="000000" w:themeColor="text1"/>
                <w:sz w:val="21"/>
                <w:szCs w:val="21"/>
                <w14:textFill>
                  <w14:solidFill>
                    <w14:schemeClr w14:val="tx1"/>
                  </w14:solidFill>
                </w14:textFill>
              </w:rPr>
              <w:t>表</w:t>
            </w:r>
            <w:r>
              <w:rPr>
                <w:rFonts w:hint="default" w:ascii="Times New Roman" w:hAnsi="Times New Roman" w:eastAsia="宋体" w:cs="Times New Roman"/>
                <w:b/>
                <w:color w:val="000000" w:themeColor="text1"/>
                <w:sz w:val="21"/>
                <w:szCs w:val="21"/>
                <w:lang w:val="en-US" w:eastAsia="zh-CN"/>
                <w14:textFill>
                  <w14:solidFill>
                    <w14:schemeClr w14:val="tx1"/>
                  </w14:solidFill>
                </w14:textFill>
              </w:rPr>
              <w:t>3-14</w:t>
            </w:r>
            <w:r>
              <w:rPr>
                <w:rFonts w:hint="default" w:ascii="Times New Roman" w:hAnsi="Times New Roman" w:eastAsia="宋体" w:cs="Times New Roman"/>
                <w:b/>
                <w:color w:val="000000" w:themeColor="text1"/>
                <w:sz w:val="21"/>
                <w:szCs w:val="21"/>
                <w14:textFill>
                  <w14:solidFill>
                    <w14:schemeClr w14:val="tx1"/>
                  </w14:solidFill>
                </w14:textFill>
              </w:rPr>
              <w:t>大气污染物排放标准</w:t>
            </w:r>
          </w:p>
          <w:tbl>
            <w:tblPr>
              <w:tblStyle w:val="34"/>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70"/>
              <w:gridCol w:w="4485"/>
              <w:gridCol w:w="1940"/>
            </w:tblGrid>
            <w:tr w14:paraId="603786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jc w:val="center"/>
              </w:trPr>
              <w:tc>
                <w:tcPr>
                  <w:tcW w:w="1046" w:type="dxa"/>
                  <w:vMerge w:val="restart"/>
                  <w:tcBorders>
                    <w:top w:val="single" w:color="000000" w:sz="4" w:space="0"/>
                    <w:left w:val="single" w:color="000000" w:sz="4" w:space="0"/>
                    <w:bottom w:val="single" w:color="000000" w:sz="4" w:space="0"/>
                    <w:right w:val="single" w:color="000000" w:sz="4" w:space="0"/>
                  </w:tcBorders>
                </w:tcPr>
                <w:p w14:paraId="3D973E97">
                  <w:pPr>
                    <w:pStyle w:val="93"/>
                    <w:spacing w:before="175"/>
                    <w:ind w:left="278" w:right="159" w:hanging="106"/>
                    <w:rPr>
                      <w:rFonts w:hint="default" w:ascii="Times New Roman" w:hAnsi="Times New Roman" w:eastAsia="宋体" w:cs="Times New Roman"/>
                      <w:bCs/>
                      <w:color w:val="000000" w:themeColor="text1"/>
                      <w:szCs w:val="21"/>
                      <w14:textFill>
                        <w14:solidFill>
                          <w14:schemeClr w14:val="tx1"/>
                        </w14:solidFill>
                      </w14:textFill>
                    </w:rPr>
                  </w:pPr>
                  <w:r>
                    <w:rPr>
                      <w:rFonts w:hint="default" w:ascii="Times New Roman" w:hAnsi="Times New Roman" w:eastAsia="宋体" w:cs="Times New Roman"/>
                      <w:bCs/>
                      <w:color w:val="000000" w:themeColor="text1"/>
                      <w:szCs w:val="21"/>
                      <w14:textFill>
                        <w14:solidFill>
                          <w14:schemeClr w14:val="tx1"/>
                        </w14:solidFill>
                      </w14:textFill>
                    </w:rPr>
                    <w:t>污染物名称</w:t>
                  </w:r>
                </w:p>
              </w:tc>
              <w:tc>
                <w:tcPr>
                  <w:tcW w:w="2960" w:type="dxa"/>
                  <w:gridSpan w:val="2"/>
                  <w:tcBorders>
                    <w:top w:val="single" w:color="000000" w:sz="4" w:space="0"/>
                    <w:left w:val="nil"/>
                    <w:bottom w:val="single" w:color="000000" w:sz="4" w:space="0"/>
                    <w:right w:val="single" w:color="000000" w:sz="4" w:space="0"/>
                  </w:tcBorders>
                </w:tcPr>
                <w:p w14:paraId="0D1243B5">
                  <w:pPr>
                    <w:pStyle w:val="93"/>
                    <w:spacing w:line="269" w:lineRule="exact"/>
                    <w:ind w:left="172" w:right="165"/>
                    <w:rPr>
                      <w:rFonts w:hint="default" w:ascii="Times New Roman" w:hAnsi="Times New Roman" w:eastAsia="宋体" w:cs="Times New Roman"/>
                      <w:bCs/>
                      <w:color w:val="000000" w:themeColor="text1"/>
                      <w:szCs w:val="21"/>
                      <w14:textFill>
                        <w14:solidFill>
                          <w14:schemeClr w14:val="tx1"/>
                        </w14:solidFill>
                      </w14:textFill>
                    </w:rPr>
                  </w:pPr>
                  <w:r>
                    <w:rPr>
                      <w:rFonts w:hint="default" w:ascii="Times New Roman" w:hAnsi="Times New Roman" w:eastAsia="宋体" w:cs="Times New Roman"/>
                      <w:bCs/>
                      <w:color w:val="000000" w:themeColor="text1"/>
                      <w:szCs w:val="21"/>
                      <w14:textFill>
                        <w14:solidFill>
                          <w14:schemeClr w14:val="tx1"/>
                        </w14:solidFill>
                      </w14:textFill>
                    </w:rPr>
                    <w:t>无组织排放监控浓度限值/（mg/m³）</w:t>
                  </w:r>
                </w:p>
              </w:tc>
            </w:tr>
            <w:tr w14:paraId="558BEC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46" w:type="dxa"/>
                  <w:vMerge w:val="continue"/>
                  <w:tcBorders>
                    <w:top w:val="single" w:color="000000" w:sz="4" w:space="0"/>
                    <w:left w:val="single" w:color="000000" w:sz="4" w:space="0"/>
                    <w:bottom w:val="single" w:color="000000" w:sz="4" w:space="0"/>
                    <w:right w:val="single" w:color="000000" w:sz="4" w:space="0"/>
                  </w:tcBorders>
                  <w:vAlign w:val="center"/>
                </w:tcPr>
                <w:p w14:paraId="3CFB5045">
                  <w:pPr>
                    <w:widowControl/>
                    <w:rPr>
                      <w:rFonts w:hint="default" w:ascii="Times New Roman" w:hAnsi="Times New Roman" w:eastAsia="宋体" w:cs="Times New Roman"/>
                      <w:bCs/>
                      <w:color w:val="000000" w:themeColor="text1"/>
                      <w:szCs w:val="21"/>
                      <w14:textFill>
                        <w14:solidFill>
                          <w14:schemeClr w14:val="tx1"/>
                        </w14:solidFill>
                      </w14:textFill>
                    </w:rPr>
                  </w:pPr>
                </w:p>
              </w:tc>
              <w:tc>
                <w:tcPr>
                  <w:tcW w:w="2066" w:type="dxa"/>
                  <w:tcBorders>
                    <w:top w:val="single" w:color="000000" w:sz="4" w:space="0"/>
                    <w:left w:val="nil"/>
                    <w:bottom w:val="single" w:color="000000" w:sz="4" w:space="0"/>
                    <w:right w:val="single" w:color="000000" w:sz="4" w:space="0"/>
                  </w:tcBorders>
                </w:tcPr>
                <w:p w14:paraId="25654079">
                  <w:pPr>
                    <w:pStyle w:val="93"/>
                    <w:spacing w:before="34"/>
                    <w:ind w:left="209" w:right="201"/>
                    <w:rPr>
                      <w:rFonts w:hint="default" w:ascii="Times New Roman" w:hAnsi="Times New Roman" w:eastAsia="宋体" w:cs="Times New Roman"/>
                      <w:bCs/>
                      <w:color w:val="000000" w:themeColor="text1"/>
                      <w:szCs w:val="21"/>
                      <w14:textFill>
                        <w14:solidFill>
                          <w14:schemeClr w14:val="tx1"/>
                        </w14:solidFill>
                      </w14:textFill>
                    </w:rPr>
                  </w:pPr>
                  <w:r>
                    <w:rPr>
                      <w:rFonts w:hint="default" w:ascii="Times New Roman" w:hAnsi="Times New Roman" w:eastAsia="宋体" w:cs="Times New Roman"/>
                      <w:bCs/>
                      <w:color w:val="000000" w:themeColor="text1"/>
                      <w:szCs w:val="21"/>
                      <w14:textFill>
                        <w14:solidFill>
                          <w14:schemeClr w14:val="tx1"/>
                        </w14:solidFill>
                      </w14:textFill>
                    </w:rPr>
                    <w:t>监控点</w:t>
                  </w:r>
                </w:p>
              </w:tc>
              <w:tc>
                <w:tcPr>
                  <w:tcW w:w="894" w:type="dxa"/>
                  <w:tcBorders>
                    <w:top w:val="single" w:color="000000" w:sz="4" w:space="0"/>
                    <w:left w:val="nil"/>
                    <w:bottom w:val="single" w:color="000000" w:sz="4" w:space="0"/>
                    <w:right w:val="single" w:color="000000" w:sz="4" w:space="0"/>
                  </w:tcBorders>
                </w:tcPr>
                <w:p w14:paraId="7E3665BE">
                  <w:pPr>
                    <w:pStyle w:val="93"/>
                    <w:spacing w:before="34"/>
                    <w:ind w:left="185" w:right="178"/>
                    <w:rPr>
                      <w:rFonts w:hint="default" w:ascii="Times New Roman" w:hAnsi="Times New Roman" w:eastAsia="宋体" w:cs="Times New Roman"/>
                      <w:bCs/>
                      <w:color w:val="000000" w:themeColor="text1"/>
                      <w:szCs w:val="21"/>
                      <w14:textFill>
                        <w14:solidFill>
                          <w14:schemeClr w14:val="tx1"/>
                        </w14:solidFill>
                      </w14:textFill>
                    </w:rPr>
                  </w:pPr>
                  <w:r>
                    <w:rPr>
                      <w:rFonts w:hint="default" w:ascii="Times New Roman" w:hAnsi="Times New Roman" w:eastAsia="宋体" w:cs="Times New Roman"/>
                      <w:bCs/>
                      <w:color w:val="000000" w:themeColor="text1"/>
                      <w:szCs w:val="21"/>
                      <w14:textFill>
                        <w14:solidFill>
                          <w14:schemeClr w14:val="tx1"/>
                        </w14:solidFill>
                      </w14:textFill>
                    </w:rPr>
                    <w:t>浓度</w:t>
                  </w:r>
                </w:p>
              </w:tc>
            </w:tr>
            <w:tr w14:paraId="02C133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46" w:type="dxa"/>
                  <w:tcBorders>
                    <w:top w:val="single" w:color="000000" w:sz="4" w:space="0"/>
                    <w:left w:val="single" w:color="000000" w:sz="4" w:space="0"/>
                    <w:bottom w:val="single" w:color="000000" w:sz="4" w:space="0"/>
                    <w:right w:val="single" w:color="000000" w:sz="4" w:space="0"/>
                  </w:tcBorders>
                </w:tcPr>
                <w:p w14:paraId="7AF9015E">
                  <w:pPr>
                    <w:pStyle w:val="93"/>
                    <w:spacing w:before="33"/>
                    <w:ind w:left="173"/>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颗粒物</w:t>
                  </w:r>
                </w:p>
              </w:tc>
              <w:tc>
                <w:tcPr>
                  <w:tcW w:w="2066" w:type="dxa"/>
                  <w:tcBorders>
                    <w:top w:val="single" w:color="000000" w:sz="4" w:space="0"/>
                    <w:left w:val="nil"/>
                    <w:bottom w:val="single" w:color="000000" w:sz="4" w:space="0"/>
                    <w:right w:val="single" w:color="000000" w:sz="4" w:space="0"/>
                  </w:tcBorders>
                </w:tcPr>
                <w:p w14:paraId="5A9A0FED">
                  <w:pPr>
                    <w:pStyle w:val="93"/>
                    <w:spacing w:before="33"/>
                    <w:ind w:left="209" w:right="202"/>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周界</w:t>
                  </w:r>
                  <w:r>
                    <w:rPr>
                      <w:rFonts w:hint="default" w:ascii="Times New Roman" w:hAnsi="Times New Roman" w:eastAsia="宋体" w:cs="Times New Roman"/>
                      <w:color w:val="000000" w:themeColor="text1"/>
                      <w:szCs w:val="21"/>
                      <w:lang w:val="en-US" w:eastAsia="zh-CN"/>
                      <w14:textFill>
                        <w14:solidFill>
                          <w14:schemeClr w14:val="tx1"/>
                        </w14:solidFill>
                      </w14:textFill>
                    </w:rPr>
                    <w:t>外浓</w:t>
                  </w:r>
                  <w:r>
                    <w:rPr>
                      <w:rFonts w:hint="default" w:ascii="Times New Roman" w:hAnsi="Times New Roman" w:eastAsia="宋体" w:cs="Times New Roman"/>
                      <w:color w:val="000000" w:themeColor="text1"/>
                      <w:szCs w:val="21"/>
                      <w14:textFill>
                        <w14:solidFill>
                          <w14:schemeClr w14:val="tx1"/>
                        </w14:solidFill>
                      </w14:textFill>
                    </w:rPr>
                    <w:t>度最高点</w:t>
                  </w:r>
                </w:p>
              </w:tc>
              <w:tc>
                <w:tcPr>
                  <w:tcW w:w="894" w:type="dxa"/>
                  <w:tcBorders>
                    <w:top w:val="single" w:color="000000" w:sz="4" w:space="0"/>
                    <w:left w:val="nil"/>
                    <w:bottom w:val="single" w:color="000000" w:sz="4" w:space="0"/>
                    <w:right w:val="single" w:color="000000" w:sz="4" w:space="0"/>
                  </w:tcBorders>
                </w:tcPr>
                <w:p w14:paraId="67CE690B">
                  <w:pPr>
                    <w:pStyle w:val="93"/>
                    <w:spacing w:before="47"/>
                    <w:ind w:left="185" w:right="178"/>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1.0</w:t>
                  </w:r>
                </w:p>
              </w:tc>
            </w:tr>
          </w:tbl>
          <w:p w14:paraId="668C756B">
            <w:pPr>
              <w:adjustRightInd w:val="0"/>
              <w:spacing w:line="360" w:lineRule="auto"/>
              <w:ind w:left="105" w:leftChars="50" w:right="105" w:rightChars="50" w:firstLine="470" w:firstLineChars="196"/>
              <w:rPr>
                <w:rFonts w:hint="default" w:ascii="Times New Roman" w:hAnsi="Times New Roman" w:eastAsia="宋体" w:cs="Times New Roman"/>
                <w:bCs/>
                <w:color w:val="000000" w:themeColor="text1"/>
                <w:sz w:val="24"/>
                <w14:textFill>
                  <w14:solidFill>
                    <w14:schemeClr w14:val="tx1"/>
                  </w14:solidFill>
                </w14:textFill>
              </w:rPr>
            </w:pPr>
            <w:r>
              <w:rPr>
                <w:rFonts w:hint="default" w:ascii="Times New Roman" w:hAnsi="Times New Roman" w:eastAsia="宋体" w:cs="Times New Roman"/>
                <w:bCs/>
                <w:color w:val="000000" w:themeColor="text1"/>
                <w:sz w:val="24"/>
                <w14:textFill>
                  <w14:solidFill>
                    <w14:schemeClr w14:val="tx1"/>
                  </w14:solidFill>
                </w14:textFill>
              </w:rPr>
              <w:t>（2）废水</w:t>
            </w:r>
          </w:p>
          <w:p w14:paraId="2028468E">
            <w:pPr>
              <w:pStyle w:val="44"/>
              <w:keepNext w:val="0"/>
              <w:keepLines w:val="0"/>
              <w:suppressLineNumbers w:val="0"/>
              <w:spacing w:before="24" w:beforeAutospacing="0" w:after="24" w:afterAutospacing="0" w:line="360" w:lineRule="auto"/>
              <w:ind w:left="0" w:leftChars="0" w:right="0" w:firstLine="464" w:firstLineChars="200"/>
              <w:jc w:val="left"/>
              <w:rPr>
                <w:rFonts w:hint="default" w:ascii="Times New Roman" w:hAnsi="Times New Roman" w:eastAsia="宋体" w:cs="Times New Roman"/>
                <w:b w:val="0"/>
                <w:bCs/>
                <w:color w:val="000000" w:themeColor="text1"/>
                <w:kern w:val="28"/>
                <w:sz w:val="24"/>
                <w:szCs w:val="24"/>
                <w:lang w:val="en-US" w:eastAsia="zh-CN" w:bidi="ar-SA"/>
                <w14:textFill>
                  <w14:solidFill>
                    <w14:schemeClr w14:val="tx1"/>
                  </w14:solidFill>
                </w14:textFill>
              </w:rPr>
            </w:pPr>
            <w:bookmarkStart w:id="5" w:name="OLE_LINK4"/>
            <w:r>
              <w:rPr>
                <w:rFonts w:hint="default" w:ascii="Times New Roman" w:hAnsi="Times New Roman" w:eastAsia="宋体" w:cs="Times New Roman"/>
                <w:b w:val="0"/>
                <w:bCs/>
                <w:color w:val="000000" w:themeColor="text1"/>
                <w:kern w:val="28"/>
                <w:sz w:val="24"/>
                <w:szCs w:val="24"/>
                <w:lang w:val="en-US" w:eastAsia="zh-CN" w:bidi="ar-SA"/>
                <w14:textFill>
                  <w14:solidFill>
                    <w14:schemeClr w14:val="tx1"/>
                  </w14:solidFill>
                </w14:textFill>
              </w:rPr>
              <w:t>施工期生活污水执行《污水综合排放标准》（GB8978-1996）三级标准</w:t>
            </w:r>
            <w:bookmarkEnd w:id="5"/>
            <w:r>
              <w:rPr>
                <w:rFonts w:hint="default" w:ascii="Times New Roman" w:hAnsi="Times New Roman" w:eastAsia="宋体" w:cs="Times New Roman"/>
                <w:b w:val="0"/>
                <w:bCs/>
                <w:color w:val="000000" w:themeColor="text1"/>
                <w:kern w:val="28"/>
                <w:sz w:val="24"/>
                <w:szCs w:val="24"/>
                <w:lang w:val="en-US" w:eastAsia="zh-CN" w:bidi="ar-SA"/>
                <w14:textFill>
                  <w14:solidFill>
                    <w14:schemeClr w14:val="tx1"/>
                  </w14:solidFill>
                </w14:textFill>
              </w:rPr>
              <w:t>。</w:t>
            </w:r>
          </w:p>
          <w:p w14:paraId="11E6865E">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eastAsia="宋体" w:cs="Times New Roman"/>
                <w:b/>
                <w:color w:val="000000" w:themeColor="text1"/>
                <w:szCs w:val="21"/>
                <w:highlight w:val="none"/>
                <w14:textFill>
                  <w14:solidFill>
                    <w14:schemeClr w14:val="tx1"/>
                  </w14:solidFill>
                </w14:textFill>
              </w:rPr>
            </w:pPr>
            <w:r>
              <w:rPr>
                <w:rFonts w:hint="default" w:ascii="Times New Roman" w:hAnsi="Times New Roman" w:eastAsia="宋体" w:cs="Times New Roman"/>
                <w:b/>
                <w:color w:val="000000" w:themeColor="text1"/>
                <w:szCs w:val="21"/>
                <w:highlight w:val="none"/>
                <w14:textFill>
                  <w14:solidFill>
                    <w14:schemeClr w14:val="tx1"/>
                  </w14:solidFill>
                </w14:textFill>
              </w:rPr>
              <w:t>表3-</w:t>
            </w:r>
            <w:r>
              <w:rPr>
                <w:rFonts w:hint="default" w:ascii="Times New Roman" w:hAnsi="Times New Roman" w:eastAsia="宋体" w:cs="Times New Roman"/>
                <w:b/>
                <w:color w:val="000000" w:themeColor="text1"/>
                <w:szCs w:val="21"/>
                <w:highlight w:val="none"/>
                <w:lang w:val="en-US" w:eastAsia="zh-CN"/>
                <w14:textFill>
                  <w14:solidFill>
                    <w14:schemeClr w14:val="tx1"/>
                  </w14:solidFill>
                </w14:textFill>
              </w:rPr>
              <w:t>15</w:t>
            </w:r>
            <w:r>
              <w:rPr>
                <w:rFonts w:hint="default" w:ascii="Times New Roman" w:hAnsi="Times New Roman" w:eastAsia="宋体" w:cs="Times New Roman"/>
                <w:b/>
                <w:color w:val="000000" w:themeColor="text1"/>
                <w:szCs w:val="21"/>
                <w:highlight w:val="none"/>
                <w14:textFill>
                  <w14:solidFill>
                    <w14:schemeClr w14:val="tx1"/>
                  </w14:solidFill>
                </w14:textFill>
              </w:rPr>
              <w:t>污水排放标准</w:t>
            </w:r>
          </w:p>
          <w:tbl>
            <w:tblPr>
              <w:tblStyle w:val="34"/>
              <w:tblW w:w="5000"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0" w:type="dxa"/>
                <w:bottom w:w="0" w:type="dxa"/>
                <w:right w:w="0" w:type="dxa"/>
              </w:tblCellMar>
            </w:tblPr>
            <w:tblGrid>
              <w:gridCol w:w="2205"/>
              <w:gridCol w:w="6480"/>
            </w:tblGrid>
            <w:tr w14:paraId="7B0AFDA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340" w:hRule="atLeast"/>
                <w:jc w:val="center"/>
              </w:trPr>
              <w:tc>
                <w:tcPr>
                  <w:tcW w:w="2205" w:type="dxa"/>
                  <w:tcBorders>
                    <w:top w:val="single" w:color="auto" w:sz="8" w:space="0"/>
                    <w:left w:val="single" w:color="auto" w:sz="8" w:space="0"/>
                    <w:bottom w:val="single" w:color="auto" w:sz="8" w:space="0"/>
                    <w:right w:val="single" w:color="auto" w:sz="8" w:space="0"/>
                  </w:tcBorders>
                  <w:vAlign w:val="center"/>
                </w:tcPr>
                <w:p w14:paraId="23816366">
                  <w:pPr>
                    <w:pStyle w:val="81"/>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污染物</w:t>
                  </w:r>
                </w:p>
              </w:tc>
              <w:tc>
                <w:tcPr>
                  <w:tcW w:w="6480" w:type="dxa"/>
                  <w:tcBorders>
                    <w:top w:val="single" w:color="auto" w:sz="8" w:space="0"/>
                    <w:left w:val="nil"/>
                    <w:bottom w:val="single" w:color="auto" w:sz="8" w:space="0"/>
                    <w:right w:val="single" w:color="auto" w:sz="8" w:space="0"/>
                  </w:tcBorders>
                  <w:vAlign w:val="center"/>
                </w:tcPr>
                <w:p w14:paraId="11AD5FF8">
                  <w:pPr>
                    <w:pStyle w:val="81"/>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sz w:val="21"/>
                      <w:szCs w:val="21"/>
                      <w:highlight w:val="yellow"/>
                      <w14:textFill>
                        <w14:solidFill>
                          <w14:schemeClr w14:val="tx1"/>
                        </w14:solidFill>
                      </w14:textFill>
                    </w:rPr>
                  </w:pP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污水综合排放标准</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GB8978-1996</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三级标准</w:t>
                  </w:r>
                </w:p>
              </w:tc>
            </w:tr>
            <w:tr w14:paraId="12811E7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40" w:hRule="atLeast"/>
                <w:jc w:val="center"/>
              </w:trPr>
              <w:tc>
                <w:tcPr>
                  <w:tcW w:w="2205" w:type="dxa"/>
                  <w:tcBorders>
                    <w:top w:val="single" w:color="auto" w:sz="8" w:space="0"/>
                    <w:left w:val="single" w:color="auto" w:sz="8" w:space="0"/>
                    <w:bottom w:val="single" w:color="auto" w:sz="8" w:space="0"/>
                    <w:right w:val="single" w:color="auto" w:sz="8" w:space="0"/>
                  </w:tcBorders>
                  <w:vAlign w:val="center"/>
                </w:tcPr>
                <w:p w14:paraId="6850ED09">
                  <w:pPr>
                    <w:pStyle w:val="81"/>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pH</w:t>
                  </w:r>
                </w:p>
              </w:tc>
              <w:tc>
                <w:tcPr>
                  <w:tcW w:w="6480" w:type="dxa"/>
                  <w:tcBorders>
                    <w:top w:val="single" w:color="auto" w:sz="8" w:space="0"/>
                    <w:left w:val="nil"/>
                    <w:bottom w:val="single" w:color="auto" w:sz="8" w:space="0"/>
                    <w:right w:val="single" w:color="auto" w:sz="8" w:space="0"/>
                  </w:tcBorders>
                  <w:vAlign w:val="center"/>
                </w:tcPr>
                <w:p w14:paraId="22E8F766">
                  <w:pPr>
                    <w:pStyle w:val="81"/>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6~9</w:t>
                  </w:r>
                </w:p>
              </w:tc>
            </w:tr>
            <w:tr w14:paraId="370394E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40" w:hRule="atLeast"/>
                <w:jc w:val="center"/>
              </w:trPr>
              <w:tc>
                <w:tcPr>
                  <w:tcW w:w="2205" w:type="dxa"/>
                  <w:tcBorders>
                    <w:top w:val="single" w:color="auto" w:sz="8" w:space="0"/>
                    <w:left w:val="single" w:color="auto" w:sz="8" w:space="0"/>
                    <w:bottom w:val="single" w:color="auto" w:sz="8" w:space="0"/>
                    <w:right w:val="single" w:color="auto" w:sz="8" w:space="0"/>
                  </w:tcBorders>
                  <w:vAlign w:val="center"/>
                </w:tcPr>
                <w:p w14:paraId="0635546C">
                  <w:pPr>
                    <w:pStyle w:val="81"/>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COD</w:t>
                  </w:r>
                </w:p>
              </w:tc>
              <w:tc>
                <w:tcPr>
                  <w:tcW w:w="6480" w:type="dxa"/>
                  <w:tcBorders>
                    <w:top w:val="single" w:color="auto" w:sz="8" w:space="0"/>
                    <w:left w:val="nil"/>
                    <w:bottom w:val="single" w:color="auto" w:sz="8" w:space="0"/>
                    <w:right w:val="single" w:color="auto" w:sz="8" w:space="0"/>
                  </w:tcBorders>
                  <w:vAlign w:val="center"/>
                </w:tcPr>
                <w:p w14:paraId="3BD42A98">
                  <w:pPr>
                    <w:pStyle w:val="81"/>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500mg/L</w:t>
                  </w:r>
                </w:p>
              </w:tc>
            </w:tr>
            <w:tr w14:paraId="5EC69D9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40" w:hRule="atLeast"/>
                <w:jc w:val="center"/>
              </w:trPr>
              <w:tc>
                <w:tcPr>
                  <w:tcW w:w="2205" w:type="dxa"/>
                  <w:tcBorders>
                    <w:top w:val="single" w:color="auto" w:sz="8" w:space="0"/>
                    <w:left w:val="single" w:color="auto" w:sz="8" w:space="0"/>
                    <w:bottom w:val="single" w:color="auto" w:sz="8" w:space="0"/>
                    <w:right w:val="single" w:color="auto" w:sz="8" w:space="0"/>
                  </w:tcBorders>
                  <w:vAlign w:val="center"/>
                </w:tcPr>
                <w:p w14:paraId="16C1638F">
                  <w:pPr>
                    <w:pStyle w:val="81"/>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position w:val="1"/>
                      <w:sz w:val="21"/>
                      <w:szCs w:val="21"/>
                      <w14:textFill>
                        <w14:solidFill>
                          <w14:schemeClr w14:val="tx1"/>
                        </w14:solidFill>
                      </w14:textFill>
                    </w:rPr>
                    <w:t>BOD</w:t>
                  </w:r>
                  <w:r>
                    <w:rPr>
                      <w:rFonts w:hint="default" w:ascii="Times New Roman" w:hAnsi="Times New Roman" w:eastAsia="宋体" w:cs="Times New Roman"/>
                      <w:color w:val="000000" w:themeColor="text1"/>
                      <w:position w:val="1"/>
                      <w:sz w:val="21"/>
                      <w:szCs w:val="21"/>
                      <w:vertAlign w:val="subscript"/>
                      <w14:textFill>
                        <w14:solidFill>
                          <w14:schemeClr w14:val="tx1"/>
                        </w14:solidFill>
                      </w14:textFill>
                    </w:rPr>
                    <w:t>5</w:t>
                  </w:r>
                </w:p>
              </w:tc>
              <w:tc>
                <w:tcPr>
                  <w:tcW w:w="6480" w:type="dxa"/>
                  <w:tcBorders>
                    <w:top w:val="single" w:color="auto" w:sz="8" w:space="0"/>
                    <w:left w:val="nil"/>
                    <w:bottom w:val="single" w:color="auto" w:sz="8" w:space="0"/>
                    <w:right w:val="single" w:color="auto" w:sz="8" w:space="0"/>
                  </w:tcBorders>
                  <w:vAlign w:val="center"/>
                </w:tcPr>
                <w:p w14:paraId="50F45578">
                  <w:pPr>
                    <w:pStyle w:val="81"/>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300mg/L</w:t>
                  </w:r>
                </w:p>
              </w:tc>
            </w:tr>
            <w:tr w14:paraId="255EC5F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40" w:hRule="atLeast"/>
                <w:jc w:val="center"/>
              </w:trPr>
              <w:tc>
                <w:tcPr>
                  <w:tcW w:w="2205" w:type="dxa"/>
                  <w:tcBorders>
                    <w:top w:val="single" w:color="auto" w:sz="8" w:space="0"/>
                    <w:left w:val="single" w:color="auto" w:sz="8" w:space="0"/>
                    <w:bottom w:val="single" w:color="auto" w:sz="8" w:space="0"/>
                    <w:right w:val="single" w:color="auto" w:sz="8" w:space="0"/>
                  </w:tcBorders>
                  <w:vAlign w:val="center"/>
                </w:tcPr>
                <w:p w14:paraId="7B2D6DA7">
                  <w:pPr>
                    <w:pStyle w:val="81"/>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SS</w:t>
                  </w:r>
                </w:p>
              </w:tc>
              <w:tc>
                <w:tcPr>
                  <w:tcW w:w="6480" w:type="dxa"/>
                  <w:tcBorders>
                    <w:top w:val="single" w:color="auto" w:sz="8" w:space="0"/>
                    <w:left w:val="nil"/>
                    <w:bottom w:val="single" w:color="auto" w:sz="8" w:space="0"/>
                    <w:right w:val="single" w:color="auto" w:sz="8" w:space="0"/>
                  </w:tcBorders>
                  <w:vAlign w:val="center"/>
                </w:tcPr>
                <w:p w14:paraId="22A6B4B3">
                  <w:pPr>
                    <w:pStyle w:val="81"/>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400mg/L</w:t>
                  </w:r>
                </w:p>
              </w:tc>
            </w:tr>
            <w:tr w14:paraId="0746F1A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40" w:hRule="atLeast"/>
                <w:jc w:val="center"/>
              </w:trPr>
              <w:tc>
                <w:tcPr>
                  <w:tcW w:w="2205" w:type="dxa"/>
                  <w:tcBorders>
                    <w:top w:val="single" w:color="auto" w:sz="8" w:space="0"/>
                    <w:left w:val="single" w:color="auto" w:sz="8" w:space="0"/>
                    <w:bottom w:val="single" w:color="auto" w:sz="8" w:space="0"/>
                    <w:right w:val="single" w:color="auto" w:sz="8" w:space="0"/>
                  </w:tcBorders>
                  <w:vAlign w:val="center"/>
                </w:tcPr>
                <w:p w14:paraId="2ED8FD8F">
                  <w:pPr>
                    <w:pStyle w:val="81"/>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石油类</w:t>
                  </w:r>
                </w:p>
              </w:tc>
              <w:tc>
                <w:tcPr>
                  <w:tcW w:w="6480" w:type="dxa"/>
                  <w:tcBorders>
                    <w:top w:val="single" w:color="auto" w:sz="8" w:space="0"/>
                    <w:left w:val="nil"/>
                    <w:bottom w:val="single" w:color="auto" w:sz="8" w:space="0"/>
                    <w:right w:val="single" w:color="auto" w:sz="8" w:space="0"/>
                  </w:tcBorders>
                  <w:vAlign w:val="center"/>
                </w:tcPr>
                <w:p w14:paraId="0112E475">
                  <w:pPr>
                    <w:pStyle w:val="81"/>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14:textFill>
                        <w14:solidFill>
                          <w14:schemeClr w14:val="tx1"/>
                        </w14:solidFill>
                      </w14:textFill>
                    </w:rPr>
                    <w:t>0mg/L</w:t>
                  </w:r>
                </w:p>
              </w:tc>
            </w:tr>
          </w:tbl>
          <w:p w14:paraId="2F8C011D">
            <w:pPr>
              <w:numPr>
                <w:ilvl w:val="0"/>
                <w:numId w:val="3"/>
              </w:numPr>
              <w:adjustRightInd w:val="0"/>
              <w:spacing w:line="360" w:lineRule="auto"/>
              <w:ind w:left="105" w:leftChars="50" w:right="105" w:rightChars="50" w:firstLine="470" w:firstLineChars="196"/>
              <w:rPr>
                <w:rFonts w:hint="default" w:ascii="Times New Roman" w:hAnsi="Times New Roman" w:eastAsia="宋体" w:cs="Times New Roman"/>
                <w:bCs/>
                <w:color w:val="000000" w:themeColor="text1"/>
                <w:sz w:val="24"/>
                <w14:textFill>
                  <w14:solidFill>
                    <w14:schemeClr w14:val="tx1"/>
                  </w14:solidFill>
                </w14:textFill>
              </w:rPr>
            </w:pPr>
            <w:r>
              <w:rPr>
                <w:rFonts w:hint="default" w:ascii="Times New Roman" w:hAnsi="Times New Roman" w:eastAsia="宋体" w:cs="Times New Roman"/>
                <w:bCs/>
                <w:color w:val="000000" w:themeColor="text1"/>
                <w:sz w:val="24"/>
                <w14:textFill>
                  <w14:solidFill>
                    <w14:schemeClr w14:val="tx1"/>
                  </w14:solidFill>
                </w14:textFill>
              </w:rPr>
              <w:t>噪声</w:t>
            </w:r>
          </w:p>
          <w:p w14:paraId="3CCC8854">
            <w:pPr>
              <w:pStyle w:val="77"/>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施工期噪声执行《</w:t>
            </w:r>
            <w:r>
              <w:rPr>
                <w:rFonts w:hint="default" w:ascii="Times New Roman" w:hAnsi="Times New Roman" w:eastAsia="宋体" w:cs="Times New Roman"/>
                <w:color w:val="000000" w:themeColor="text1"/>
                <w:kern w:val="28"/>
                <w:lang w:eastAsia="zh-CN"/>
                <w14:textFill>
                  <w14:solidFill>
                    <w14:schemeClr w14:val="tx1"/>
                  </w14:solidFill>
                </w14:textFill>
              </w:rPr>
              <w:t>建筑施工噪声排放标准</w:t>
            </w:r>
            <w:r>
              <w:rPr>
                <w:rFonts w:hint="default" w:ascii="Times New Roman" w:hAnsi="Times New Roman" w:eastAsia="宋体" w:cs="Times New Roman"/>
                <w:color w:val="000000" w:themeColor="text1"/>
                <w:kern w:val="28"/>
                <w14:textFill>
                  <w14:solidFill>
                    <w14:schemeClr w14:val="tx1"/>
                  </w14:solidFill>
                </w14:textFill>
              </w:rPr>
              <w:t>》（GB12523-20</w:t>
            </w:r>
            <w:r>
              <w:rPr>
                <w:rFonts w:hint="default" w:ascii="Times New Roman" w:hAnsi="Times New Roman" w:eastAsia="宋体" w:cs="Times New Roman"/>
                <w:color w:val="000000" w:themeColor="text1"/>
                <w:kern w:val="28"/>
                <w:lang w:val="en-US" w:eastAsia="zh-CN"/>
                <w14:textFill>
                  <w14:solidFill>
                    <w14:schemeClr w14:val="tx1"/>
                  </w14:solidFill>
                </w14:textFill>
              </w:rPr>
              <w:t>25</w:t>
            </w:r>
            <w:r>
              <w:rPr>
                <w:rFonts w:hint="default" w:ascii="Times New Roman" w:hAnsi="Times New Roman" w:eastAsia="宋体" w:cs="Times New Roman"/>
                <w:color w:val="000000" w:themeColor="text1"/>
                <w:kern w:val="28"/>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w:t>
            </w:r>
          </w:p>
          <w:p w14:paraId="25F0CBE6">
            <w:pPr>
              <w:spacing w:line="240" w:lineRule="auto"/>
              <w:jc w:val="center"/>
              <w:textAlignment w:val="baseline"/>
              <w:rPr>
                <w:rFonts w:hint="default" w:ascii="Times New Roman" w:hAnsi="Times New Roman" w:eastAsia="宋体" w:cs="Times New Roman"/>
                <w:b/>
                <w:color w:val="000000" w:themeColor="text1"/>
                <w:szCs w:val="20"/>
                <w:highlight w:val="none"/>
                <w:lang w:eastAsia="zh-CN"/>
                <w14:textFill>
                  <w14:solidFill>
                    <w14:schemeClr w14:val="tx1"/>
                  </w14:solidFill>
                </w14:textFill>
              </w:rPr>
            </w:pPr>
            <w:r>
              <w:rPr>
                <w:rFonts w:hint="default" w:ascii="Times New Roman" w:hAnsi="Times New Roman" w:eastAsia="宋体" w:cs="Times New Roman"/>
                <w:b/>
                <w:color w:val="000000" w:themeColor="text1"/>
                <w:szCs w:val="20"/>
                <w:highlight w:val="none"/>
                <w14:textFill>
                  <w14:solidFill>
                    <w14:schemeClr w14:val="tx1"/>
                  </w14:solidFill>
                </w14:textFill>
              </w:rPr>
              <w:t>表</w:t>
            </w:r>
            <w:r>
              <w:rPr>
                <w:rFonts w:hint="default" w:ascii="Times New Roman" w:hAnsi="Times New Roman" w:eastAsia="宋体" w:cs="Times New Roman"/>
                <w:b/>
                <w:color w:val="000000" w:themeColor="text1"/>
                <w:szCs w:val="20"/>
                <w:highlight w:val="none"/>
                <w:lang w:val="en-US" w:eastAsia="zh-CN"/>
                <w14:textFill>
                  <w14:solidFill>
                    <w14:schemeClr w14:val="tx1"/>
                  </w14:solidFill>
                </w14:textFill>
              </w:rPr>
              <w:t>3-16</w:t>
            </w:r>
            <w:r>
              <w:rPr>
                <w:rFonts w:hint="default" w:ascii="Times New Roman" w:hAnsi="Times New Roman" w:eastAsia="宋体" w:cs="Times New Roman"/>
                <w:b/>
                <w:color w:val="000000" w:themeColor="text1"/>
                <w:szCs w:val="20"/>
                <w:highlight w:val="none"/>
                <w14:textFill>
                  <w14:solidFill>
                    <w14:schemeClr w14:val="tx1"/>
                  </w14:solidFill>
                </w14:textFill>
              </w:rPr>
              <w:t>建筑施</w:t>
            </w:r>
            <w:r>
              <w:rPr>
                <w:rFonts w:hint="default" w:ascii="Times New Roman" w:hAnsi="Times New Roman" w:eastAsia="宋体" w:cs="Times New Roman"/>
                <w:b/>
                <w:color w:val="000000" w:themeColor="text1"/>
                <w:szCs w:val="20"/>
                <w:highlight w:val="none"/>
                <w:lang w:val="en-US" w:eastAsia="zh-CN"/>
                <w14:textFill>
                  <w14:solidFill>
                    <w14:schemeClr w14:val="tx1"/>
                  </w14:solidFill>
                </w14:textFill>
              </w:rPr>
              <w:t>工</w:t>
            </w:r>
            <w:r>
              <w:rPr>
                <w:rFonts w:hint="default" w:ascii="Times New Roman" w:hAnsi="Times New Roman" w:eastAsia="宋体" w:cs="Times New Roman"/>
                <w:b/>
                <w:color w:val="000000" w:themeColor="text1"/>
                <w:szCs w:val="20"/>
                <w:highlight w:val="none"/>
                <w14:textFill>
                  <w14:solidFill>
                    <w14:schemeClr w14:val="tx1"/>
                  </w14:solidFill>
                </w14:textFill>
              </w:rPr>
              <w:t>噪声限值单位：dB</w:t>
            </w:r>
            <w:r>
              <w:rPr>
                <w:rFonts w:hint="default" w:ascii="Times New Roman" w:hAnsi="Times New Roman" w:eastAsia="宋体" w:cs="Times New Roman"/>
                <w:b/>
                <w:color w:val="000000" w:themeColor="text1"/>
                <w:szCs w:val="20"/>
                <w:highlight w:val="none"/>
                <w:lang w:eastAsia="zh-CN"/>
                <w14:textFill>
                  <w14:solidFill>
                    <w14:schemeClr w14:val="tx1"/>
                  </w14:solidFill>
                </w14:textFill>
              </w:rPr>
              <w:t>（</w:t>
            </w:r>
            <w:r>
              <w:rPr>
                <w:rFonts w:hint="default" w:ascii="Times New Roman" w:hAnsi="Times New Roman" w:eastAsia="宋体" w:cs="Times New Roman"/>
                <w:b/>
                <w:color w:val="000000" w:themeColor="text1"/>
                <w:szCs w:val="20"/>
                <w:highlight w:val="none"/>
                <w14:textFill>
                  <w14:solidFill>
                    <w14:schemeClr w14:val="tx1"/>
                  </w14:solidFill>
                </w14:textFill>
              </w:rPr>
              <w:t>A</w:t>
            </w:r>
            <w:r>
              <w:rPr>
                <w:rFonts w:hint="default" w:ascii="Times New Roman" w:hAnsi="Times New Roman" w:eastAsia="宋体" w:cs="Times New Roman"/>
                <w:b/>
                <w:color w:val="000000" w:themeColor="text1"/>
                <w:szCs w:val="20"/>
                <w:highlight w:val="none"/>
                <w:lang w:eastAsia="zh-CN"/>
                <w14:textFill>
                  <w14:solidFill>
                    <w14:schemeClr w14:val="tx1"/>
                  </w14:solidFill>
                </w14:textFill>
              </w:rPr>
              <w:t>）</w:t>
            </w:r>
          </w:p>
          <w:tbl>
            <w:tblPr>
              <w:tblStyle w:val="34"/>
              <w:tblW w:w="8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30"/>
              <w:gridCol w:w="3210"/>
              <w:gridCol w:w="3009"/>
            </w:tblGrid>
            <w:tr w14:paraId="10AB3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jc w:val="center"/>
              </w:trPr>
              <w:tc>
                <w:tcPr>
                  <w:tcW w:w="2630" w:type="dxa"/>
                  <w:vAlign w:val="center"/>
                </w:tcPr>
                <w:p w14:paraId="46514E0B">
                  <w:pPr>
                    <w:pStyle w:val="24"/>
                    <w:ind w:left="420" w:hanging="420"/>
                    <w:jc w:val="center"/>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类别</w:t>
                  </w:r>
                </w:p>
              </w:tc>
              <w:tc>
                <w:tcPr>
                  <w:tcW w:w="3210" w:type="dxa"/>
                  <w:vAlign w:val="center"/>
                </w:tcPr>
                <w:p w14:paraId="23065773">
                  <w:pPr>
                    <w:pStyle w:val="24"/>
                    <w:ind w:left="420" w:hanging="420"/>
                    <w:jc w:val="center"/>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昼间</w:t>
                  </w:r>
                </w:p>
              </w:tc>
              <w:tc>
                <w:tcPr>
                  <w:tcW w:w="3009" w:type="dxa"/>
                  <w:vAlign w:val="center"/>
                </w:tcPr>
                <w:p w14:paraId="61557A7C">
                  <w:pPr>
                    <w:pStyle w:val="24"/>
                    <w:ind w:left="420" w:hanging="420"/>
                    <w:jc w:val="center"/>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夜间</w:t>
                  </w:r>
                </w:p>
              </w:tc>
            </w:tr>
            <w:tr w14:paraId="75260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jc w:val="center"/>
              </w:trPr>
              <w:tc>
                <w:tcPr>
                  <w:tcW w:w="2630" w:type="dxa"/>
                  <w:vAlign w:val="center"/>
                </w:tcPr>
                <w:p w14:paraId="4524042B">
                  <w:pPr>
                    <w:pStyle w:val="24"/>
                    <w:ind w:left="420" w:hanging="420"/>
                    <w:jc w:val="center"/>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标准值</w:t>
                  </w:r>
                </w:p>
              </w:tc>
              <w:tc>
                <w:tcPr>
                  <w:tcW w:w="3210" w:type="dxa"/>
                  <w:vAlign w:val="center"/>
                </w:tcPr>
                <w:p w14:paraId="63626CEC">
                  <w:pPr>
                    <w:pStyle w:val="24"/>
                    <w:ind w:left="420" w:hanging="420"/>
                    <w:jc w:val="center"/>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70</w:t>
                  </w:r>
                </w:p>
              </w:tc>
              <w:tc>
                <w:tcPr>
                  <w:tcW w:w="3009" w:type="dxa"/>
                  <w:vAlign w:val="center"/>
                </w:tcPr>
                <w:p w14:paraId="014E131B">
                  <w:pPr>
                    <w:pStyle w:val="24"/>
                    <w:ind w:left="420" w:hanging="420"/>
                    <w:jc w:val="center"/>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color w:val="000000" w:themeColor="text1"/>
                      <w:szCs w:val="21"/>
                      <w14:textFill>
                        <w14:solidFill>
                          <w14:schemeClr w14:val="tx1"/>
                        </w14:solidFill>
                      </w14:textFill>
                    </w:rPr>
                    <w:t>55</w:t>
                  </w:r>
                </w:p>
              </w:tc>
            </w:tr>
          </w:tbl>
          <w:p w14:paraId="22D0091D">
            <w:pPr>
              <w:pStyle w:val="77"/>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（4）一般工业固体废物执行《一般工业固体废物贮存和填埋污染控制标准》（GB18599-2020）中有关规定。</w:t>
            </w:r>
          </w:p>
        </w:tc>
      </w:tr>
      <w:tr w14:paraId="2834EB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602" w:type="dxa"/>
            <w:vAlign w:val="center"/>
          </w:tcPr>
          <w:p w14:paraId="3F34B860">
            <w:pPr>
              <w:adjustRightInd w:val="0"/>
              <w:snapToGrid w:val="0"/>
              <w:jc w:val="center"/>
              <w:rPr>
                <w:rFonts w:hint="default" w:ascii="Times New Roman" w:hAnsi="Times New Roman" w:eastAsia="宋体" w:cs="Times New Roman"/>
                <w:color w:val="000000" w:themeColor="text1"/>
                <w:kern w:val="0"/>
                <w:sz w:val="24"/>
                <w14:textFill>
                  <w14:solidFill>
                    <w14:schemeClr w14:val="tx1"/>
                  </w14:solidFill>
                </w14:textFill>
              </w:rPr>
            </w:pPr>
            <w:r>
              <w:rPr>
                <w:rFonts w:hint="default" w:ascii="Times New Roman" w:hAnsi="Times New Roman" w:eastAsia="宋体" w:cs="Times New Roman"/>
                <w:color w:val="000000" w:themeColor="text1"/>
                <w:kern w:val="0"/>
                <w:sz w:val="24"/>
                <w14:textFill>
                  <w14:solidFill>
                    <w14:schemeClr w14:val="tx1"/>
                  </w14:solidFill>
                </w14:textFill>
              </w:rPr>
              <w:t>其他</w:t>
            </w:r>
          </w:p>
        </w:tc>
        <w:tc>
          <w:tcPr>
            <w:tcW w:w="8921" w:type="dxa"/>
            <w:vAlign w:val="center"/>
          </w:tcPr>
          <w:p w14:paraId="5CF614DA">
            <w:pPr>
              <w:spacing w:line="360" w:lineRule="auto"/>
              <w:ind w:firstLine="420" w:firstLineChars="20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无</w:t>
            </w:r>
          </w:p>
        </w:tc>
      </w:tr>
    </w:tbl>
    <w:p w14:paraId="7D9A26B7">
      <w:pPr>
        <w:pStyle w:val="29"/>
        <w:adjustRightInd w:val="0"/>
        <w:snapToGrid w:val="0"/>
        <w:spacing w:before="0" w:beforeAutospacing="0" w:after="0" w:afterAutospacing="0" w:line="14" w:lineRule="auto"/>
        <w:jc w:val="center"/>
        <w:outlineLvl w:val="0"/>
        <w:rPr>
          <w:rFonts w:hint="default" w:ascii="Times New Roman" w:hAnsi="Times New Roman" w:eastAsia="宋体" w:cs="Times New Roman"/>
          <w:snapToGrid w:val="0"/>
          <w:color w:val="000000" w:themeColor="text1"/>
          <w:kern w:val="2"/>
          <w:sz w:val="36"/>
          <w:szCs w:val="36"/>
          <w14:textFill>
            <w14:solidFill>
              <w14:schemeClr w14:val="tx1"/>
            </w14:solidFill>
          </w14:textFill>
        </w:rPr>
      </w:pPr>
    </w:p>
    <w:p w14:paraId="1DF38914">
      <w:pPr>
        <w:widowControl/>
        <w:jc w:val="left"/>
        <w:rPr>
          <w:rFonts w:hint="default" w:ascii="Times New Roman" w:hAnsi="Times New Roman" w:eastAsia="宋体" w:cs="Times New Roman"/>
          <w:snapToGrid w:val="0"/>
          <w:color w:val="000000" w:themeColor="text1"/>
          <w:kern w:val="0"/>
          <w:sz w:val="30"/>
          <w:szCs w:val="30"/>
          <w14:textFill>
            <w14:solidFill>
              <w14:schemeClr w14:val="tx1"/>
            </w14:solidFill>
          </w14:textFill>
        </w:rPr>
      </w:pPr>
      <w:r>
        <w:rPr>
          <w:rFonts w:hint="default" w:ascii="Times New Roman" w:hAnsi="Times New Roman" w:eastAsia="宋体" w:cs="Times New Roman"/>
          <w:snapToGrid w:val="0"/>
          <w:color w:val="000000" w:themeColor="text1"/>
          <w:sz w:val="30"/>
          <w:szCs w:val="30"/>
          <w14:textFill>
            <w14:solidFill>
              <w14:schemeClr w14:val="tx1"/>
            </w14:solidFill>
          </w14:textFill>
        </w:rPr>
        <w:br w:type="page"/>
      </w:r>
    </w:p>
    <w:p w14:paraId="5970C56F">
      <w:pPr>
        <w:pStyle w:val="29"/>
        <w:jc w:val="center"/>
        <w:outlineLvl w:val="0"/>
        <w:rPr>
          <w:rFonts w:hint="default" w:ascii="Times New Roman" w:hAnsi="Times New Roman" w:eastAsia="宋体" w:cs="Times New Roman"/>
          <w:b/>
          <w:bCs/>
          <w:snapToGrid w:val="0"/>
          <w:color w:val="000000" w:themeColor="text1"/>
          <w:sz w:val="30"/>
          <w:szCs w:val="30"/>
          <w14:textFill>
            <w14:solidFill>
              <w14:schemeClr w14:val="tx1"/>
            </w14:solidFill>
          </w14:textFill>
        </w:rPr>
      </w:pPr>
      <w:r>
        <w:rPr>
          <w:rFonts w:hint="default" w:ascii="Times New Roman" w:hAnsi="Times New Roman" w:eastAsia="宋体" w:cs="Times New Roman"/>
          <w:b/>
          <w:bCs/>
          <w:snapToGrid w:val="0"/>
          <w:color w:val="000000" w:themeColor="text1"/>
          <w:sz w:val="30"/>
          <w:szCs w:val="30"/>
          <w14:textFill>
            <w14:solidFill>
              <w14:schemeClr w14:val="tx1"/>
            </w14:solidFill>
          </w14:textFill>
        </w:rPr>
        <w:t>四、生态环境影响分析</w:t>
      </w:r>
    </w:p>
    <w:tbl>
      <w:tblPr>
        <w:tblStyle w:val="34"/>
        <w:tblW w:w="9242"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72"/>
        <w:gridCol w:w="8370"/>
      </w:tblGrid>
      <w:tr w14:paraId="7F23AD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872" w:type="dxa"/>
            <w:tcMar>
              <w:left w:w="28" w:type="dxa"/>
              <w:right w:w="28" w:type="dxa"/>
            </w:tcMar>
            <w:vAlign w:val="center"/>
          </w:tcPr>
          <w:p w14:paraId="42F865B2">
            <w:pPr>
              <w:pStyle w:val="29"/>
              <w:adjustRightInd w:val="0"/>
              <w:snapToGrid w:val="0"/>
              <w:spacing w:before="0" w:beforeAutospacing="0" w:after="0" w:afterAutospacing="0"/>
              <w:jc w:val="center"/>
              <w:rPr>
                <w:rFonts w:hint="default" w:ascii="Times New Roman" w:hAnsi="Times New Roman" w:eastAsia="宋体" w:cs="Times New Roman"/>
                <w:bCs/>
                <w:color w:val="000000" w:themeColor="text1"/>
                <w:kern w:val="2"/>
                <w:sz w:val="21"/>
                <w:szCs w:val="21"/>
                <w14:textFill>
                  <w14:solidFill>
                    <w14:schemeClr w14:val="tx1"/>
                  </w14:solidFill>
                </w14:textFill>
              </w:rPr>
            </w:pPr>
            <w:bookmarkStart w:id="6" w:name="_Hlk49796138"/>
            <w:r>
              <w:rPr>
                <w:rFonts w:hint="default" w:ascii="Times New Roman" w:hAnsi="Times New Roman" w:eastAsia="宋体" w:cs="Times New Roman"/>
                <w:bCs/>
                <w:color w:val="000000" w:themeColor="text1"/>
                <w:spacing w:val="10"/>
                <w:kern w:val="2"/>
                <w:sz w:val="21"/>
                <w:szCs w:val="21"/>
                <w14:textFill>
                  <w14:solidFill>
                    <w14:schemeClr w14:val="tx1"/>
                  </w14:solidFill>
                </w14:textFill>
              </w:rPr>
              <w:t>施工期生态环境影响分析</w:t>
            </w:r>
            <w:bookmarkEnd w:id="6"/>
          </w:p>
        </w:tc>
        <w:tc>
          <w:tcPr>
            <w:tcW w:w="8370" w:type="dxa"/>
            <w:vAlign w:val="top"/>
          </w:tcPr>
          <w:p w14:paraId="4EBAB84B">
            <w:pPr>
              <w:pStyle w:val="149"/>
              <w:spacing w:before="40" w:line="220" w:lineRule="auto"/>
              <w:ind w:left="594"/>
              <w:jc w:val="both"/>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1、施工期生态环境影响分析</w:t>
            </w:r>
          </w:p>
          <w:p w14:paraId="233638EE">
            <w:pPr>
              <w:pStyle w:val="149"/>
              <w:spacing w:before="179" w:line="359" w:lineRule="auto"/>
              <w:ind w:left="108" w:right="102"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本项目评价重点为施工期生态环境影响评价，生态影响要素主要为施工占地、陆生、水生动植物、景观生态及水土流失。</w:t>
            </w:r>
          </w:p>
          <w:p w14:paraId="53330A99">
            <w:pPr>
              <w:pStyle w:val="149"/>
              <w:spacing w:line="359" w:lineRule="auto"/>
              <w:ind w:left="131" w:right="102" w:firstLine="456"/>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（1）施工占地影响分析</w:t>
            </w:r>
          </w:p>
          <w:p w14:paraId="70B76A1C">
            <w:pPr>
              <w:pStyle w:val="149"/>
              <w:spacing w:before="3" w:line="358" w:lineRule="auto"/>
              <w:ind w:left="107" w:right="40" w:firstLine="481"/>
              <w:jc w:val="both"/>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本工程总占地面积41.481公顷，其中永久占地19.02公顷，临时占地22.461公顷。永久占地将使土地利用类型发生不可逆改变，原有耕地（8.33公顷）、草地（1.47公顷）等转变为堤防及管理用地，丧失农业生产功能和生态服务功能。临时占地（22.461公顷）包括施工排水区3.36公顷、围堰工程区8.44公顷、取弃土场区3.06公顷、原料堆放场3.09公顷、临时道路4.3</w:t>
            </w: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51</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公顷、施工生产生活区0.15公顷，占地类型以水域及水利设施用地（14.65公顷）和耕地（4.01公顷）为主。</w:t>
            </w:r>
          </w:p>
          <w:p w14:paraId="6366083B">
            <w:pPr>
              <w:pStyle w:val="149"/>
              <w:spacing w:before="3" w:line="358" w:lineRule="auto"/>
              <w:ind w:left="107" w:right="40" w:firstLine="481"/>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根据现场踏勘调查，本项目施工临时占地不涉及周边基本农田，不存在移民安置补偿等问题。</w:t>
            </w:r>
          </w:p>
          <w:p w14:paraId="01F3D37B">
            <w:pPr>
              <w:pStyle w:val="149"/>
              <w:spacing w:before="3" w:line="358" w:lineRule="auto"/>
              <w:ind w:left="107" w:right="40" w:firstLine="481"/>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本工程永久占地为防洪工程占地，施工结束后，土地利用类型将发生改变，原有部分植被不复存在，这部分永久占地使原先自然地表被防洪工程长期取代。</w:t>
            </w:r>
          </w:p>
          <w:p w14:paraId="3419044C">
            <w:pPr>
              <w:pStyle w:val="149"/>
              <w:spacing w:before="1" w:line="359" w:lineRule="auto"/>
              <w:ind w:left="108" w:right="102" w:firstLine="479"/>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施工作业时的临时占地，由于施工人员及施工机械对地表植被的践踏、碾压等外力因素，破坏了原有土壤结构及性能，降低了土壤效力，影响了原有的地表形态、土壤结构和理化性质，在工程结束后需要逐步恢复原有形态及生产力；另外施工过程中，施工人员的出入和物资搬运工作等也对这些植物造成一定程度的破坏，但仅限于局部破坏，且损失面积不大；车辆行驶也同样对地表土壤结构造成破坏，这种破坏具有暂时性的特点，且由于本工程临时占地面积较小，因此对周边区域影响不大。</w:t>
            </w:r>
          </w:p>
          <w:p w14:paraId="4634F391">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此外，临时占地在施工结束后进行清理平整，为有利于植被恢复，在平整、覆土工作完成后，采取播撒草籽、栽种灌木等措施，随着自然或人工绿化恢复的措施，使占地带来的对土壤、植被等产生的破坏性影响转变为有利影响，使生态环境有所改善。</w:t>
            </w:r>
          </w:p>
          <w:p w14:paraId="7E1746A9">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（2）对植被的影响分析</w:t>
            </w:r>
          </w:p>
          <w:p w14:paraId="611A1296">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施工期对植被的影响主要为占地范围内原有植物的剥离、清理及占压。在施工过程中，土方开挖扰动范围内植物的地上部分与根系均被清除，施工带两侧的植被由于挖掘土方的堆放、人员的践踏、施工车辆和机具的碾压而受到不同程度的破坏，会造成地上部分植被破坏甚至死亡。</w:t>
            </w:r>
          </w:p>
          <w:p w14:paraId="74FBBDB6">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根据现场调查，工程区地表植被稀少，工程建设河段两岸为草地、农田、林地等，无保护类植物，项目施工期不涉及占用及破坏周边基本农田。根据现场调查，本项目永久占地占用林地不属于公益林，也不属于特殊灌木林地。根据《林地分类》（LY/T1812-2021），本项目临时占用林地为一般灌木林地，主要以红柳、怪柳、喀什小檗等为主的灌木丛。</w:t>
            </w:r>
          </w:p>
          <w:p w14:paraId="1C558129">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本工程建设造成的生物损失主要包括永久占地和临时占地导致的植被破坏。根据现场调查及植被覆盖度估算，工程区单位面积生物量（干重）取值如下：河岸灌丛（红柳、怪柳）约8.5吨/公顷，荒漠草地（芦苇、骆驼刺等）约1.2吨/公顷，农田（玉米、小麦等）约6.0吨/公顷（地上部分）。经核算，永久占地造成的生物损失量约为51.74吨，其中耕地（8.33公顷）损失49.98吨，草地（1.47公顷）损失1.76吨；临时占地造成的生物损失量约为29.09吨，其中耕地（4.01公顷）损失24.06吨，草地（0.30公顷）损失0.36吨，其他土地（3.48公顷）按荒漠草地估算损失1.74吨，水域及水利设施用地（14.671公顷）因植被稀少仅估算损失2.93吨</w:t>
            </w:r>
            <w:r>
              <w:rPr>
                <w:rFonts w:hint="default" w:ascii="Times New Roman" w:hAnsi="Times New Roman" w:eastAsia="宋体" w:cs="Times New Roman"/>
                <w:i w:val="0"/>
                <w:iCs w:val="0"/>
                <w:caps w:val="0"/>
                <w:color w:val="000000" w:themeColor="text1"/>
                <w:spacing w:val="0"/>
                <w:sz w:val="24"/>
                <w:szCs w:val="24"/>
                <w:shd w:val="clear" w:fill="FFFFFF"/>
                <w:lang w:eastAsia="zh-CN"/>
                <w14:textFill>
                  <w14:solidFill>
                    <w14:schemeClr w14:val="tx1"/>
                  </w14:solidFill>
                </w14:textFill>
              </w:rPr>
              <w:t>。</w:t>
            </w:r>
          </w:p>
          <w:p w14:paraId="1799662E">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本次环评要求建设单位在施工期间需对施工单位严格要求，减少对区域植被的破坏，施工结束后，人为和机械干扰因素消失，区域植被得以逐渐恢复和重建，进行生态恢复，构建区内生态结构完整的植物种群，降低对沿线植被覆盖度的影响。项目施工期相对短暂，且施工结束后场地经过平整，周边进行植被补偿恢复，植被破坏影响能够得到有效治理，影响较小。</w:t>
            </w:r>
          </w:p>
          <w:p w14:paraId="633787F1">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（4）对农作物的影响分析</w:t>
            </w:r>
          </w:p>
          <w:p w14:paraId="1DF7091E">
            <w:pPr>
              <w:pStyle w:val="149"/>
              <w:spacing w:before="1" w:line="359" w:lineRule="auto"/>
              <w:ind w:left="109" w:right="21" w:firstLine="480"/>
              <w:jc w:val="both"/>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本工程永久及临时占用耕地共12.34公顷（其中永久8.33公顷，临时4.01公顷），施工期对周边农田作物的影响主要包括三个方面：一是施工扬尘沉降于作物叶片表面，可能堵塞气孔、降低光合作用效率，尤其在作物开花期可能影响授粉结实。</w:t>
            </w:r>
          </w:p>
          <w:p w14:paraId="73A6FB0D">
            <w:pPr>
              <w:pStyle w:val="149"/>
              <w:spacing w:before="1" w:line="359" w:lineRule="auto"/>
              <w:ind w:left="109" w:right="21" w:firstLine="480"/>
              <w:jc w:val="both"/>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根据同类工程监测数据，扬尘影响范围一般在施工区下风向50米以内，通过设置围挡、洒水降尘（每日不少于4次）、四级以上大风停止土方作业等措施，可将扬尘影响控制在施工边界外20米范围内。二是施工车辆碾压可能破坏作业带边缘的农田土壤结构，造成土壤板结，影响下季耕作。施工前应划定作业带边界（彩旗围护），严禁车辆超出作业带行驶，对确需临时占用的农田，施工前剥离表土（30厘米）单独堆存，施工结束后及时回覆、深翻松土。三是施工废水若漫流进入农田，可能造成土壤盐碱化或局部污染。施工区设置隔油沉淀池，废水经处理后全部回用于施工降尘和养护，不外排；同时设置临时排水沟，防止雨水冲刷导致废水漫流。施工期间应与周边农户保持沟通，发生作物损失时按当地青苗补偿标准予以赔偿。施工结束后，临时占用的4.01公顷耕地全部恢复为耕地，不影响下一季耕种。</w:t>
            </w:r>
          </w:p>
          <w:p w14:paraId="7AD22D0A">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（4）对动物的影响分析</w:t>
            </w:r>
          </w:p>
          <w:p w14:paraId="2C69F446">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根据现场踏勘及有关资料的调查，项目区周边人为活动较频繁，区域内没有陆生珍稀动物及大型哺乳动物，仅有一些常见鸟类和啮齿类动物少量存在。施工过程中开挖土方的嘈杂声及机器轰鸣声等各种声响形成的噪声，会使生活在较为安静环境中的鸟类、啮齿类动物的正常生活受到暂时的轻微干扰。</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由于评价区周边有大面积相似生境（农田、灌丛、荒漠），动物可迁移至周边区域，施工期影响是暂时的、可逆的。施工期采取禁止捕猎、夜间不施工、车辆限速行驶等措施，可有效减轻对动物的影响。施工结束后，随着植被恢复和人为干扰消失，动物将逐渐返回。</w:t>
            </w:r>
          </w:p>
          <w:p w14:paraId="6DDC668B">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（5）对地表水影响分析</w:t>
            </w:r>
          </w:p>
          <w:p w14:paraId="42EDFE6E">
            <w:pPr>
              <w:pStyle w:val="149"/>
              <w:spacing w:before="1" w:line="359" w:lineRule="auto"/>
              <w:ind w:left="109" w:right="21" w:firstLine="480"/>
              <w:jc w:val="both"/>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根据《建设项目环境影响报告表编制技术指南（生态影响类）（试行）》表1“专项评价设置原则表”，防洪除涝工程中“包含水库的项目”需要设置地表水专项评价。本项目为防洪护岸工程，新建护岸6.22km、退水口1座，不涉及水库建设、加固或改造，不属于“包含水库的项目”，因此无需设置地表水专项评价。</w:t>
            </w:r>
          </w:p>
          <w:p w14:paraId="346AFB2D">
            <w:pPr>
              <w:pStyle w:val="149"/>
              <w:spacing w:before="1" w:line="359" w:lineRule="auto"/>
              <w:ind w:left="109" w:right="21" w:firstLine="480"/>
              <w:jc w:val="both"/>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本工程涉水施工主要为临时围堰填筑与拆除（下段5.812公里）及退水口施工，施工期安排在枯水期，避开鱼类繁殖期。施工对水生生态的影响主要表现为：围堰填筑搅动河床底泥，造成局部水域悬浮物浓度升高，影响浮游植物光合作用和浮游动物摄食；施工噪声可能对鱼类产生驱离效应；施工人员可能非法捕捞。评价河段不涉及鱼类“三场”（产卵场、索饵场、越冬场）及洄游通道，无集中产卵场分布，但偶有自治区二级保护鱼类塔里木裂腹鱼出现。每年4～5月为塔里木裂腹鱼主要繁殖期，有短距离溯河生殖洄游习性，产卵场多位于流水、砾石底质的河滩处。本工程评价河段不涉及塔里木裂腹鱼的集中产卵场、索饵场、越冬场及固定洄游通道，施工期安排在枯水期（9～11月），完全避开繁殖期（4～5月）。环评要求采取施工废水零排放、设置鱼类保护警示牌、严禁捕鱼、配备临时救护设施等保护措施，并建立与渔业主管部门的应急联系机制。在严格落实上述措施的前提下，本项目对塔里木裂腹鱼种群的不利影响是可控和可接受的。</w:t>
            </w:r>
          </w:p>
          <w:p w14:paraId="0469E6EA">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（6）对景观生态的影响分析</w:t>
            </w:r>
          </w:p>
          <w:p w14:paraId="3CD40325">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本项目覆盖范围不大，破土开挖和土方堆置及土方运输过程中的遗撒，会给周围景观造成不良影响。项目建设对景观的不良影响是短期的，而且通过施工管理可以得到有效缓解，对区域景观生态的影响不大。</w:t>
            </w:r>
          </w:p>
          <w:p w14:paraId="46C07307">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（7）对土壤的影响分析</w:t>
            </w:r>
          </w:p>
          <w:p w14:paraId="236CDCF5">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施工期对土壤生态环境的影响主要表现在：临时占地对土壤的扰动将使土壤结构、组成及理化性质等发生变化；弃土处置不当会加剧水土流失等。</w:t>
            </w:r>
          </w:p>
          <w:p w14:paraId="71222FC4">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施工期内单位面积上施工机械、人类活动的频率将大大增加，施工初期的挖土工程和车辆无规律地运行将践踏、碾压和破坏区域内土壤，造成表层土壤过于紧实，降低土壤的通透性和渗水性，对植物的生长会造成不良影响，这种破坏具有暂时性，经过一定时期能够恢复。</w:t>
            </w:r>
          </w:p>
          <w:p w14:paraId="769F5804">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施工过程中土石方开挖势必破坏土壤结构，混合了不同层次的土质，影响了土壤的发育，即使回填也不能使其结构在短时间得到恢复。其次是项目临时占地（如材料堆放区）将对地表土壤产生破坏性影响，以及施工过程中碾压、踩踏等活动破坏了土壤的表层保护性结构，造成地面裸露，对土壤的理化性质产生不利影响。土壤有机质分解强烈，使表土内有机质含量大幅度降低，不利于重新栽植其他植被，并且使土壤的富集过程受阻，使土壤生产力下降，为加剧水土流失创造了有利条件。由于在项目区最终要进行场地平整处理，因此，其影响是暂时性的，施工期对土壤的影响将随着施工的结束而结束，土壤生产力可以逐渐得到恢复。</w:t>
            </w:r>
          </w:p>
          <w:p w14:paraId="69D304B5">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在整个施工过程中，除了对土壤和植被的直接破坏，还由于施工人员、机械、车辆的运行和活动对植被和土壤的践踏、碾压而产生的间接影响。因此在施工过程中应严格限定作业范围，尽可能减少施工作业宽度，降低施工活动对区域植被、土壤和野生动物的影响。</w:t>
            </w:r>
          </w:p>
          <w:p w14:paraId="37D0CE9B">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（8）对水土流失的影响分析</w:t>
            </w:r>
          </w:p>
          <w:p w14:paraId="309A60EF">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1）水土流失现状</w:t>
            </w:r>
          </w:p>
          <w:p w14:paraId="2BD91D80">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根据《关于印发新疆</w:t>
            </w:r>
            <w:r>
              <w:rPr>
                <w:rFonts w:hint="eastAsia"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维吾尔</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自治区级水土流失重点预防区和重点治理区复核划分成果的通知》新水水保〔2019〕4号，项目区位置属于Ⅱ3塔里木河流域重点治理区。根据《土</w:t>
            </w:r>
            <w:bookmarkStart w:id="7" w:name="_GoBack"/>
            <w:bookmarkEnd w:id="7"/>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壤侵蚀分类分级标准》（SL190-2007），项目区土壤侵蚀强度为中度水蚀。本项目施工时，存在土石方开挖、回填等工序，将会由于大风降雨而产生水土流失，对周围生态环境产生不利影响，若本项目的建设不采取水土保持措施，项目区水土流失将有增加的趋势。</w:t>
            </w:r>
          </w:p>
          <w:p w14:paraId="33FDB6A6">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①风力侵蚀</w:t>
            </w:r>
          </w:p>
          <w:p w14:paraId="0608EF95">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从项目区的气候特征及下垫面情况分析，风蚀为该区域的一种侵蚀类型，根据项目区的实际情况来看，发生风蚀具备两个条件，一是具备大于起沙风速的风力；二是干燥或地表植被覆盖度低，并提供了沙源。根据现场调查，项目区多为荒漠植被，如不人为扰动，其抗风蚀能力较强，参考《新疆维吾尔自治区水土保持规划》中对项目区风力侵蚀特点的描述，项目区在原生地表未扰动的状态下属于轻度风蚀区。</w:t>
            </w:r>
          </w:p>
          <w:p w14:paraId="217ACA11">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②水力侵蚀</w:t>
            </w:r>
          </w:p>
          <w:p w14:paraId="6E858CB8">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项目区多年平均降水量为35.8mm，地表为粉土覆盖，粗骨料所占比例较大，土壤渗透力较好，项目区位于叶尔羌河沿岸，受洪水冲蚀和河流掏蚀等多方面判断水力侵蚀强度为中度。</w:t>
            </w:r>
          </w:p>
          <w:p w14:paraId="25C5AAE8">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2）水土流失成因</w:t>
            </w:r>
          </w:p>
          <w:p w14:paraId="4270962B">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本项目对水土流失的影响主要表现在施工期因工程建设而产生的扰动原地貌、损坏土壤结构和破坏地表植被等三个方面。不同的施工活动对水土流失的影响存在一定的差异。</w:t>
            </w:r>
          </w:p>
          <w:p w14:paraId="2DB8A728">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①施工准备期</w:t>
            </w:r>
          </w:p>
          <w:p w14:paraId="6BB0F52F">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施工生产区建设前需进行场地的四通一平、部分挖方及填方工作，由于地表的覆盖物被清除，大面积的土地完全暴露在外，原土地地貌被扰动，引发水土流失产生。</w:t>
            </w:r>
          </w:p>
          <w:p w14:paraId="4797B57A">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②施工期</w:t>
            </w:r>
          </w:p>
          <w:p w14:paraId="7F843EF5">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由于河道基础开挖与回填、大量松散土体的临时堆积、建筑材料的临时堆放，造成项目区地表扰动和再塑，使地表失去固土抗冲能力。</w:t>
            </w:r>
          </w:p>
          <w:p w14:paraId="0CC01434">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③自然恢复期</w:t>
            </w:r>
          </w:p>
          <w:p w14:paraId="47A25E1A">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主体工程建设完成后，施工期扰动后的裸露土地均采取工程措施或植物措施进行防治，区域水土流失将大大减少。施工场地恢复至原地貌后，由于项目区地处偏僻、人烟稀少，人为活动对地表的扰动很小或基本消除，土壤流失量较施工期有所下降，水土流失因素以自然因素为主。</w:t>
            </w:r>
          </w:p>
          <w:p w14:paraId="31C38B4B">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3）水土流失危害</w:t>
            </w:r>
          </w:p>
          <w:p w14:paraId="6D193871">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施工期施工开挖、占压和破坏原地表将降低原地表的抗蚀程度，基础开挖施工中将产生一定量临时弃土，若不加以防护，易造成弃土流失，对生产、生活环境造成影响。由于工程的建设造成对原地貌的扰动，工程施工过程中，基础开挖使项目区生态系统遭到破坏；地表受到机械、车辆碾压，将使土壤下渗和涵养水分的能力降低，影响植物生长，同时地表水易形成地表径流，从而加剧水土流失，导致环境的恶化。在建设过程中，可能造成项目区地表植被遭到破坏，造成项目区水土流失，扰动和损坏原地貌和植被，致使土地退化，可利用的土地资源减少；同时水土流失可能破坏原地表的土壤结构，降低土壤肥力和土地生产力，工程施工形成的裸露坡面和堆放的松散物在暴雨作用下，将形成水土流失源，地表松散物质由暴雨形成的坡面径流进入附近沟道内，对沟道水水质造成影响。</w:t>
            </w:r>
          </w:p>
          <w:p w14:paraId="1661D7F9">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在运营期，施工场地已基本平整，前期工程形成的弃土也得到合理处置，水土流失影响将随着边坡的防护工程实施与植被恢复工程的落实而逐步得到控制。此外，通过本项目的实施，防洪任务减轻，区域植被覆盖率将会有效提高，使土壤性状得到改善，项目区内水土流失得到有效控制。</w:t>
            </w:r>
          </w:p>
          <w:p w14:paraId="26E8BEE1">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经过以上措施后，项目建设过程中产生水土流失的范围小且相对集中，因此，水土流失造成的危害影响较轻。</w:t>
            </w:r>
          </w:p>
          <w:p w14:paraId="5E0E405D">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（9）项目对沙化土地产生的影响分析</w:t>
            </w:r>
          </w:p>
          <w:p w14:paraId="50642C92">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本项目临时占地</w:t>
            </w:r>
            <w:r>
              <w:rPr>
                <w:rFonts w:hint="default" w:ascii="Times New Roman" w:hAnsi="Times New Roman" w:eastAsia="宋体" w:cs="Times New Roman"/>
                <w:color w:val="000000" w:themeColor="text1"/>
                <w:sz w:val="24"/>
                <w:szCs w:val="24"/>
                <w:lang w:eastAsia="zh-CN"/>
                <w14:textFill>
                  <w14:solidFill>
                    <w14:schemeClr w14:val="tx1"/>
                  </w14:solidFill>
                </w14:textFill>
              </w:rPr>
              <w:t>22.461hm²</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项目施工期间开挖、土石方工程、车辆碾压等将破坏原有地表植被和土壤结构，导致项目永久占地区植被全部被破坏。施工便道等将临时占用场外少量用地，施工区域及周边土壤受到扰动，地表植被覆盖降低，成为土地沙化的极敏感因子。因此，如果在人为干扰而植被不能恢复的情况下，评价区的土地荒漠化敏感性将会上升。因此，在项目施工过程中必须重视裸露地表的及时恢复，防止土壤荒漠化的加剧。</w:t>
            </w:r>
          </w:p>
          <w:p w14:paraId="1C947B8F">
            <w:pPr>
              <w:pStyle w:val="149"/>
              <w:spacing w:before="1" w:line="359" w:lineRule="auto"/>
              <w:ind w:left="109" w:right="21" w:firstLine="48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（10）对区域整体生态影响分析</w:t>
            </w:r>
          </w:p>
          <w:p w14:paraId="209BAF7F">
            <w:pPr>
              <w:pStyle w:val="149"/>
              <w:spacing w:before="1" w:line="359" w:lineRule="auto"/>
              <w:ind w:left="109" w:right="21" w:firstLine="480"/>
              <w:jc w:val="both"/>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项目施工过程将对区域整体生态景观存在局部短暂的割裂，但此影响是暂时的，待施工完成后，在采取相关生态补偿恢复措施及工程涉及区域自然生态系统的自我调节后，工程影响区域自然体系的性质和功能将得到恢复，对项目区整体生态系统影响较小。综上，本项目实施将对局部自然生态环境造成一定的破坏，但施工期是短暂的，在施工结束后采取场地恢复平整和植物恢复措施后，对占地及动植物影响较小；在项目实施过程中加强水土流失管控后，可有效降低水土流失影响。</w:t>
            </w:r>
          </w:p>
          <w:p w14:paraId="5525270D">
            <w:pPr>
              <w:pStyle w:val="116"/>
              <w:ind w:firstLine="482"/>
              <w:jc w:val="both"/>
              <w:rPr>
                <w:rFonts w:hint="default" w:ascii="Times New Roman" w:hAnsi="Times New Roman" w:eastAsia="宋体" w:cs="Times New Roman"/>
                <w:b/>
                <w:color w:val="000000" w:themeColor="text1"/>
                <w:lang w:val="en-US" w:eastAsia="zh-CN"/>
                <w14:textFill>
                  <w14:solidFill>
                    <w14:schemeClr w14:val="tx1"/>
                  </w14:solidFill>
                </w14:textFill>
              </w:rPr>
            </w:pPr>
            <w:r>
              <w:rPr>
                <w:rFonts w:hint="default" w:ascii="Times New Roman" w:hAnsi="Times New Roman" w:eastAsia="宋体" w:cs="Times New Roman"/>
                <w:b/>
                <w:color w:val="000000" w:themeColor="text1"/>
                <w:lang w:val="en-US" w:eastAsia="zh-CN"/>
                <w14:textFill>
                  <w14:solidFill>
                    <w14:schemeClr w14:val="tx1"/>
                  </w14:solidFill>
                </w14:textFill>
              </w:rPr>
              <w:t>2</w:t>
            </w:r>
            <w:r>
              <w:rPr>
                <w:rFonts w:hint="default" w:ascii="Times New Roman" w:hAnsi="Times New Roman" w:eastAsia="宋体" w:cs="Times New Roman"/>
                <w:b/>
                <w:color w:val="000000" w:themeColor="text1"/>
                <w14:textFill>
                  <w14:solidFill>
                    <w14:schemeClr w14:val="tx1"/>
                  </w14:solidFill>
                </w14:textFill>
              </w:rPr>
              <w:t>施工期</w:t>
            </w:r>
            <w:r>
              <w:rPr>
                <w:rFonts w:hint="default" w:ascii="Times New Roman" w:hAnsi="Times New Roman" w:eastAsia="宋体" w:cs="Times New Roman"/>
                <w:b/>
                <w:color w:val="000000" w:themeColor="text1"/>
                <w:lang w:val="en-US" w:eastAsia="zh-CN"/>
                <w14:textFill>
                  <w14:solidFill>
                    <w14:schemeClr w14:val="tx1"/>
                  </w14:solidFill>
                </w14:textFill>
              </w:rPr>
              <w:t>大气环境影响分析</w:t>
            </w:r>
          </w:p>
          <w:p w14:paraId="24A8A210">
            <w:pPr>
              <w:pStyle w:val="116"/>
              <w:ind w:firstLine="480"/>
              <w:jc w:val="both"/>
              <w:rPr>
                <w:rFonts w:hint="default" w:ascii="Times New Roman" w:hAnsi="Times New Roman" w:eastAsia="宋体" w:cs="Times New Roman"/>
                <w:b w:val="0"/>
                <w:bCs w:val="0"/>
                <w:color w:val="000000" w:themeColor="text1"/>
                <w:sz w:val="24"/>
                <w:szCs w:val="24"/>
                <w14:textFill>
                  <w14:solidFill>
                    <w14:schemeClr w14:val="tx1"/>
                  </w14:solidFill>
                </w14:textFill>
              </w:rPr>
            </w:pPr>
            <w:r>
              <w:rPr>
                <w:rFonts w:hint="default" w:ascii="Times New Roman" w:hAnsi="Times New Roman" w:eastAsia="宋体" w:cs="Times New Roman"/>
                <w:b w:val="0"/>
                <w:bCs w:val="0"/>
                <w:color w:val="000000" w:themeColor="text1"/>
                <w:sz w:val="24"/>
                <w:szCs w:val="24"/>
                <w14:textFill>
                  <w14:solidFill>
                    <w14:schemeClr w14:val="tx1"/>
                  </w14:solidFill>
                </w14:textFill>
              </w:rPr>
              <w:t>本项目施工期废气污染源主要为施工作业扬尘、施工机械等车辆尾气</w:t>
            </w:r>
            <w:r>
              <w:rPr>
                <w:rFonts w:hint="eastAsia" w:ascii="Times New Roman" w:hAnsi="Times New Roman" w:eastAsia="宋体" w:cs="Times New Roman"/>
                <w:b w:val="0"/>
                <w:bCs w:val="0"/>
                <w:color w:val="000000" w:themeColor="text1"/>
                <w:sz w:val="24"/>
                <w:szCs w:val="24"/>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szCs w:val="24"/>
                <w14:textFill>
                  <w14:solidFill>
                    <w14:schemeClr w14:val="tx1"/>
                  </w14:solidFill>
                </w14:textFill>
              </w:rPr>
              <w:t>混凝土</w:t>
            </w:r>
            <w:r>
              <w:rPr>
                <w:rFonts w:hint="default" w:ascii="Times New Roman" w:hAnsi="Times New Roman" w:eastAsia="宋体" w:cs="Times New Roman"/>
                <w:b w:val="0"/>
                <w:bCs w:val="0"/>
                <w:color w:val="000000" w:themeColor="text1"/>
                <w:sz w:val="24"/>
                <w:szCs w:val="24"/>
                <w:lang w:eastAsia="zh-CN"/>
                <w14:textFill>
                  <w14:solidFill>
                    <w14:schemeClr w14:val="tx1"/>
                  </w14:solidFill>
                </w14:textFill>
              </w:rPr>
              <w:t>拌和站</w:t>
            </w:r>
            <w:r>
              <w:rPr>
                <w:rFonts w:hint="default" w:ascii="Times New Roman" w:hAnsi="Times New Roman" w:eastAsia="宋体" w:cs="Times New Roman"/>
                <w:b w:val="0"/>
                <w:bCs w:val="0"/>
                <w:color w:val="000000" w:themeColor="text1"/>
                <w:sz w:val="24"/>
                <w:szCs w:val="24"/>
                <w14:textFill>
                  <w14:solidFill>
                    <w14:schemeClr w14:val="tx1"/>
                  </w14:solidFill>
                </w14:textFill>
              </w:rPr>
              <w:t>扬尘</w:t>
            </w:r>
            <w:r>
              <w:rPr>
                <w:rFonts w:hint="eastAsia" w:ascii="Times New Roman" w:hAnsi="Times New Roman" w:eastAsia="宋体" w:cs="Times New Roman"/>
                <w:b w:val="0"/>
                <w:bCs w:val="0"/>
                <w:color w:val="000000" w:themeColor="text1"/>
                <w:sz w:val="24"/>
                <w:szCs w:val="24"/>
                <w:lang w:val="en-US" w:eastAsia="zh-CN"/>
                <w14:textFill>
                  <w14:solidFill>
                    <w14:schemeClr w14:val="tx1"/>
                  </w14:solidFill>
                </w14:textFill>
              </w:rPr>
              <w:t>和</w:t>
            </w:r>
            <w:r>
              <w:rPr>
                <w:rFonts w:hint="default" w:ascii="Times New Roman" w:hAnsi="Times New Roman" w:eastAsia="宋体" w:cs="Times New Roman"/>
                <w:b w:val="0"/>
                <w:bCs w:val="0"/>
                <w:color w:val="000000" w:themeColor="text1"/>
                <w:lang w:val="en-US" w:eastAsia="zh-CN"/>
                <w14:textFill>
                  <w14:solidFill>
                    <w14:schemeClr w14:val="tx1"/>
                  </w14:solidFill>
                </w14:textFill>
              </w:rPr>
              <w:t>柴油发电机尾气</w:t>
            </w:r>
            <w:r>
              <w:rPr>
                <w:rFonts w:hint="default" w:ascii="Times New Roman" w:hAnsi="Times New Roman" w:eastAsia="宋体" w:cs="Times New Roman"/>
                <w:b w:val="0"/>
                <w:bCs w:val="0"/>
                <w:color w:val="000000" w:themeColor="text1"/>
                <w:sz w:val="24"/>
                <w:szCs w:val="24"/>
                <w14:textFill>
                  <w14:solidFill>
                    <w14:schemeClr w14:val="tx1"/>
                  </w14:solidFill>
                </w14:textFill>
              </w:rPr>
              <w:t>。其中，施工作业扬尘主要来源于项目土石方开挖、建筑材料装卸、堆放过程；施工机械等车辆尾气主要来源于土石方开挖以及建筑材料运输过程中，</w:t>
            </w:r>
            <w:r>
              <w:rPr>
                <w:rFonts w:hint="default" w:ascii="Times New Roman" w:hAnsi="Times New Roman" w:eastAsia="宋体" w:cs="Times New Roman"/>
                <w:b w:val="0"/>
                <w:bCs w:val="0"/>
                <w:color w:val="000000" w:themeColor="text1"/>
                <w:sz w:val="24"/>
                <w:szCs w:val="24"/>
                <w:lang w:eastAsia="zh-CN"/>
                <w14:textFill>
                  <w14:solidFill>
                    <w14:schemeClr w14:val="tx1"/>
                  </w14:solidFill>
                </w14:textFill>
              </w:rPr>
              <w:t>混凝土拌和</w:t>
            </w:r>
            <w:r>
              <w:rPr>
                <w:rFonts w:hint="default" w:ascii="Times New Roman" w:hAnsi="Times New Roman" w:eastAsia="宋体" w:cs="Times New Roman"/>
                <w:b w:val="0"/>
                <w:bCs w:val="0"/>
                <w:color w:val="000000" w:themeColor="text1"/>
                <w:sz w:val="24"/>
                <w:szCs w:val="24"/>
                <w14:textFill>
                  <w14:solidFill>
                    <w14:schemeClr w14:val="tx1"/>
                  </w14:solidFill>
                </w14:textFill>
              </w:rPr>
              <w:t>站扬尘主要来源于项目混凝土施工时所需。</w:t>
            </w:r>
          </w:p>
          <w:p w14:paraId="18E4E0A5">
            <w:pPr>
              <w:pStyle w:val="116"/>
              <w:ind w:firstLine="480"/>
              <w:jc w:val="both"/>
              <w:rPr>
                <w:rFonts w:hint="default" w:ascii="Times New Roman" w:hAnsi="Times New Roman" w:eastAsia="宋体" w:cs="Times New Roman"/>
                <w:b/>
                <w:bCs/>
                <w:color w:val="000000" w:themeColor="text1"/>
                <w:lang w:val="en-US" w:eastAsia="zh-CN"/>
                <w14:textFill>
                  <w14:solidFill>
                    <w14:schemeClr w14:val="tx1"/>
                  </w14:solidFill>
                </w14:textFill>
              </w:rPr>
            </w:pPr>
            <w:r>
              <w:rPr>
                <w:rFonts w:hint="default" w:ascii="Times New Roman" w:hAnsi="Times New Roman" w:eastAsia="宋体" w:cs="Times New Roman"/>
                <w:b/>
                <w:bCs/>
                <w:color w:val="000000" w:themeColor="text1"/>
                <w:lang w:val="en-US" w:eastAsia="zh-CN"/>
                <w14:textFill>
                  <w14:solidFill>
                    <w14:schemeClr w14:val="tx1"/>
                  </w14:solidFill>
                </w14:textFill>
              </w:rPr>
              <w:t>2</w:t>
            </w:r>
            <w:r>
              <w:rPr>
                <w:rFonts w:hint="default" w:ascii="Times New Roman" w:hAnsi="Times New Roman" w:eastAsia="宋体" w:cs="Times New Roman"/>
                <w:b/>
                <w:bCs/>
                <w:color w:val="000000" w:themeColor="text1"/>
                <w14:textFill>
                  <w14:solidFill>
                    <w14:schemeClr w14:val="tx1"/>
                  </w14:solidFill>
                </w14:textFill>
              </w:rPr>
              <w:t>.1</w:t>
            </w:r>
            <w:r>
              <w:rPr>
                <w:rFonts w:hint="default" w:ascii="Times New Roman" w:hAnsi="Times New Roman" w:eastAsia="宋体" w:cs="Times New Roman"/>
                <w:b/>
                <w:bCs/>
                <w:color w:val="000000" w:themeColor="text1"/>
                <w:lang w:val="en-US" w:eastAsia="zh-CN"/>
                <w14:textFill>
                  <w14:solidFill>
                    <w14:schemeClr w14:val="tx1"/>
                  </w14:solidFill>
                </w14:textFill>
              </w:rPr>
              <w:t>施工作业扬尘</w:t>
            </w:r>
          </w:p>
          <w:p w14:paraId="25D99BB3">
            <w:pPr>
              <w:pStyle w:val="149"/>
              <w:spacing w:line="220" w:lineRule="auto"/>
              <w:ind w:left="599"/>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（1）工程施工扬尘</w:t>
            </w:r>
          </w:p>
          <w:p w14:paraId="6B2B814C">
            <w:pPr>
              <w:pStyle w:val="149"/>
              <w:spacing w:before="180" w:line="359" w:lineRule="auto"/>
              <w:ind w:left="108" w:right="102" w:firstLine="482"/>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工程施工扬尘主要为土石方开挖、回填、堆放等，根据《扬尘源颗粒物排放清单编制技术指南（试行）》，工程施工扬尘排放公式如下：</w:t>
            </w:r>
          </w:p>
          <w:p w14:paraId="6415BDA4">
            <w:pPr>
              <w:spacing w:line="360" w:lineRule="auto"/>
              <w:ind w:firstLine="703"/>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drawing>
                <wp:inline distT="0" distB="0" distL="0" distR="0">
                  <wp:extent cx="2904490" cy="766445"/>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22"/>
                          <a:srcRect b="16988"/>
                          <a:stretch>
                            <a:fillRect/>
                          </a:stretch>
                        </pic:blipFill>
                        <pic:spPr>
                          <a:xfrm>
                            <a:off x="0" y="0"/>
                            <a:ext cx="2904744" cy="766445"/>
                          </a:xfrm>
                          <a:prstGeom prst="rect">
                            <a:avLst/>
                          </a:prstGeom>
                        </pic:spPr>
                      </pic:pic>
                    </a:graphicData>
                  </a:graphic>
                </wp:inline>
              </w:drawing>
            </w:r>
          </w:p>
          <w:p w14:paraId="1AD020B3">
            <w:pPr>
              <w:pStyle w:val="149"/>
              <w:spacing w:before="202" w:line="220" w:lineRule="auto"/>
              <w:ind w:left="593"/>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式中：W</w:t>
            </w:r>
            <w:r>
              <w:rPr>
                <w:rFonts w:hint="default" w:ascii="Times New Roman" w:hAnsi="Times New Roman" w:eastAsia="宋体" w:cs="Times New Roman"/>
                <w:color w:val="000000" w:themeColor="text1"/>
                <w:kern w:val="24"/>
                <w:sz w:val="24"/>
                <w:szCs w:val="24"/>
                <w:vertAlign w:val="subscript"/>
                <w:lang w:val="en-US" w:eastAsia="zh-CN" w:bidi="ar-SA"/>
                <w14:textFill>
                  <w14:solidFill>
                    <w14:schemeClr w14:val="tx1"/>
                  </w14:solidFill>
                </w14:textFill>
              </w:rPr>
              <w:t>ci</w:t>
            </w: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为施工扬尘源中P</w:t>
            </w:r>
            <w:r>
              <w:rPr>
                <w:rFonts w:hint="default" w:ascii="Times New Roman" w:hAnsi="Times New Roman" w:eastAsia="宋体" w:cs="Times New Roman"/>
                <w:color w:val="000000" w:themeColor="text1"/>
                <w:kern w:val="24"/>
                <w:sz w:val="24"/>
                <w:szCs w:val="24"/>
                <w:vertAlign w:val="subscript"/>
                <w:lang w:val="en-US" w:eastAsia="zh-CN" w:bidi="ar-SA"/>
                <w14:textFill>
                  <w14:solidFill>
                    <w14:schemeClr w14:val="tx1"/>
                  </w14:solidFill>
                </w14:textFill>
              </w:rPr>
              <w:t>Mi</w:t>
            </w: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总排放量，t/a。</w:t>
            </w:r>
          </w:p>
          <w:p w14:paraId="3A322937">
            <w:pPr>
              <w:pStyle w:val="149"/>
              <w:spacing w:before="239" w:line="340" w:lineRule="auto"/>
              <w:ind w:left="1300" w:right="211" w:firstLine="3"/>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E</w:t>
            </w:r>
            <w:r>
              <w:rPr>
                <w:rFonts w:hint="default" w:ascii="Times New Roman" w:hAnsi="Times New Roman" w:eastAsia="宋体" w:cs="Times New Roman"/>
                <w:b w:val="0"/>
                <w:bCs w:val="0"/>
                <w:color w:val="000000" w:themeColor="text1"/>
                <w:kern w:val="2"/>
                <w:sz w:val="24"/>
                <w:szCs w:val="24"/>
                <w:vertAlign w:val="subscript"/>
                <w:lang w:val="en-US" w:eastAsia="zh-CN" w:bidi="ar-SA"/>
                <w14:textFill>
                  <w14:solidFill>
                    <w14:schemeClr w14:val="tx1"/>
                  </w14:solidFill>
                </w14:textFill>
              </w:rPr>
              <w:t>ci</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为整个施工工地P</w:t>
            </w:r>
            <w:r>
              <w:rPr>
                <w:rFonts w:hint="default" w:ascii="Times New Roman" w:hAnsi="Times New Roman" w:eastAsia="宋体" w:cs="Times New Roman"/>
                <w:b w:val="0"/>
                <w:bCs w:val="0"/>
                <w:color w:val="000000" w:themeColor="text1"/>
                <w:kern w:val="2"/>
                <w:sz w:val="24"/>
                <w:szCs w:val="24"/>
                <w:vertAlign w:val="subscript"/>
                <w:lang w:val="en-US" w:eastAsia="zh-CN" w:bidi="ar-SA"/>
                <w14:textFill>
                  <w14:solidFill>
                    <w14:schemeClr w14:val="tx1"/>
                  </w14:solidFill>
                </w14:textFill>
              </w:rPr>
              <w:t>Mi</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的平均排放系数，t/(m</w:t>
            </w:r>
            <w:r>
              <w:rPr>
                <w:rFonts w:hint="default" w:ascii="Times New Roman" w:hAnsi="Times New Roman" w:eastAsia="宋体" w:cs="Times New Roman"/>
                <w:b w:val="0"/>
                <w:bCs w:val="0"/>
                <w:color w:val="000000" w:themeColor="text1"/>
                <w:kern w:val="2"/>
                <w:sz w:val="24"/>
                <w:szCs w:val="24"/>
                <w:vertAlign w:val="superscript"/>
                <w:lang w:val="en-US" w:eastAsia="zh-CN" w:bidi="ar-SA"/>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·月)，5.38×10</w:t>
            </w:r>
            <w:r>
              <w:rPr>
                <w:rFonts w:hint="default" w:ascii="Times New Roman" w:hAnsi="Times New Roman" w:eastAsia="宋体" w:cs="Times New Roman"/>
                <w:b w:val="0"/>
                <w:bCs w:val="0"/>
                <w:color w:val="000000" w:themeColor="text1"/>
                <w:kern w:val="2"/>
                <w:sz w:val="24"/>
                <w:szCs w:val="24"/>
                <w:vertAlign w:val="superscript"/>
                <w:lang w:val="en-US" w:eastAsia="zh-CN" w:bidi="ar-SA"/>
                <w14:textFill>
                  <w14:solidFill>
                    <w14:schemeClr w14:val="tx1"/>
                  </w14:solidFill>
                </w14:textFill>
              </w:rPr>
              <w:t>-5</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。Ac为施工区域面积，m</w:t>
            </w:r>
            <w:r>
              <w:rPr>
                <w:rFonts w:hint="default" w:ascii="Times New Roman" w:hAnsi="Times New Roman" w:eastAsia="宋体" w:cs="Times New Roman"/>
                <w:b w:val="0"/>
                <w:bCs w:val="0"/>
                <w:color w:val="000000" w:themeColor="text1"/>
                <w:kern w:val="2"/>
                <w:sz w:val="24"/>
                <w:szCs w:val="24"/>
                <w:vertAlign w:val="superscript"/>
                <w:lang w:val="en-US" w:eastAsia="zh-CN" w:bidi="ar-SA"/>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4148</w:t>
            </w: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1</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0</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m</w:t>
            </w:r>
            <w:r>
              <w:rPr>
                <w:rFonts w:hint="default" w:ascii="Times New Roman" w:hAnsi="Times New Roman" w:eastAsia="宋体" w:cs="Times New Roman"/>
                <w:b w:val="0"/>
                <w:bCs w:val="0"/>
                <w:color w:val="000000" w:themeColor="text1"/>
                <w:kern w:val="2"/>
                <w:sz w:val="24"/>
                <w:szCs w:val="24"/>
                <w:vertAlign w:val="superscript"/>
                <w:lang w:val="en-US" w:eastAsia="zh-CN" w:bidi="ar-SA"/>
                <w14:textFill>
                  <w14:solidFill>
                    <w14:schemeClr w14:val="tx1"/>
                  </w14:solidFill>
                </w14:textFill>
              </w:rPr>
              <w:t>2</w:t>
            </w:r>
          </w:p>
          <w:p w14:paraId="69860E66">
            <w:pPr>
              <w:pStyle w:val="149"/>
              <w:spacing w:before="1" w:line="219" w:lineRule="auto"/>
              <w:ind w:left="1306"/>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T为工地的施工月份数，一般按施工天数/30计算，3个月。</w:t>
            </w:r>
          </w:p>
          <w:p w14:paraId="6E7EE31A">
            <w:pPr>
              <w:pStyle w:val="149"/>
              <w:spacing w:before="183" w:line="219" w:lineRule="auto"/>
              <w:ind w:left="1300"/>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n为污染控制技术对扬尘的去除效率，%，去除效率取80%；</w:t>
            </w:r>
          </w:p>
          <w:p w14:paraId="46D27A33">
            <w:pPr>
              <w:pStyle w:val="149"/>
              <w:spacing w:before="182" w:line="359" w:lineRule="auto"/>
              <w:ind w:left="110" w:right="102" w:firstLine="479"/>
              <w:jc w:val="both"/>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经计算，施工扬尘总排放量约为13.39t/a。本项目施工期开挖土石方、回填区域采取定期洒水抑尘措施、堆场采取防尘网遮盖，且项目分段进行，施工期较短，对周围环境影响较小。</w:t>
            </w:r>
          </w:p>
          <w:p w14:paraId="41A74462">
            <w:pPr>
              <w:pStyle w:val="149"/>
              <w:keepNext w:val="0"/>
              <w:keepLines w:val="0"/>
              <w:pageBreakBefore w:val="0"/>
              <w:widowControl w:val="0"/>
              <w:kinsoku/>
              <w:wordWrap/>
              <w:overflowPunct/>
              <w:topLinePunct w:val="0"/>
              <w:autoSpaceDE/>
              <w:autoSpaceDN/>
              <w:bidi w:val="0"/>
              <w:adjustRightInd/>
              <w:snapToGrid/>
              <w:spacing w:line="360" w:lineRule="auto"/>
              <w:ind w:left="0" w:right="0"/>
              <w:jc w:val="both"/>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（2）土石方堆放扬尘</w:t>
            </w:r>
          </w:p>
          <w:p w14:paraId="70B6457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1"/>
              <w:jc w:val="both"/>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施工材料堆放过程中因风力作用将引起扬尘，其扬尘可按堆场起尘的经验公式计算：</w:t>
            </w:r>
          </w:p>
          <w:p w14:paraId="3ACE5DE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720" w:firstLineChars="300"/>
              <w:jc w:val="both"/>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drawing>
                <wp:inline distT="0" distB="0" distL="114300" distR="114300">
                  <wp:extent cx="2042160" cy="346710"/>
                  <wp:effectExtent l="0" t="0" r="15240" b="1524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23"/>
                          <a:stretch>
                            <a:fillRect/>
                          </a:stretch>
                        </pic:blipFill>
                        <pic:spPr>
                          <a:xfrm>
                            <a:off x="0" y="0"/>
                            <a:ext cx="2042160" cy="346710"/>
                          </a:xfrm>
                          <a:prstGeom prst="rect">
                            <a:avLst/>
                          </a:prstGeom>
                          <a:noFill/>
                          <a:ln>
                            <a:noFill/>
                          </a:ln>
                        </pic:spPr>
                      </pic:pic>
                    </a:graphicData>
                  </a:graphic>
                </wp:inline>
              </w:drawing>
            </w:r>
          </w:p>
          <w:p w14:paraId="42FE7BE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720" w:firstLineChars="300"/>
              <w:jc w:val="both"/>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其中：Q——起尘量，kg/吨·年；</w:t>
            </w:r>
          </w:p>
          <w:p w14:paraId="7F8B74D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720" w:firstLineChars="300"/>
              <w:jc w:val="both"/>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V50——距地面50m处风速，m/s；</w:t>
            </w:r>
          </w:p>
          <w:p w14:paraId="767E85AD">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720" w:firstLineChars="300"/>
              <w:jc w:val="both"/>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V0——起尘风速，m/s；</w:t>
            </w:r>
          </w:p>
          <w:p w14:paraId="53EA258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720" w:firstLineChars="300"/>
              <w:jc w:val="both"/>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W——尘粒的含水率，%。</w:t>
            </w:r>
          </w:p>
          <w:p w14:paraId="0AB3A0B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这类扬尘量大小与作业时风速、起尘风速V</w:t>
            </w:r>
            <w:r>
              <w:rPr>
                <w:rFonts w:hint="default" w:ascii="Times New Roman" w:hAnsi="Times New Roman" w:eastAsia="宋体" w:cs="Times New Roman"/>
                <w:b w:val="0"/>
                <w:bCs w:val="0"/>
                <w:color w:val="000000" w:themeColor="text1"/>
                <w:kern w:val="2"/>
                <w:sz w:val="24"/>
                <w:szCs w:val="24"/>
                <w:vertAlign w:val="subscript"/>
                <w:lang w:val="en-US" w:eastAsia="zh-CN" w:bidi="ar-SA"/>
                <w14:textFill>
                  <w14:solidFill>
                    <w14:schemeClr w14:val="tx1"/>
                  </w14:solidFill>
                </w14:textFill>
              </w:rPr>
              <w:t>0</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和尘粒含水率等因素有关，因此，避免在大风天气进行土方开挖和回填作业，减少开挖土方的露天堆放时间尽量随挖随填，且保证一定的含水率是抑制这类扬尘的有效手段。尘粒在空气中的传播扩散情况与风速等气象条件有关，也与尘粒本身的沉降速度有关以沙尘为例，不同粒径的尘粒的沉降速度见下表。</w:t>
            </w:r>
          </w:p>
          <w:p w14:paraId="77C95F14">
            <w:pPr>
              <w:ind w:firstLine="310" w:firstLineChars="147"/>
              <w:jc w:val="center"/>
              <w:rPr>
                <w:rFonts w:hint="default" w:ascii="Times New Roman" w:hAnsi="Times New Roman" w:eastAsia="宋体" w:cs="Times New Roman"/>
                <w:b/>
                <w:color w:val="000000" w:themeColor="text1"/>
                <w:szCs w:val="21"/>
                <w:lang w:val="en-US" w:eastAsia="zh-CN" w:bidi="ar"/>
                <w14:textFill>
                  <w14:solidFill>
                    <w14:schemeClr w14:val="tx1"/>
                  </w14:solidFill>
                </w14:textFill>
              </w:rPr>
            </w:pPr>
            <w:r>
              <w:rPr>
                <w:rFonts w:hint="default" w:ascii="Times New Roman" w:hAnsi="Times New Roman" w:eastAsia="宋体" w:cs="Times New Roman"/>
                <w:b/>
                <w:color w:val="000000" w:themeColor="text1"/>
                <w:szCs w:val="21"/>
                <w:lang w:val="en-US" w:eastAsia="zh-CN" w:bidi="ar"/>
                <w14:textFill>
                  <w14:solidFill>
                    <w14:schemeClr w14:val="tx1"/>
                  </w14:solidFill>
                </w14:textFill>
              </w:rPr>
              <w:t>表4-1不同粒径扬尘沉降速度表</w:t>
            </w:r>
          </w:p>
          <w:tbl>
            <w:tblPr>
              <w:tblStyle w:val="34"/>
              <w:tblW w:w="7913"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677"/>
              <w:gridCol w:w="890"/>
              <w:gridCol w:w="891"/>
              <w:gridCol w:w="891"/>
              <w:gridCol w:w="891"/>
              <w:gridCol w:w="891"/>
              <w:gridCol w:w="891"/>
              <w:gridCol w:w="891"/>
            </w:tblGrid>
            <w:tr w14:paraId="0950E42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677" w:type="dxa"/>
                  <w:tcBorders>
                    <w:tl2br w:val="nil"/>
                    <w:tr2bl w:val="nil"/>
                  </w:tcBorders>
                  <w:shd w:val="clear" w:color="auto" w:fill="FFFFFF"/>
                  <w:vAlign w:val="center"/>
                </w:tcPr>
                <w:p w14:paraId="3CEF690D">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粒径，μm</w:t>
                  </w:r>
                </w:p>
              </w:tc>
              <w:tc>
                <w:tcPr>
                  <w:tcW w:w="890" w:type="dxa"/>
                  <w:tcBorders>
                    <w:tl2br w:val="nil"/>
                    <w:tr2bl w:val="nil"/>
                  </w:tcBorders>
                  <w:shd w:val="clear" w:color="auto" w:fill="FFFFFF"/>
                  <w:vAlign w:val="center"/>
                </w:tcPr>
                <w:p w14:paraId="2C5700D5">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10</w:t>
                  </w:r>
                </w:p>
              </w:tc>
              <w:tc>
                <w:tcPr>
                  <w:tcW w:w="891" w:type="dxa"/>
                  <w:tcBorders>
                    <w:tl2br w:val="nil"/>
                    <w:tr2bl w:val="nil"/>
                  </w:tcBorders>
                  <w:shd w:val="clear" w:color="auto" w:fill="FFFFFF"/>
                  <w:vAlign w:val="center"/>
                </w:tcPr>
                <w:p w14:paraId="3C3FD519">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20</w:t>
                  </w:r>
                </w:p>
              </w:tc>
              <w:tc>
                <w:tcPr>
                  <w:tcW w:w="891" w:type="dxa"/>
                  <w:tcBorders>
                    <w:tl2br w:val="nil"/>
                    <w:tr2bl w:val="nil"/>
                  </w:tcBorders>
                  <w:shd w:val="clear" w:color="auto" w:fill="FFFFFF"/>
                  <w:vAlign w:val="center"/>
                </w:tcPr>
                <w:p w14:paraId="6D8A65E6">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30</w:t>
                  </w:r>
                </w:p>
              </w:tc>
              <w:tc>
                <w:tcPr>
                  <w:tcW w:w="891" w:type="dxa"/>
                  <w:tcBorders>
                    <w:tl2br w:val="nil"/>
                    <w:tr2bl w:val="nil"/>
                  </w:tcBorders>
                  <w:shd w:val="clear" w:color="auto" w:fill="FFFFFF"/>
                  <w:vAlign w:val="center"/>
                </w:tcPr>
                <w:p w14:paraId="188324D2">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40</w:t>
                  </w:r>
                </w:p>
              </w:tc>
              <w:tc>
                <w:tcPr>
                  <w:tcW w:w="891" w:type="dxa"/>
                  <w:tcBorders>
                    <w:tl2br w:val="nil"/>
                    <w:tr2bl w:val="nil"/>
                  </w:tcBorders>
                  <w:shd w:val="clear" w:color="auto" w:fill="FFFFFF"/>
                  <w:vAlign w:val="center"/>
                </w:tcPr>
                <w:p w14:paraId="4B4CEE35">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50</w:t>
                  </w:r>
                </w:p>
              </w:tc>
              <w:tc>
                <w:tcPr>
                  <w:tcW w:w="891" w:type="dxa"/>
                  <w:tcBorders>
                    <w:tl2br w:val="nil"/>
                    <w:tr2bl w:val="nil"/>
                  </w:tcBorders>
                  <w:shd w:val="clear" w:color="auto" w:fill="FFFFFF"/>
                  <w:vAlign w:val="center"/>
                </w:tcPr>
                <w:p w14:paraId="61D00C1A">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60</w:t>
                  </w:r>
                </w:p>
              </w:tc>
              <w:tc>
                <w:tcPr>
                  <w:tcW w:w="891" w:type="dxa"/>
                  <w:tcBorders>
                    <w:tl2br w:val="nil"/>
                    <w:tr2bl w:val="nil"/>
                  </w:tcBorders>
                  <w:shd w:val="clear" w:color="auto" w:fill="FFFFFF"/>
                  <w:vAlign w:val="center"/>
                </w:tcPr>
                <w:p w14:paraId="16CC5FEE">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70</w:t>
                  </w:r>
                </w:p>
              </w:tc>
            </w:tr>
            <w:tr w14:paraId="13EAB68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677" w:type="dxa"/>
                  <w:tcBorders>
                    <w:tl2br w:val="nil"/>
                    <w:tr2bl w:val="nil"/>
                  </w:tcBorders>
                  <w:vAlign w:val="center"/>
                </w:tcPr>
                <w:p w14:paraId="32A5FC09">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沉降速度，m/s</w:t>
                  </w:r>
                </w:p>
              </w:tc>
              <w:tc>
                <w:tcPr>
                  <w:tcW w:w="890" w:type="dxa"/>
                  <w:tcBorders>
                    <w:tl2br w:val="nil"/>
                    <w:tr2bl w:val="nil"/>
                  </w:tcBorders>
                  <w:vAlign w:val="center"/>
                </w:tcPr>
                <w:p w14:paraId="6E7FFCBB">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0.003</w:t>
                  </w:r>
                </w:p>
              </w:tc>
              <w:tc>
                <w:tcPr>
                  <w:tcW w:w="891" w:type="dxa"/>
                  <w:tcBorders>
                    <w:tl2br w:val="nil"/>
                    <w:tr2bl w:val="nil"/>
                  </w:tcBorders>
                  <w:vAlign w:val="center"/>
                </w:tcPr>
                <w:p w14:paraId="7AF5999F">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0.012</w:t>
                  </w:r>
                </w:p>
              </w:tc>
              <w:tc>
                <w:tcPr>
                  <w:tcW w:w="891" w:type="dxa"/>
                  <w:tcBorders>
                    <w:tl2br w:val="nil"/>
                    <w:tr2bl w:val="nil"/>
                  </w:tcBorders>
                  <w:vAlign w:val="center"/>
                </w:tcPr>
                <w:p w14:paraId="0CE41FBF">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0.027</w:t>
                  </w:r>
                </w:p>
              </w:tc>
              <w:tc>
                <w:tcPr>
                  <w:tcW w:w="891" w:type="dxa"/>
                  <w:tcBorders>
                    <w:tl2br w:val="nil"/>
                    <w:tr2bl w:val="nil"/>
                  </w:tcBorders>
                  <w:vAlign w:val="center"/>
                </w:tcPr>
                <w:p w14:paraId="59FB84AD">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0.048</w:t>
                  </w:r>
                </w:p>
              </w:tc>
              <w:tc>
                <w:tcPr>
                  <w:tcW w:w="891" w:type="dxa"/>
                  <w:tcBorders>
                    <w:tl2br w:val="nil"/>
                    <w:tr2bl w:val="nil"/>
                  </w:tcBorders>
                  <w:vAlign w:val="center"/>
                </w:tcPr>
                <w:p w14:paraId="35524A40">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0.075</w:t>
                  </w:r>
                </w:p>
              </w:tc>
              <w:tc>
                <w:tcPr>
                  <w:tcW w:w="891" w:type="dxa"/>
                  <w:tcBorders>
                    <w:tl2br w:val="nil"/>
                    <w:tr2bl w:val="nil"/>
                  </w:tcBorders>
                  <w:vAlign w:val="center"/>
                </w:tcPr>
                <w:p w14:paraId="1816F069">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0.108</w:t>
                  </w:r>
                </w:p>
              </w:tc>
              <w:tc>
                <w:tcPr>
                  <w:tcW w:w="891" w:type="dxa"/>
                  <w:tcBorders>
                    <w:tl2br w:val="nil"/>
                    <w:tr2bl w:val="nil"/>
                  </w:tcBorders>
                  <w:vAlign w:val="center"/>
                </w:tcPr>
                <w:p w14:paraId="4CD9927D">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0.147</w:t>
                  </w:r>
                </w:p>
              </w:tc>
            </w:tr>
            <w:tr w14:paraId="178CA72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677" w:type="dxa"/>
                  <w:tcBorders>
                    <w:tl2br w:val="nil"/>
                    <w:tr2bl w:val="nil"/>
                  </w:tcBorders>
                  <w:vAlign w:val="center"/>
                </w:tcPr>
                <w:p w14:paraId="625E3974">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粒径，μm</w:t>
                  </w:r>
                </w:p>
              </w:tc>
              <w:tc>
                <w:tcPr>
                  <w:tcW w:w="890" w:type="dxa"/>
                  <w:tcBorders>
                    <w:tl2br w:val="nil"/>
                    <w:tr2bl w:val="nil"/>
                  </w:tcBorders>
                  <w:vAlign w:val="center"/>
                </w:tcPr>
                <w:p w14:paraId="2E71161B">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80</w:t>
                  </w:r>
                </w:p>
              </w:tc>
              <w:tc>
                <w:tcPr>
                  <w:tcW w:w="891" w:type="dxa"/>
                  <w:tcBorders>
                    <w:tl2br w:val="nil"/>
                    <w:tr2bl w:val="nil"/>
                  </w:tcBorders>
                  <w:vAlign w:val="center"/>
                </w:tcPr>
                <w:p w14:paraId="5EFF03CD">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90</w:t>
                  </w:r>
                </w:p>
              </w:tc>
              <w:tc>
                <w:tcPr>
                  <w:tcW w:w="891" w:type="dxa"/>
                  <w:tcBorders>
                    <w:tl2br w:val="nil"/>
                    <w:tr2bl w:val="nil"/>
                  </w:tcBorders>
                  <w:vAlign w:val="center"/>
                </w:tcPr>
                <w:p w14:paraId="722F81D3">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100</w:t>
                  </w:r>
                </w:p>
              </w:tc>
              <w:tc>
                <w:tcPr>
                  <w:tcW w:w="891" w:type="dxa"/>
                  <w:tcBorders>
                    <w:tl2br w:val="nil"/>
                    <w:tr2bl w:val="nil"/>
                  </w:tcBorders>
                  <w:vAlign w:val="center"/>
                </w:tcPr>
                <w:p w14:paraId="76DACC10">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150</w:t>
                  </w:r>
                </w:p>
              </w:tc>
              <w:tc>
                <w:tcPr>
                  <w:tcW w:w="891" w:type="dxa"/>
                  <w:tcBorders>
                    <w:tl2br w:val="nil"/>
                    <w:tr2bl w:val="nil"/>
                  </w:tcBorders>
                  <w:vAlign w:val="center"/>
                </w:tcPr>
                <w:p w14:paraId="065DE486">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200</w:t>
                  </w:r>
                </w:p>
              </w:tc>
              <w:tc>
                <w:tcPr>
                  <w:tcW w:w="891" w:type="dxa"/>
                  <w:tcBorders>
                    <w:tl2br w:val="nil"/>
                    <w:tr2bl w:val="nil"/>
                  </w:tcBorders>
                  <w:vAlign w:val="center"/>
                </w:tcPr>
                <w:p w14:paraId="5394367D">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250</w:t>
                  </w:r>
                </w:p>
              </w:tc>
              <w:tc>
                <w:tcPr>
                  <w:tcW w:w="891" w:type="dxa"/>
                  <w:tcBorders>
                    <w:tl2br w:val="nil"/>
                    <w:tr2bl w:val="nil"/>
                  </w:tcBorders>
                  <w:vAlign w:val="center"/>
                </w:tcPr>
                <w:p w14:paraId="2A71B2ED">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350</w:t>
                  </w:r>
                </w:p>
              </w:tc>
            </w:tr>
            <w:tr w14:paraId="73B2C37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677" w:type="dxa"/>
                  <w:tcBorders>
                    <w:tl2br w:val="nil"/>
                    <w:tr2bl w:val="nil"/>
                  </w:tcBorders>
                  <w:vAlign w:val="center"/>
                </w:tcPr>
                <w:p w14:paraId="46BA1D3F">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沉降速度，m/s</w:t>
                  </w:r>
                </w:p>
              </w:tc>
              <w:tc>
                <w:tcPr>
                  <w:tcW w:w="890" w:type="dxa"/>
                  <w:tcBorders>
                    <w:tl2br w:val="nil"/>
                    <w:tr2bl w:val="nil"/>
                  </w:tcBorders>
                  <w:vAlign w:val="center"/>
                </w:tcPr>
                <w:p w14:paraId="2B1BA560">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0.158</w:t>
                  </w:r>
                </w:p>
              </w:tc>
              <w:tc>
                <w:tcPr>
                  <w:tcW w:w="891" w:type="dxa"/>
                  <w:tcBorders>
                    <w:tl2br w:val="nil"/>
                    <w:tr2bl w:val="nil"/>
                  </w:tcBorders>
                  <w:vAlign w:val="center"/>
                </w:tcPr>
                <w:p w14:paraId="22425584">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0.170</w:t>
                  </w:r>
                </w:p>
              </w:tc>
              <w:tc>
                <w:tcPr>
                  <w:tcW w:w="891" w:type="dxa"/>
                  <w:tcBorders>
                    <w:tl2br w:val="nil"/>
                    <w:tr2bl w:val="nil"/>
                  </w:tcBorders>
                  <w:vAlign w:val="center"/>
                </w:tcPr>
                <w:p w14:paraId="4780BF02">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0.182</w:t>
                  </w:r>
                </w:p>
              </w:tc>
              <w:tc>
                <w:tcPr>
                  <w:tcW w:w="891" w:type="dxa"/>
                  <w:tcBorders>
                    <w:tl2br w:val="nil"/>
                    <w:tr2bl w:val="nil"/>
                  </w:tcBorders>
                  <w:vAlign w:val="center"/>
                </w:tcPr>
                <w:p w14:paraId="713D750E">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0.239</w:t>
                  </w:r>
                </w:p>
              </w:tc>
              <w:tc>
                <w:tcPr>
                  <w:tcW w:w="891" w:type="dxa"/>
                  <w:tcBorders>
                    <w:tl2br w:val="nil"/>
                    <w:tr2bl w:val="nil"/>
                  </w:tcBorders>
                  <w:vAlign w:val="center"/>
                </w:tcPr>
                <w:p w14:paraId="03704861">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0.804</w:t>
                  </w:r>
                </w:p>
              </w:tc>
              <w:tc>
                <w:tcPr>
                  <w:tcW w:w="891" w:type="dxa"/>
                  <w:tcBorders>
                    <w:tl2br w:val="nil"/>
                    <w:tr2bl w:val="nil"/>
                  </w:tcBorders>
                  <w:vAlign w:val="center"/>
                </w:tcPr>
                <w:p w14:paraId="366AABF3">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1.005</w:t>
                  </w:r>
                </w:p>
              </w:tc>
              <w:tc>
                <w:tcPr>
                  <w:tcW w:w="891" w:type="dxa"/>
                  <w:tcBorders>
                    <w:tl2br w:val="nil"/>
                    <w:tr2bl w:val="nil"/>
                  </w:tcBorders>
                  <w:vAlign w:val="center"/>
                </w:tcPr>
                <w:p w14:paraId="64C32D52">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1.829</w:t>
                  </w:r>
                </w:p>
              </w:tc>
            </w:tr>
            <w:tr w14:paraId="4FF68DC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677" w:type="dxa"/>
                  <w:tcBorders>
                    <w:tl2br w:val="nil"/>
                    <w:tr2bl w:val="nil"/>
                  </w:tcBorders>
                  <w:vAlign w:val="center"/>
                </w:tcPr>
                <w:p w14:paraId="0D08EE2B">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粒径，μm</w:t>
                  </w:r>
                </w:p>
              </w:tc>
              <w:tc>
                <w:tcPr>
                  <w:tcW w:w="890" w:type="dxa"/>
                  <w:tcBorders>
                    <w:tl2br w:val="nil"/>
                    <w:tr2bl w:val="nil"/>
                  </w:tcBorders>
                  <w:vAlign w:val="center"/>
                </w:tcPr>
                <w:p w14:paraId="5C2CF629">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450</w:t>
                  </w:r>
                </w:p>
              </w:tc>
              <w:tc>
                <w:tcPr>
                  <w:tcW w:w="891" w:type="dxa"/>
                  <w:tcBorders>
                    <w:tl2br w:val="nil"/>
                    <w:tr2bl w:val="nil"/>
                  </w:tcBorders>
                  <w:vAlign w:val="center"/>
                </w:tcPr>
                <w:p w14:paraId="19D84F6F">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550</w:t>
                  </w:r>
                </w:p>
              </w:tc>
              <w:tc>
                <w:tcPr>
                  <w:tcW w:w="891" w:type="dxa"/>
                  <w:tcBorders>
                    <w:tl2br w:val="nil"/>
                    <w:tr2bl w:val="nil"/>
                  </w:tcBorders>
                  <w:vAlign w:val="center"/>
                </w:tcPr>
                <w:p w14:paraId="2EED0585">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650</w:t>
                  </w:r>
                </w:p>
              </w:tc>
              <w:tc>
                <w:tcPr>
                  <w:tcW w:w="891" w:type="dxa"/>
                  <w:tcBorders>
                    <w:tl2br w:val="nil"/>
                    <w:tr2bl w:val="nil"/>
                  </w:tcBorders>
                  <w:vAlign w:val="center"/>
                </w:tcPr>
                <w:p w14:paraId="05BCE578">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750</w:t>
                  </w:r>
                </w:p>
              </w:tc>
              <w:tc>
                <w:tcPr>
                  <w:tcW w:w="891" w:type="dxa"/>
                  <w:tcBorders>
                    <w:tl2br w:val="nil"/>
                    <w:tr2bl w:val="nil"/>
                  </w:tcBorders>
                  <w:vAlign w:val="center"/>
                </w:tcPr>
                <w:p w14:paraId="4E0CE8C9">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850</w:t>
                  </w:r>
                </w:p>
              </w:tc>
              <w:tc>
                <w:tcPr>
                  <w:tcW w:w="891" w:type="dxa"/>
                  <w:tcBorders>
                    <w:tl2br w:val="nil"/>
                    <w:tr2bl w:val="nil"/>
                  </w:tcBorders>
                  <w:vAlign w:val="center"/>
                </w:tcPr>
                <w:p w14:paraId="58108357">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950</w:t>
                  </w:r>
                </w:p>
              </w:tc>
              <w:tc>
                <w:tcPr>
                  <w:tcW w:w="891" w:type="dxa"/>
                  <w:tcBorders>
                    <w:tl2br w:val="nil"/>
                    <w:tr2bl w:val="nil"/>
                  </w:tcBorders>
                  <w:vAlign w:val="center"/>
                </w:tcPr>
                <w:p w14:paraId="3EB060DB">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1050</w:t>
                  </w:r>
                </w:p>
              </w:tc>
            </w:tr>
            <w:tr w14:paraId="4A42440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677" w:type="dxa"/>
                  <w:tcBorders>
                    <w:tl2br w:val="nil"/>
                    <w:tr2bl w:val="nil"/>
                  </w:tcBorders>
                  <w:vAlign w:val="center"/>
                </w:tcPr>
                <w:p w14:paraId="6CEB14DC">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沉降速度，m/s</w:t>
                  </w:r>
                </w:p>
              </w:tc>
              <w:tc>
                <w:tcPr>
                  <w:tcW w:w="890" w:type="dxa"/>
                  <w:tcBorders>
                    <w:tl2br w:val="nil"/>
                    <w:tr2bl w:val="nil"/>
                  </w:tcBorders>
                  <w:vAlign w:val="center"/>
                </w:tcPr>
                <w:p w14:paraId="4DCA5D17">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2.211</w:t>
                  </w:r>
                </w:p>
              </w:tc>
              <w:tc>
                <w:tcPr>
                  <w:tcW w:w="891" w:type="dxa"/>
                  <w:tcBorders>
                    <w:tl2br w:val="nil"/>
                    <w:tr2bl w:val="nil"/>
                  </w:tcBorders>
                  <w:vAlign w:val="center"/>
                </w:tcPr>
                <w:p w14:paraId="68C40A44">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2.614</w:t>
                  </w:r>
                </w:p>
              </w:tc>
              <w:tc>
                <w:tcPr>
                  <w:tcW w:w="891" w:type="dxa"/>
                  <w:tcBorders>
                    <w:tl2br w:val="nil"/>
                    <w:tr2bl w:val="nil"/>
                  </w:tcBorders>
                  <w:vAlign w:val="center"/>
                </w:tcPr>
                <w:p w14:paraId="1F22477A">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3.016</w:t>
                  </w:r>
                </w:p>
              </w:tc>
              <w:tc>
                <w:tcPr>
                  <w:tcW w:w="891" w:type="dxa"/>
                  <w:tcBorders>
                    <w:tl2br w:val="nil"/>
                    <w:tr2bl w:val="nil"/>
                  </w:tcBorders>
                  <w:vAlign w:val="center"/>
                </w:tcPr>
                <w:p w14:paraId="63128F7F">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3.418</w:t>
                  </w:r>
                </w:p>
              </w:tc>
              <w:tc>
                <w:tcPr>
                  <w:tcW w:w="891" w:type="dxa"/>
                  <w:tcBorders>
                    <w:tl2br w:val="nil"/>
                    <w:tr2bl w:val="nil"/>
                  </w:tcBorders>
                  <w:vAlign w:val="center"/>
                </w:tcPr>
                <w:p w14:paraId="4BDD076D">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3.820</w:t>
                  </w:r>
                </w:p>
              </w:tc>
              <w:tc>
                <w:tcPr>
                  <w:tcW w:w="891" w:type="dxa"/>
                  <w:tcBorders>
                    <w:tl2br w:val="nil"/>
                    <w:tr2bl w:val="nil"/>
                  </w:tcBorders>
                  <w:vAlign w:val="center"/>
                </w:tcPr>
                <w:p w14:paraId="594D8778">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4.222</w:t>
                  </w:r>
                </w:p>
              </w:tc>
              <w:tc>
                <w:tcPr>
                  <w:tcW w:w="891" w:type="dxa"/>
                  <w:tcBorders>
                    <w:tl2br w:val="nil"/>
                    <w:tr2bl w:val="nil"/>
                  </w:tcBorders>
                  <w:vAlign w:val="center"/>
                </w:tcPr>
                <w:p w14:paraId="645A99AD">
                  <w:pPr>
                    <w:pStyle w:val="8"/>
                    <w:spacing w:line="320" w:lineRule="exact"/>
                    <w:ind w:firstLine="0"/>
                    <w:jc w:val="cente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1"/>
                      <w:szCs w:val="21"/>
                      <w:lang w:val="en-US" w:eastAsia="zh-CN" w:bidi="ar-SA"/>
                      <w14:textFill>
                        <w14:solidFill>
                          <w14:schemeClr w14:val="tx1"/>
                        </w14:solidFill>
                      </w14:textFill>
                    </w:rPr>
                    <w:t>4.624</w:t>
                  </w:r>
                </w:p>
              </w:tc>
            </w:tr>
          </w:tbl>
          <w:p w14:paraId="39E4C641">
            <w:pPr>
              <w:pStyle w:val="116"/>
              <w:ind w:firstLine="480"/>
              <w:jc w:val="both"/>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t>由上表可知，粉尘的沉降速度随粒径的增大而迅速增大。当粒径为250μm时，沉降速度为1.005m/s，因此可以认为当粒径大于250μm时，主要影响范围在扬尘点下风向近距离范围内。根据现场勘查，本项目周边300m范围无居民区等大气环境敏感目标，通过采取减少露天堆放和保证一定的含水率及减少裸露地面、定期洒水降尘等措施后，风力起尘对周边环境的影响较小。</w:t>
            </w:r>
          </w:p>
          <w:p w14:paraId="3ABC1F67">
            <w:pPr>
              <w:pStyle w:val="116"/>
              <w:ind w:firstLine="480"/>
              <w:jc w:val="both"/>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t>（3）运输扬尘</w:t>
            </w:r>
          </w:p>
          <w:p w14:paraId="3DBC02F2">
            <w:pPr>
              <w:pStyle w:val="116"/>
              <w:ind w:firstLine="480"/>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t>本项目动态扬尘主要是各类施工</w:t>
            </w: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机械、运输车辆在项目区道路来往形成的地面扬尘，据有关文献资料，在施工过程中，车辆行驶产生的扬尘占总扬尘量的60%以上。车辆机械行驶产生的扬尘，按照在完全干燥的情况下，可按下列经验公式计算：</w:t>
            </w:r>
          </w:p>
          <w:p w14:paraId="5A49DB6C">
            <w:pPr>
              <w:pStyle w:val="149"/>
              <w:spacing w:before="188" w:line="210" w:lineRule="auto"/>
              <w:ind w:left="593"/>
              <w:jc w:val="both"/>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drawing>
                <wp:inline distT="0" distB="0" distL="114300" distR="114300">
                  <wp:extent cx="3016885" cy="374015"/>
                  <wp:effectExtent l="0" t="0" r="12065" b="698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4"/>
                          <a:stretch>
                            <a:fillRect/>
                          </a:stretch>
                        </pic:blipFill>
                        <pic:spPr>
                          <a:xfrm>
                            <a:off x="0" y="0"/>
                            <a:ext cx="3016885" cy="374015"/>
                          </a:xfrm>
                          <a:prstGeom prst="rect">
                            <a:avLst/>
                          </a:prstGeom>
                          <a:noFill/>
                          <a:ln>
                            <a:noFill/>
                          </a:ln>
                        </pic:spPr>
                      </pic:pic>
                    </a:graphicData>
                  </a:graphic>
                </wp:inline>
              </w:drawing>
            </w:r>
          </w:p>
          <w:p w14:paraId="79341ABB">
            <w:pPr>
              <w:pStyle w:val="149"/>
              <w:spacing w:before="188" w:line="210" w:lineRule="auto"/>
              <w:ind w:left="593"/>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式中：Q--汽车行驶时的扬尘，kg/km·辆；</w:t>
            </w:r>
          </w:p>
          <w:p w14:paraId="288EF22A">
            <w:pPr>
              <w:pStyle w:val="149"/>
              <w:spacing w:before="193" w:line="219" w:lineRule="auto"/>
              <w:ind w:left="1301"/>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V--汽车速度，km/h；</w:t>
            </w:r>
          </w:p>
          <w:p w14:paraId="5DFEE4DD">
            <w:pPr>
              <w:pStyle w:val="149"/>
              <w:spacing w:before="183" w:line="219" w:lineRule="auto"/>
              <w:ind w:left="1302"/>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W--汽车载重量，t；</w:t>
            </w:r>
          </w:p>
          <w:p w14:paraId="33AF7796">
            <w:pPr>
              <w:pStyle w:val="149"/>
              <w:spacing w:before="181" w:line="219" w:lineRule="auto"/>
              <w:ind w:left="1303"/>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P--道路表面粉尘量，km/m</w:t>
            </w:r>
            <w:r>
              <w:rPr>
                <w:rFonts w:hint="default" w:ascii="Times New Roman" w:hAnsi="Times New Roman" w:eastAsia="宋体" w:cs="Times New Roman"/>
                <w:color w:val="000000" w:themeColor="text1"/>
                <w:kern w:val="24"/>
                <w:sz w:val="24"/>
                <w:szCs w:val="24"/>
                <w:vertAlign w:val="superscript"/>
                <w:lang w:val="en-US" w:eastAsia="zh-CN" w:bidi="ar-SA"/>
                <w14:textFill>
                  <w14:solidFill>
                    <w14:schemeClr w14:val="tx1"/>
                  </w14:solidFill>
                </w14:textFill>
              </w:rPr>
              <w:t>2</w:t>
            </w: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w:t>
            </w:r>
          </w:p>
          <w:p w14:paraId="1E8D4F3F">
            <w:pPr>
              <w:pStyle w:val="149"/>
              <w:spacing w:before="183" w:line="219" w:lineRule="auto"/>
              <w:ind w:left="589"/>
              <w:jc w:val="both"/>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而路面扬尘与车辆行驶速度、路面清洁度有关，具体见表4-2。</w:t>
            </w:r>
          </w:p>
          <w:p w14:paraId="355CA70F">
            <w:pPr>
              <w:ind w:firstLine="310" w:firstLineChars="147"/>
              <w:jc w:val="center"/>
              <w:rPr>
                <w:rFonts w:hint="default" w:ascii="Times New Roman" w:hAnsi="Times New Roman" w:eastAsia="宋体" w:cs="Times New Roman"/>
                <w:b/>
                <w:color w:val="000000" w:themeColor="text1"/>
                <w:szCs w:val="21"/>
                <w:lang w:val="en-US" w:eastAsia="zh-CN" w:bidi="ar"/>
                <w14:textFill>
                  <w14:solidFill>
                    <w14:schemeClr w14:val="tx1"/>
                  </w14:solidFill>
                </w14:textFill>
              </w:rPr>
            </w:pPr>
            <w:r>
              <w:rPr>
                <w:rFonts w:hint="default" w:ascii="Times New Roman" w:hAnsi="Times New Roman" w:eastAsia="宋体" w:cs="Times New Roman"/>
                <w:b/>
                <w:color w:val="000000" w:themeColor="text1"/>
                <w:szCs w:val="21"/>
                <w:lang w:bidi="ar"/>
                <w14:textFill>
                  <w14:solidFill>
                    <w14:schemeClr w14:val="tx1"/>
                  </w14:solidFill>
                </w14:textFill>
              </w:rPr>
              <w:t>表</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4-</w:t>
            </w:r>
            <w:r>
              <w:rPr>
                <w:rFonts w:hint="default" w:ascii="Times New Roman" w:hAnsi="Times New Roman" w:eastAsia="宋体" w:cs="Times New Roman"/>
                <w:b/>
                <w:color w:val="000000" w:themeColor="text1"/>
                <w:szCs w:val="21"/>
                <w:lang w:bidi="ar"/>
                <w14:textFill>
                  <w14:solidFill>
                    <w14:schemeClr w14:val="tx1"/>
                  </w14:solidFill>
                </w14:textFill>
              </w:rPr>
              <w:t>2不同车速和地面清洁程度的汽车扬尘单位：kg/辆·km</w:t>
            </w:r>
          </w:p>
          <w:tbl>
            <w:tblPr>
              <w:tblStyle w:val="34"/>
              <w:tblW w:w="7913"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243"/>
              <w:gridCol w:w="1230"/>
              <w:gridCol w:w="1088"/>
              <w:gridCol w:w="1088"/>
              <w:gridCol w:w="1088"/>
              <w:gridCol w:w="1088"/>
              <w:gridCol w:w="1088"/>
            </w:tblGrid>
            <w:tr w14:paraId="74F6C4B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40" w:hRule="atLeast"/>
                <w:jc w:val="center"/>
              </w:trPr>
              <w:tc>
                <w:tcPr>
                  <w:tcW w:w="1243" w:type="dxa"/>
                  <w:tcBorders>
                    <w:tl2br w:val="nil"/>
                    <w:tr2bl w:val="nil"/>
                  </w:tcBorders>
                  <w:shd w:val="clear" w:color="auto" w:fill="FFFFFF"/>
                  <w:vAlign w:val="center"/>
                </w:tcPr>
                <w:p w14:paraId="5E54F3F4">
                  <w:pPr>
                    <w:pStyle w:val="8"/>
                    <w:spacing w:line="24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P</w:t>
                  </w:r>
                </w:p>
                <w:p w14:paraId="3FF53CFD">
                  <w:pPr>
                    <w:pStyle w:val="8"/>
                    <w:spacing w:line="24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车速</w:t>
                  </w:r>
                </w:p>
              </w:tc>
              <w:tc>
                <w:tcPr>
                  <w:tcW w:w="1230" w:type="dxa"/>
                  <w:tcBorders>
                    <w:tl2br w:val="nil"/>
                    <w:tr2bl w:val="nil"/>
                  </w:tcBorders>
                  <w:shd w:val="clear" w:color="auto" w:fill="FFFFFF"/>
                  <w:vAlign w:val="center"/>
                </w:tcPr>
                <w:p w14:paraId="242D13EC">
                  <w:pPr>
                    <w:pStyle w:val="8"/>
                    <w:spacing w:line="24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0.1</w:t>
                  </w:r>
                </w:p>
                <w:p w14:paraId="5311139D">
                  <w:pPr>
                    <w:pStyle w:val="8"/>
                    <w:spacing w:line="24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kg/m</w:t>
                  </w:r>
                  <w:r>
                    <w:rPr>
                      <w:rFonts w:hint="default" w:ascii="Times New Roman" w:hAnsi="Times New Roman" w:eastAsia="宋体" w:cs="Times New Roman"/>
                      <w:color w:val="000000" w:themeColor="text1"/>
                      <w:sz w:val="21"/>
                      <w:szCs w:val="21"/>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c>
                <w:tcPr>
                  <w:tcW w:w="1088" w:type="dxa"/>
                  <w:tcBorders>
                    <w:tl2br w:val="nil"/>
                    <w:tr2bl w:val="nil"/>
                  </w:tcBorders>
                  <w:shd w:val="clear" w:color="auto" w:fill="FFFFFF"/>
                  <w:vAlign w:val="center"/>
                </w:tcPr>
                <w:p w14:paraId="16F6B860">
                  <w:pPr>
                    <w:pStyle w:val="8"/>
                    <w:spacing w:line="24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0.2</w:t>
                  </w:r>
                </w:p>
                <w:p w14:paraId="652B468A">
                  <w:pPr>
                    <w:pStyle w:val="8"/>
                    <w:spacing w:line="24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kg/m</w:t>
                  </w:r>
                  <w:r>
                    <w:rPr>
                      <w:rFonts w:hint="default" w:ascii="Times New Roman" w:hAnsi="Times New Roman" w:eastAsia="宋体" w:cs="Times New Roman"/>
                      <w:color w:val="000000" w:themeColor="text1"/>
                      <w:sz w:val="21"/>
                      <w:szCs w:val="21"/>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c>
                <w:tcPr>
                  <w:tcW w:w="1088" w:type="dxa"/>
                  <w:tcBorders>
                    <w:tl2br w:val="nil"/>
                    <w:tr2bl w:val="nil"/>
                  </w:tcBorders>
                  <w:shd w:val="clear" w:color="auto" w:fill="FFFFFF"/>
                  <w:vAlign w:val="center"/>
                </w:tcPr>
                <w:p w14:paraId="6747EF63">
                  <w:pPr>
                    <w:pStyle w:val="8"/>
                    <w:spacing w:line="24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0.3</w:t>
                  </w:r>
                </w:p>
                <w:p w14:paraId="094EFE63">
                  <w:pPr>
                    <w:pStyle w:val="8"/>
                    <w:spacing w:line="24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kg/m</w:t>
                  </w:r>
                  <w:r>
                    <w:rPr>
                      <w:rFonts w:hint="default" w:ascii="Times New Roman" w:hAnsi="Times New Roman" w:eastAsia="宋体" w:cs="Times New Roman"/>
                      <w:color w:val="000000" w:themeColor="text1"/>
                      <w:sz w:val="21"/>
                      <w:szCs w:val="21"/>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c>
                <w:tcPr>
                  <w:tcW w:w="1088" w:type="dxa"/>
                  <w:tcBorders>
                    <w:tl2br w:val="nil"/>
                    <w:tr2bl w:val="nil"/>
                  </w:tcBorders>
                  <w:shd w:val="clear" w:color="auto" w:fill="FFFFFF"/>
                  <w:vAlign w:val="center"/>
                </w:tcPr>
                <w:p w14:paraId="675271C8">
                  <w:pPr>
                    <w:pStyle w:val="8"/>
                    <w:spacing w:line="24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0.4</w:t>
                  </w:r>
                </w:p>
                <w:p w14:paraId="5286B0F5">
                  <w:pPr>
                    <w:pStyle w:val="8"/>
                    <w:spacing w:line="24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kg/m</w:t>
                  </w:r>
                  <w:r>
                    <w:rPr>
                      <w:rFonts w:hint="default" w:ascii="Times New Roman" w:hAnsi="Times New Roman" w:eastAsia="宋体" w:cs="Times New Roman"/>
                      <w:color w:val="000000" w:themeColor="text1"/>
                      <w:sz w:val="21"/>
                      <w:szCs w:val="21"/>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c>
                <w:tcPr>
                  <w:tcW w:w="1088" w:type="dxa"/>
                  <w:tcBorders>
                    <w:tl2br w:val="nil"/>
                    <w:tr2bl w:val="nil"/>
                  </w:tcBorders>
                  <w:shd w:val="clear" w:color="auto" w:fill="FFFFFF"/>
                  <w:vAlign w:val="center"/>
                </w:tcPr>
                <w:p w14:paraId="23498A57">
                  <w:pPr>
                    <w:pStyle w:val="8"/>
                    <w:spacing w:line="24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0.5</w:t>
                  </w:r>
                </w:p>
                <w:p w14:paraId="6EBDD6B0">
                  <w:pPr>
                    <w:pStyle w:val="8"/>
                    <w:spacing w:line="24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kg/m</w:t>
                  </w:r>
                  <w:r>
                    <w:rPr>
                      <w:rFonts w:hint="default" w:ascii="Times New Roman" w:hAnsi="Times New Roman" w:eastAsia="宋体" w:cs="Times New Roman"/>
                      <w:color w:val="000000" w:themeColor="text1"/>
                      <w:sz w:val="21"/>
                      <w:szCs w:val="21"/>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c>
                <w:tcPr>
                  <w:tcW w:w="1088" w:type="dxa"/>
                  <w:tcBorders>
                    <w:tl2br w:val="nil"/>
                    <w:tr2bl w:val="nil"/>
                  </w:tcBorders>
                  <w:shd w:val="clear" w:color="auto" w:fill="FFFFFF"/>
                  <w:vAlign w:val="center"/>
                </w:tcPr>
                <w:p w14:paraId="68047B8B">
                  <w:pPr>
                    <w:pStyle w:val="8"/>
                    <w:spacing w:line="24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1.0</w:t>
                  </w:r>
                </w:p>
                <w:p w14:paraId="357A0995">
                  <w:pPr>
                    <w:pStyle w:val="8"/>
                    <w:spacing w:line="24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kg/m</w:t>
                  </w:r>
                  <w:r>
                    <w:rPr>
                      <w:rFonts w:hint="default" w:ascii="Times New Roman" w:hAnsi="Times New Roman" w:eastAsia="宋体" w:cs="Times New Roman"/>
                      <w:color w:val="000000" w:themeColor="text1"/>
                      <w:sz w:val="21"/>
                      <w:szCs w:val="21"/>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r>
            <w:tr w14:paraId="49FB727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243" w:type="dxa"/>
                  <w:tcBorders>
                    <w:tl2br w:val="nil"/>
                    <w:tr2bl w:val="nil"/>
                  </w:tcBorders>
                  <w:vAlign w:val="center"/>
                </w:tcPr>
                <w:p w14:paraId="115935EE">
                  <w:pPr>
                    <w:pStyle w:val="8"/>
                    <w:spacing w:line="32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5</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km/hr</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c>
                <w:tcPr>
                  <w:tcW w:w="1230" w:type="dxa"/>
                  <w:tcBorders>
                    <w:tl2br w:val="nil"/>
                    <w:tr2bl w:val="nil"/>
                  </w:tcBorders>
                  <w:vAlign w:val="center"/>
                </w:tcPr>
                <w:p w14:paraId="4BAB23C0">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0.051056</w:t>
                  </w:r>
                </w:p>
              </w:tc>
              <w:tc>
                <w:tcPr>
                  <w:tcW w:w="1088" w:type="dxa"/>
                  <w:tcBorders>
                    <w:tl2br w:val="nil"/>
                    <w:tr2bl w:val="nil"/>
                  </w:tcBorders>
                  <w:vAlign w:val="center"/>
                </w:tcPr>
                <w:p w14:paraId="10E41A08">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086</w:t>
                  </w:r>
                  <w:r>
                    <w:rPr>
                      <w:rFonts w:hint="default" w:ascii="Times New Roman" w:hAnsi="Times New Roman" w:eastAsia="宋体" w:cs="Times New Roman"/>
                      <w:color w:val="000000" w:themeColor="text1"/>
                      <w:sz w:val="21"/>
                      <w:szCs w:val="21"/>
                      <w14:textFill>
                        <w14:solidFill>
                          <w14:schemeClr w14:val="tx1"/>
                        </w14:solidFill>
                      </w14:textFill>
                    </w:rPr>
                    <w:t>865</w:t>
                  </w:r>
                </w:p>
              </w:tc>
              <w:tc>
                <w:tcPr>
                  <w:tcW w:w="1088" w:type="dxa"/>
                  <w:tcBorders>
                    <w:tl2br w:val="nil"/>
                    <w:tr2bl w:val="nil"/>
                  </w:tcBorders>
                  <w:vAlign w:val="center"/>
                </w:tcPr>
                <w:p w14:paraId="1175CB7D">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0.116382</w:t>
                  </w:r>
                </w:p>
              </w:tc>
              <w:tc>
                <w:tcPr>
                  <w:tcW w:w="1088" w:type="dxa"/>
                  <w:tcBorders>
                    <w:tl2br w:val="nil"/>
                    <w:tr2bl w:val="nil"/>
                  </w:tcBorders>
                  <w:vAlign w:val="center"/>
                </w:tcPr>
                <w:p w14:paraId="37D73FF9">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0.144408</w:t>
                  </w:r>
                </w:p>
              </w:tc>
              <w:tc>
                <w:tcPr>
                  <w:tcW w:w="1088" w:type="dxa"/>
                  <w:tcBorders>
                    <w:tl2br w:val="nil"/>
                    <w:tr2bl w:val="nil"/>
                  </w:tcBorders>
                  <w:vAlign w:val="center"/>
                </w:tcPr>
                <w:p w14:paraId="0021826F">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0.170715</w:t>
                  </w:r>
                </w:p>
              </w:tc>
              <w:tc>
                <w:tcPr>
                  <w:tcW w:w="1088" w:type="dxa"/>
                  <w:tcBorders>
                    <w:tl2br w:val="nil"/>
                    <w:tr2bl w:val="nil"/>
                  </w:tcBorders>
                  <w:vAlign w:val="center"/>
                </w:tcPr>
                <w:p w14:paraId="1D0722BE">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0.287108</w:t>
                  </w:r>
                </w:p>
              </w:tc>
            </w:tr>
            <w:tr w14:paraId="2B454B3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243" w:type="dxa"/>
                  <w:tcBorders>
                    <w:tl2br w:val="nil"/>
                    <w:tr2bl w:val="nil"/>
                  </w:tcBorders>
                  <w:vAlign w:val="center"/>
                </w:tcPr>
                <w:p w14:paraId="3916D91D">
                  <w:pPr>
                    <w:pStyle w:val="8"/>
                    <w:spacing w:line="32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10</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km/hr</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c>
                <w:tcPr>
                  <w:tcW w:w="1230" w:type="dxa"/>
                  <w:tcBorders>
                    <w:tl2br w:val="nil"/>
                    <w:tr2bl w:val="nil"/>
                  </w:tcBorders>
                  <w:vAlign w:val="center"/>
                </w:tcPr>
                <w:p w14:paraId="36908FC2">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0.102112</w:t>
                  </w:r>
                </w:p>
              </w:tc>
              <w:tc>
                <w:tcPr>
                  <w:tcW w:w="1088" w:type="dxa"/>
                  <w:tcBorders>
                    <w:tl2br w:val="nil"/>
                    <w:tr2bl w:val="nil"/>
                  </w:tcBorders>
                  <w:vAlign w:val="center"/>
                </w:tcPr>
                <w:p w14:paraId="0B4C9B00">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0.171731</w:t>
                  </w:r>
                </w:p>
              </w:tc>
              <w:tc>
                <w:tcPr>
                  <w:tcW w:w="1088" w:type="dxa"/>
                  <w:tcBorders>
                    <w:tl2br w:val="nil"/>
                    <w:tr2bl w:val="nil"/>
                  </w:tcBorders>
                  <w:vAlign w:val="center"/>
                </w:tcPr>
                <w:p w14:paraId="796571E6">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0.232764</w:t>
                  </w:r>
                </w:p>
              </w:tc>
              <w:tc>
                <w:tcPr>
                  <w:tcW w:w="1088" w:type="dxa"/>
                  <w:tcBorders>
                    <w:tl2br w:val="nil"/>
                    <w:tr2bl w:val="nil"/>
                  </w:tcBorders>
                  <w:vAlign w:val="center"/>
                </w:tcPr>
                <w:p w14:paraId="33312278">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0.288815</w:t>
                  </w:r>
                </w:p>
              </w:tc>
              <w:tc>
                <w:tcPr>
                  <w:tcW w:w="1088" w:type="dxa"/>
                  <w:tcBorders>
                    <w:tl2br w:val="nil"/>
                    <w:tr2bl w:val="nil"/>
                  </w:tcBorders>
                  <w:vAlign w:val="center"/>
                </w:tcPr>
                <w:p w14:paraId="456A2AAD">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0.341431</w:t>
                  </w:r>
                </w:p>
              </w:tc>
              <w:tc>
                <w:tcPr>
                  <w:tcW w:w="1088" w:type="dxa"/>
                  <w:tcBorders>
                    <w:tl2br w:val="nil"/>
                    <w:tr2bl w:val="nil"/>
                  </w:tcBorders>
                  <w:vAlign w:val="center"/>
                </w:tcPr>
                <w:p w14:paraId="60CB7F78">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0.574216</w:t>
                  </w:r>
                </w:p>
              </w:tc>
            </w:tr>
            <w:tr w14:paraId="6CE3AD0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243" w:type="dxa"/>
                  <w:tcBorders>
                    <w:tl2br w:val="nil"/>
                    <w:tr2bl w:val="nil"/>
                  </w:tcBorders>
                  <w:vAlign w:val="center"/>
                </w:tcPr>
                <w:p w14:paraId="114614C9">
                  <w:pPr>
                    <w:pStyle w:val="8"/>
                    <w:spacing w:line="32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15</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km/hr</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c>
                <w:tcPr>
                  <w:tcW w:w="1230" w:type="dxa"/>
                  <w:tcBorders>
                    <w:tl2br w:val="nil"/>
                    <w:tr2bl w:val="nil"/>
                  </w:tcBorders>
                  <w:vAlign w:val="center"/>
                </w:tcPr>
                <w:p w14:paraId="239240DA">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0.153167</w:t>
                  </w:r>
                </w:p>
              </w:tc>
              <w:tc>
                <w:tcPr>
                  <w:tcW w:w="1088" w:type="dxa"/>
                  <w:tcBorders>
                    <w:tl2br w:val="nil"/>
                    <w:tr2bl w:val="nil"/>
                  </w:tcBorders>
                  <w:vAlign w:val="center"/>
                </w:tcPr>
                <w:p w14:paraId="531894C3">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0.257596</w:t>
                  </w:r>
                </w:p>
              </w:tc>
              <w:tc>
                <w:tcPr>
                  <w:tcW w:w="1088" w:type="dxa"/>
                  <w:tcBorders>
                    <w:tl2br w:val="nil"/>
                    <w:tr2bl w:val="nil"/>
                  </w:tcBorders>
                  <w:vAlign w:val="center"/>
                </w:tcPr>
                <w:p w14:paraId="6A074948">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0.349146</w:t>
                  </w:r>
                </w:p>
              </w:tc>
              <w:tc>
                <w:tcPr>
                  <w:tcW w:w="1088" w:type="dxa"/>
                  <w:tcBorders>
                    <w:tl2br w:val="nil"/>
                    <w:tr2bl w:val="nil"/>
                  </w:tcBorders>
                  <w:vAlign w:val="center"/>
                </w:tcPr>
                <w:p w14:paraId="602BE1A4">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0.433223</w:t>
                  </w:r>
                </w:p>
              </w:tc>
              <w:tc>
                <w:tcPr>
                  <w:tcW w:w="1088" w:type="dxa"/>
                  <w:tcBorders>
                    <w:tl2br w:val="nil"/>
                    <w:tr2bl w:val="nil"/>
                  </w:tcBorders>
                  <w:vAlign w:val="center"/>
                </w:tcPr>
                <w:p w14:paraId="4EBE434C">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0.512146</w:t>
                  </w:r>
                </w:p>
              </w:tc>
              <w:tc>
                <w:tcPr>
                  <w:tcW w:w="1088" w:type="dxa"/>
                  <w:tcBorders>
                    <w:tl2br w:val="nil"/>
                    <w:tr2bl w:val="nil"/>
                  </w:tcBorders>
                  <w:vAlign w:val="center"/>
                </w:tcPr>
                <w:p w14:paraId="6957AEA7">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0.861323</w:t>
                  </w:r>
                </w:p>
              </w:tc>
            </w:tr>
            <w:tr w14:paraId="6DD3044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1243" w:type="dxa"/>
                  <w:tcBorders>
                    <w:tl2br w:val="nil"/>
                    <w:tr2bl w:val="nil"/>
                  </w:tcBorders>
                  <w:vAlign w:val="center"/>
                </w:tcPr>
                <w:p w14:paraId="3832DA97">
                  <w:pPr>
                    <w:pStyle w:val="8"/>
                    <w:spacing w:line="320" w:lineRule="exact"/>
                    <w:ind w:firstLine="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25</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r>
                    <w:rPr>
                      <w:rFonts w:hint="default" w:ascii="Times New Roman" w:hAnsi="Times New Roman" w:eastAsia="宋体" w:cs="Times New Roman"/>
                      <w:color w:val="000000" w:themeColor="text1"/>
                      <w:sz w:val="21"/>
                      <w:szCs w:val="21"/>
                      <w14:textFill>
                        <w14:solidFill>
                          <w14:schemeClr w14:val="tx1"/>
                        </w14:solidFill>
                      </w14:textFill>
                    </w:rPr>
                    <w:t>km/hr</w:t>
                  </w:r>
                  <w:r>
                    <w:rPr>
                      <w:rFonts w:hint="default" w:ascii="Times New Roman" w:hAnsi="Times New Roman" w:eastAsia="宋体" w:cs="Times New Roman"/>
                      <w:color w:val="000000" w:themeColor="text1"/>
                      <w:sz w:val="21"/>
                      <w:szCs w:val="21"/>
                      <w:lang w:eastAsia="zh-CN"/>
                      <w14:textFill>
                        <w14:solidFill>
                          <w14:schemeClr w14:val="tx1"/>
                        </w14:solidFill>
                      </w14:textFill>
                    </w:rPr>
                    <w:t>）</w:t>
                  </w:r>
                </w:p>
              </w:tc>
              <w:tc>
                <w:tcPr>
                  <w:tcW w:w="1230" w:type="dxa"/>
                  <w:tcBorders>
                    <w:tl2br w:val="nil"/>
                    <w:tr2bl w:val="nil"/>
                  </w:tcBorders>
                  <w:vAlign w:val="center"/>
                </w:tcPr>
                <w:p w14:paraId="3E614BE0">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0.255279</w:t>
                  </w:r>
                </w:p>
              </w:tc>
              <w:tc>
                <w:tcPr>
                  <w:tcW w:w="1088" w:type="dxa"/>
                  <w:tcBorders>
                    <w:tl2br w:val="nil"/>
                    <w:tr2bl w:val="nil"/>
                  </w:tcBorders>
                  <w:vAlign w:val="center"/>
                </w:tcPr>
                <w:p w14:paraId="06DED4C3">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0.429326</w:t>
                  </w:r>
                </w:p>
              </w:tc>
              <w:tc>
                <w:tcPr>
                  <w:tcW w:w="1088" w:type="dxa"/>
                  <w:tcBorders>
                    <w:tl2br w:val="nil"/>
                    <w:tr2bl w:val="nil"/>
                  </w:tcBorders>
                  <w:vAlign w:val="center"/>
                </w:tcPr>
                <w:p w14:paraId="61F8FA62">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0.58191</w:t>
                  </w:r>
                </w:p>
              </w:tc>
              <w:tc>
                <w:tcPr>
                  <w:tcW w:w="1088" w:type="dxa"/>
                  <w:tcBorders>
                    <w:tl2br w:val="nil"/>
                    <w:tr2bl w:val="nil"/>
                  </w:tcBorders>
                  <w:vAlign w:val="center"/>
                </w:tcPr>
                <w:p w14:paraId="416DD7B6">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0.722038</w:t>
                  </w:r>
                </w:p>
              </w:tc>
              <w:tc>
                <w:tcPr>
                  <w:tcW w:w="1088" w:type="dxa"/>
                  <w:tcBorders>
                    <w:tl2br w:val="nil"/>
                    <w:tr2bl w:val="nil"/>
                  </w:tcBorders>
                  <w:vAlign w:val="center"/>
                </w:tcPr>
                <w:p w14:paraId="4A0A05DF">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0.853577</w:t>
                  </w:r>
                </w:p>
              </w:tc>
              <w:tc>
                <w:tcPr>
                  <w:tcW w:w="1088" w:type="dxa"/>
                  <w:tcBorders>
                    <w:tl2br w:val="nil"/>
                    <w:tr2bl w:val="nil"/>
                  </w:tcBorders>
                  <w:vAlign w:val="center"/>
                </w:tcPr>
                <w:p w14:paraId="6593E303">
                  <w:pPr>
                    <w:pStyle w:val="8"/>
                    <w:spacing w:line="320" w:lineRule="exact"/>
                    <w:ind w:firstLine="0"/>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1.435539</w:t>
                  </w:r>
                </w:p>
              </w:tc>
            </w:tr>
          </w:tbl>
          <w:p w14:paraId="424935A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由上表可知，通过相同长度的路面，在同样路面清洁程度状况下，车辆速越快，扬尘量越大，而在同样车速情况下，路面越脏，扬尘量越大。本项目评价范围内运输路线周边大气环境敏感点较少，车辆引起的路面扬尘主要影响区域在施工区、运输途经路面以及道路两侧少量植被，通过采取限制车辆行驶速度、施工区域洒水降尘等措施，运输扬尘对周围环境影响较小。</w:t>
            </w:r>
          </w:p>
          <w:p w14:paraId="22B8DD3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（4）混凝土拌和站扬尘</w:t>
            </w:r>
          </w:p>
          <w:p w14:paraId="2B81F69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本工程仅在施工生产生活区设置小型搅拌设备用于少量现场预制四面六边体透水框架。四面六边透水框架现场预制量约1800m³，按每立方米混凝土2.4t计，约4320t。</w:t>
            </w:r>
            <w:r>
              <w:rPr>
                <w:rFonts w:hint="default" w:ascii="Times New Roman" w:hAnsi="Times New Roman" w:eastAsia="宋体" w:cs="Times New Roman"/>
                <w:color w:val="000000" w:themeColor="text1"/>
                <w:sz w:val="24"/>
                <w:highlight w:val="none"/>
                <w14:textFill>
                  <w14:solidFill>
                    <w14:schemeClr w14:val="tx1"/>
                  </w14:solidFill>
                </w14:textFill>
              </w:rPr>
              <w:t>根据《排放源统计调查产排污核算方法和系数手册》中3021水泥制品制造业（含3022砼结构构件、3029其他水泥类似制品制造）行业产排污系数</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混凝土搅拌粉尘产污系数按0.523kg/t产品，则搅拌粉尘产生量约2.26t。搅拌区搭建工棚、半封闭式搅拌、上料口喷淋、输送皮带洒水，综合降尘效率80%，排放量约0.45t。施工期97天，分段施工，对周围环境影响较小。</w:t>
            </w:r>
          </w:p>
          <w:p w14:paraId="23C3EFA3">
            <w:pPr>
              <w:pStyle w:val="116"/>
              <w:ind w:firstLine="480"/>
              <w:jc w:val="both"/>
              <w:rPr>
                <w:rFonts w:hint="default" w:ascii="Times New Roman" w:hAnsi="Times New Roman" w:eastAsia="宋体" w:cs="Times New Roman"/>
                <w:b/>
                <w:bCs/>
                <w:color w:val="000000" w:themeColor="text1"/>
                <w14:textFill>
                  <w14:solidFill>
                    <w14:schemeClr w14:val="tx1"/>
                  </w14:solidFill>
                </w14:textFill>
              </w:rPr>
            </w:pPr>
            <w:r>
              <w:rPr>
                <w:rFonts w:hint="default" w:ascii="Times New Roman" w:hAnsi="Times New Roman" w:eastAsia="宋体" w:cs="Times New Roman"/>
                <w:b/>
                <w:bCs/>
                <w:color w:val="000000" w:themeColor="text1"/>
                <w:lang w:val="en-US" w:eastAsia="zh-CN"/>
                <w14:textFill>
                  <w14:solidFill>
                    <w14:schemeClr w14:val="tx1"/>
                  </w14:solidFill>
                </w14:textFill>
              </w:rPr>
              <w:t>2</w:t>
            </w:r>
            <w:r>
              <w:rPr>
                <w:rFonts w:hint="default" w:ascii="Times New Roman" w:hAnsi="Times New Roman" w:eastAsia="宋体" w:cs="Times New Roman"/>
                <w:b/>
                <w:bCs/>
                <w:color w:val="000000" w:themeColor="text1"/>
                <w14:textFill>
                  <w14:solidFill>
                    <w14:schemeClr w14:val="tx1"/>
                  </w14:solidFill>
                </w14:textFill>
              </w:rPr>
              <w:t>.</w:t>
            </w:r>
            <w:r>
              <w:rPr>
                <w:rFonts w:hint="default" w:ascii="Times New Roman" w:hAnsi="Times New Roman" w:eastAsia="宋体" w:cs="Times New Roman"/>
                <w:b/>
                <w:bCs/>
                <w:color w:val="000000" w:themeColor="text1"/>
                <w:lang w:val="en-US" w:eastAsia="zh-CN"/>
                <w14:textFill>
                  <w14:solidFill>
                    <w14:schemeClr w14:val="tx1"/>
                  </w14:solidFill>
                </w14:textFill>
              </w:rPr>
              <w:t>2</w:t>
            </w:r>
            <w:r>
              <w:rPr>
                <w:rFonts w:hint="default" w:ascii="Times New Roman" w:hAnsi="Times New Roman" w:eastAsia="宋体" w:cs="Times New Roman"/>
                <w:b/>
                <w:bCs/>
                <w:color w:val="000000" w:themeColor="text1"/>
                <w14:textFill>
                  <w14:solidFill>
                    <w14:schemeClr w14:val="tx1"/>
                  </w14:solidFill>
                </w14:textFill>
              </w:rPr>
              <w:t>运输车辆、作业机械尾气</w:t>
            </w:r>
          </w:p>
          <w:p w14:paraId="2D845685">
            <w:pPr>
              <w:pStyle w:val="116"/>
              <w:ind w:firstLine="480"/>
              <w:jc w:val="both"/>
              <w:rPr>
                <w:rFonts w:hint="default" w:ascii="Times New Roman" w:hAnsi="Times New Roman" w:eastAsia="宋体" w:cs="Times New Roman"/>
                <w:b w:val="0"/>
                <w:bCs w:val="0"/>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kern w:val="24"/>
                <w14:textFill>
                  <w14:solidFill>
                    <w14:schemeClr w14:val="tx1"/>
                  </w14:solidFill>
                </w14:textFill>
              </w:rPr>
              <w:t>工程施工</w:t>
            </w:r>
            <w:r>
              <w:rPr>
                <w:rFonts w:hint="default" w:ascii="Times New Roman" w:hAnsi="Times New Roman" w:eastAsia="宋体" w:cs="Times New Roman"/>
                <w:color w:val="000000" w:themeColor="text1"/>
                <w:kern w:val="24"/>
                <w:lang w:eastAsia="zh-CN"/>
                <w14:textFill>
                  <w14:solidFill>
                    <w14:schemeClr w14:val="tx1"/>
                  </w14:solidFill>
                </w14:textFill>
              </w:rPr>
              <w:t>阶段</w:t>
            </w:r>
            <w:r>
              <w:rPr>
                <w:rFonts w:hint="default" w:ascii="Times New Roman" w:hAnsi="Times New Roman" w:eastAsia="宋体" w:cs="Times New Roman"/>
                <w:color w:val="000000" w:themeColor="text1"/>
                <w:kern w:val="24"/>
                <w14:textFill>
                  <w14:solidFill>
                    <w14:schemeClr w14:val="tx1"/>
                  </w14:solidFill>
                </w14:textFill>
              </w:rPr>
              <w:t>使用以汽油、柴油为燃料的运输车辆产生尾气，但是它们的使用期短，尾气排放量较少，加上周围空间开阔，对周围环境空气影响较小</w:t>
            </w:r>
            <w:r>
              <w:rPr>
                <w:rFonts w:hint="default" w:ascii="Times New Roman" w:hAnsi="Times New Roman" w:eastAsia="宋体" w:cs="Times New Roman"/>
                <w:b w:val="0"/>
                <w:bCs w:val="0"/>
                <w:color w:val="000000" w:themeColor="text1"/>
                <w:lang w:val="en-US" w:eastAsia="zh-CN"/>
                <w14:textFill>
                  <w14:solidFill>
                    <w14:schemeClr w14:val="tx1"/>
                  </w14:solidFill>
                </w14:textFill>
              </w:rPr>
              <w:t>。</w:t>
            </w:r>
          </w:p>
          <w:p w14:paraId="53DBEFE7">
            <w:pPr>
              <w:pStyle w:val="116"/>
              <w:ind w:firstLine="480"/>
              <w:jc w:val="both"/>
              <w:rPr>
                <w:rFonts w:hint="default" w:ascii="Times New Roman" w:hAnsi="Times New Roman" w:eastAsia="宋体" w:cs="Times New Roman"/>
                <w:b/>
                <w:bCs/>
                <w:color w:val="000000" w:themeColor="text1"/>
                <w:lang w:val="en-US" w:eastAsia="zh-CN"/>
                <w14:textFill>
                  <w14:solidFill>
                    <w14:schemeClr w14:val="tx1"/>
                  </w14:solidFill>
                </w14:textFill>
              </w:rPr>
            </w:pPr>
            <w:r>
              <w:rPr>
                <w:rFonts w:hint="default" w:ascii="Times New Roman" w:hAnsi="Times New Roman" w:eastAsia="宋体" w:cs="Times New Roman"/>
                <w:b/>
                <w:bCs/>
                <w:color w:val="000000" w:themeColor="text1"/>
                <w:lang w:val="en-US" w:eastAsia="zh-CN"/>
                <w14:textFill>
                  <w14:solidFill>
                    <w14:schemeClr w14:val="tx1"/>
                  </w14:solidFill>
                </w14:textFill>
              </w:rPr>
              <w:t>2.3柴油发电机尾气影响分析</w:t>
            </w:r>
          </w:p>
          <w:p w14:paraId="75E12015">
            <w:pPr>
              <w:pStyle w:val="116"/>
              <w:ind w:firstLine="480"/>
              <w:jc w:val="both"/>
              <w:rPr>
                <w:rFonts w:hint="default" w:ascii="Times New Roman" w:hAnsi="Times New Roman" w:eastAsia="宋体" w:cs="Times New Roman"/>
                <w:b w:val="0"/>
                <w:bCs w:val="0"/>
                <w:color w:val="000000" w:themeColor="text1"/>
                <w:lang w:val="en-US" w:eastAsia="zh-CN"/>
                <w14:textFill>
                  <w14:solidFill>
                    <w14:schemeClr w14:val="tx1"/>
                  </w14:solidFill>
                </w14:textFill>
              </w:rPr>
            </w:pPr>
            <w:r>
              <w:rPr>
                <w:rFonts w:hint="default" w:ascii="Times New Roman" w:hAnsi="Times New Roman" w:eastAsia="宋体" w:cs="Times New Roman"/>
                <w:b w:val="0"/>
                <w:bCs w:val="0"/>
                <w:color w:val="000000" w:themeColor="text1"/>
                <w:lang w:val="en-US" w:eastAsia="zh-CN"/>
                <w14:textFill>
                  <w14:solidFill>
                    <w14:schemeClr w14:val="tx1"/>
                  </w14:solidFill>
                </w14:textFill>
              </w:rPr>
              <w:t>本工程地处偏僻，部分施工区域（如取弃土场、降水井抽水点等）远离电网，需使用柴油发电机供电。施工期共配备3台60千瓦柴油发电机，单台柴油消耗量约15升/小时，按平均每天运行8小时、施工期97天计算，总耗油量约34.92吨。参照《非道路移动机械用柴油机排气污染物排放限值及测量方法（中国第三、四阶段）》（GB20891-2014）及《非道路移动柴油机械排气烟度限值及测量方法》（GB36886-2018），柴油发电机污染物排放系数为：一氧化碳约3.5克/千瓦时，氮氧化物约6.0克/千瓦时，碳氢化合物约1.0克/千瓦时，颗粒物约0.2克/千瓦时。经核算，单台发电机运行8小时污染物排放量约为：一氧化碳1.68千克，氮氧化物2.88千克，碳氢化合物0.48千克，颗粒物0.096千克。3台发电机同时运行（按最不利情况），日排放量约：一氧化碳5.04千克，氮氧化物8.64千克，碳氢化合物1.44千克，颗粒物0.288千克。施工期97天总排放量约：一氧化碳0.49吨，氮氧化物0.84吨，碳氢化合物0.14吨，颗粒物0.028吨。发电机放置于施工生产生活区及降水井集中区，位于开阔地带，大气扩散条件良好，且施工区域500米范围内无居民点，发电机尾气对周边大气环境和敏感点影响较小。建议选用符合国家排放标准的低排放发电机，定期维护保养，禁止超负荷运行。</w:t>
            </w:r>
          </w:p>
          <w:p w14:paraId="11B80DDC">
            <w:pPr>
              <w:spacing w:line="360" w:lineRule="auto"/>
              <w:ind w:firstLine="482" w:firstLineChars="200"/>
              <w:jc w:val="both"/>
              <w:rPr>
                <w:rFonts w:hint="default" w:ascii="Times New Roman" w:hAnsi="Times New Roman" w:eastAsia="宋体" w:cs="Times New Roman"/>
                <w:b/>
                <w:color w:val="000000" w:themeColor="text1"/>
                <w:sz w:val="24"/>
                <w14:textFill>
                  <w14:solidFill>
                    <w14:schemeClr w14:val="tx1"/>
                  </w14:solidFill>
                </w14:textFill>
              </w:rPr>
            </w:pPr>
            <w:r>
              <w:rPr>
                <w:rFonts w:hint="default" w:ascii="Times New Roman" w:hAnsi="Times New Roman" w:eastAsia="宋体" w:cs="Times New Roman"/>
                <w:b/>
                <w:color w:val="000000" w:themeColor="text1"/>
                <w:kern w:val="0"/>
                <w:sz w:val="24"/>
                <w:lang w:val="en-US" w:eastAsia="zh-CN"/>
                <w14:textFill>
                  <w14:solidFill>
                    <w14:schemeClr w14:val="tx1"/>
                  </w14:solidFill>
                </w14:textFill>
              </w:rPr>
              <w:t>3</w:t>
            </w:r>
            <w:r>
              <w:rPr>
                <w:rFonts w:hint="default" w:ascii="Times New Roman" w:hAnsi="Times New Roman" w:eastAsia="宋体" w:cs="Times New Roman"/>
                <w:b/>
                <w:color w:val="000000" w:themeColor="text1"/>
                <w:sz w:val="24"/>
                <w14:textFill>
                  <w14:solidFill>
                    <w14:schemeClr w14:val="tx1"/>
                  </w14:solidFill>
                </w14:textFill>
              </w:rPr>
              <w:t>施工期声环境影响</w:t>
            </w:r>
          </w:p>
          <w:p w14:paraId="2ABEE63A">
            <w:pPr>
              <w:pStyle w:val="116"/>
              <w:ind w:firstLine="480"/>
              <w:jc w:val="both"/>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（1）施工噪声预测</w:t>
            </w:r>
          </w:p>
          <w:p w14:paraId="476B944F">
            <w:pPr>
              <w:pStyle w:val="116"/>
              <w:ind w:firstLine="480"/>
              <w:jc w:val="both"/>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施工噪声可近似视为点声源处理，其衰减模式如下：</w:t>
            </w:r>
          </w:p>
          <w:p w14:paraId="1A653B15">
            <w:pPr>
              <w:pStyle w:val="116"/>
              <w:ind w:firstLine="480"/>
              <w:jc w:val="both"/>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L</w:t>
            </w:r>
            <w:r>
              <w:rPr>
                <w:rFonts w:hint="default" w:ascii="Times New Roman" w:hAnsi="Times New Roman" w:eastAsia="宋体" w:cs="Times New Roman"/>
                <w:color w:val="000000" w:themeColor="text1"/>
                <w:vertAlign w:val="subscript"/>
                <w14:textFill>
                  <w14:solidFill>
                    <w14:schemeClr w14:val="tx1"/>
                  </w14:solidFill>
                </w14:textFill>
              </w:rPr>
              <w:t>p</w:t>
            </w:r>
            <w:r>
              <w:rPr>
                <w:rFonts w:hint="default" w:ascii="Times New Roman" w:hAnsi="Times New Roman" w:eastAsia="宋体" w:cs="Times New Roman"/>
                <w:color w:val="000000" w:themeColor="text1"/>
                <w14:textFill>
                  <w14:solidFill>
                    <w14:schemeClr w14:val="tx1"/>
                  </w14:solidFill>
                </w14:textFill>
              </w:rPr>
              <w:t>=L</w:t>
            </w:r>
            <w:r>
              <w:rPr>
                <w:rFonts w:hint="default" w:ascii="Times New Roman" w:hAnsi="Times New Roman" w:eastAsia="宋体" w:cs="Times New Roman"/>
                <w:color w:val="000000" w:themeColor="text1"/>
                <w:vertAlign w:val="subscript"/>
                <w14:textFill>
                  <w14:solidFill>
                    <w14:schemeClr w14:val="tx1"/>
                  </w14:solidFill>
                </w14:textFill>
              </w:rPr>
              <w:t>po</w:t>
            </w:r>
            <w:r>
              <w:rPr>
                <w:rFonts w:hint="default" w:ascii="Times New Roman" w:hAnsi="Times New Roman" w:eastAsia="宋体" w:cs="Times New Roman"/>
                <w:color w:val="000000" w:themeColor="text1"/>
                <w14:textFill>
                  <w14:solidFill>
                    <w14:schemeClr w14:val="tx1"/>
                  </w14:solidFill>
                </w14:textFill>
              </w:rPr>
              <w:t>-20lg</w:t>
            </w: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r/r</w:t>
            </w:r>
            <w:r>
              <w:rPr>
                <w:rFonts w:hint="default" w:ascii="Times New Roman" w:hAnsi="Times New Roman" w:eastAsia="宋体" w:cs="Times New Roman"/>
                <w:color w:val="000000" w:themeColor="text1"/>
                <w:vertAlign w:val="subscript"/>
                <w14:textFill>
                  <w14:solidFill>
                    <w14:schemeClr w14:val="tx1"/>
                  </w14:solidFill>
                </w14:textFill>
              </w:rPr>
              <w:t>o</w:t>
            </w: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－△L</w:t>
            </w:r>
          </w:p>
          <w:p w14:paraId="48D408D0">
            <w:pPr>
              <w:pStyle w:val="116"/>
              <w:ind w:firstLine="480"/>
              <w:jc w:val="both"/>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式中：L</w:t>
            </w:r>
            <w:r>
              <w:rPr>
                <w:rFonts w:hint="default" w:ascii="Times New Roman" w:hAnsi="Times New Roman" w:eastAsia="宋体" w:cs="Times New Roman"/>
                <w:color w:val="000000" w:themeColor="text1"/>
                <w:vertAlign w:val="subscript"/>
                <w14:textFill>
                  <w14:solidFill>
                    <w14:schemeClr w14:val="tx1"/>
                  </w14:solidFill>
                </w14:textFill>
              </w:rPr>
              <w:t>p</w:t>
            </w:r>
            <w:r>
              <w:rPr>
                <w:rFonts w:hint="default" w:ascii="Times New Roman" w:hAnsi="Times New Roman" w:eastAsia="宋体" w:cs="Times New Roman"/>
                <w:color w:val="000000" w:themeColor="text1"/>
                <w14:textFill>
                  <w14:solidFill>
                    <w14:schemeClr w14:val="tx1"/>
                  </w14:solidFill>
                </w14:textFill>
              </w:rPr>
              <w:t>——距声源r米处的施工噪声预测值，dB</w:t>
            </w: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A</w:t>
            </w:r>
            <w:r>
              <w:rPr>
                <w:rFonts w:hint="default" w:ascii="Times New Roman" w:hAnsi="Times New Roman" w:eastAsia="宋体" w:cs="Times New Roman"/>
                <w:color w:val="000000" w:themeColor="text1"/>
                <w:lang w:eastAsia="zh-CN"/>
                <w14:textFill>
                  <w14:solidFill>
                    <w14:schemeClr w14:val="tx1"/>
                  </w14:solidFill>
                </w14:textFill>
              </w:rPr>
              <w:t>）；</w:t>
            </w:r>
          </w:p>
          <w:p w14:paraId="02FEB907">
            <w:pPr>
              <w:pStyle w:val="8"/>
              <w:spacing w:line="500" w:lineRule="exact"/>
              <w:ind w:firstLine="480" w:firstLineChars="200"/>
              <w:jc w:val="both"/>
              <w:rPr>
                <w:rFonts w:hint="default" w:ascii="Times New Roman" w:hAnsi="Times New Roman" w:eastAsia="宋体" w:cs="Times New Roman"/>
                <w:color w:val="000000" w:themeColor="text1"/>
                <w:sz w:val="24"/>
                <w:szCs w:val="24"/>
                <w:lang w:eastAsia="zh-CN"/>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L</w:t>
            </w:r>
            <w:r>
              <w:rPr>
                <w:rFonts w:hint="default" w:ascii="Times New Roman" w:hAnsi="Times New Roman" w:eastAsia="宋体" w:cs="Times New Roman"/>
                <w:color w:val="000000" w:themeColor="text1"/>
                <w:sz w:val="24"/>
                <w:szCs w:val="24"/>
                <w:vertAlign w:val="subscript"/>
                <w14:textFill>
                  <w14:solidFill>
                    <w14:schemeClr w14:val="tx1"/>
                  </w14:solidFill>
                </w14:textFill>
              </w:rPr>
              <w:t>po</w:t>
            </w:r>
            <w:r>
              <w:rPr>
                <w:rFonts w:hint="default" w:ascii="Times New Roman" w:hAnsi="Times New Roman" w:eastAsia="宋体" w:cs="Times New Roman"/>
                <w:color w:val="000000" w:themeColor="text1"/>
                <w:sz w:val="24"/>
                <w:szCs w:val="24"/>
                <w14:textFill>
                  <w14:solidFill>
                    <w14:schemeClr w14:val="tx1"/>
                  </w14:solidFill>
                </w14:textFill>
              </w:rPr>
              <w:t>——距声源r</w:t>
            </w:r>
            <w:r>
              <w:rPr>
                <w:rFonts w:hint="default" w:ascii="Times New Roman" w:hAnsi="Times New Roman" w:eastAsia="宋体" w:cs="Times New Roman"/>
                <w:color w:val="000000" w:themeColor="text1"/>
                <w:sz w:val="24"/>
                <w:szCs w:val="24"/>
                <w:vertAlign w:val="subscript"/>
                <w14:textFill>
                  <w14:solidFill>
                    <w14:schemeClr w14:val="tx1"/>
                  </w14:solidFill>
                </w14:textFill>
              </w:rPr>
              <w:t>o</w:t>
            </w:r>
            <w:r>
              <w:rPr>
                <w:rFonts w:hint="default" w:ascii="Times New Roman" w:hAnsi="Times New Roman" w:eastAsia="宋体" w:cs="Times New Roman"/>
                <w:color w:val="000000" w:themeColor="text1"/>
                <w:sz w:val="24"/>
                <w:szCs w:val="24"/>
                <w14:textFill>
                  <w14:solidFill>
                    <w14:schemeClr w14:val="tx1"/>
                  </w14:solidFill>
                </w14:textFill>
              </w:rPr>
              <w:t>米处的参考声级，dB</w:t>
            </w:r>
            <w:r>
              <w:rPr>
                <w:rFonts w:hint="default" w:ascii="Times New Roman" w:hAnsi="Times New Roman" w:eastAsia="宋体" w:cs="Times New Roman"/>
                <w:color w:val="000000" w:themeColor="text1"/>
                <w:sz w:val="24"/>
                <w:szCs w:val="24"/>
                <w:lang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A</w:t>
            </w:r>
            <w:r>
              <w:rPr>
                <w:rFonts w:hint="default" w:ascii="Times New Roman" w:hAnsi="Times New Roman" w:eastAsia="宋体" w:cs="Times New Roman"/>
                <w:color w:val="000000" w:themeColor="text1"/>
                <w:sz w:val="24"/>
                <w:szCs w:val="24"/>
                <w:lang w:eastAsia="zh-CN"/>
                <w14:textFill>
                  <w14:solidFill>
                    <w14:schemeClr w14:val="tx1"/>
                  </w14:solidFill>
                </w14:textFill>
              </w:rPr>
              <w:t>）；</w:t>
            </w:r>
          </w:p>
          <w:p w14:paraId="5182C25A">
            <w:pPr>
              <w:spacing w:line="500" w:lineRule="exact"/>
              <w:ind w:firstLine="1320" w:firstLineChars="550"/>
              <w:jc w:val="both"/>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r</w:t>
            </w:r>
            <w:r>
              <w:rPr>
                <w:rFonts w:hint="default" w:ascii="Times New Roman" w:hAnsi="Times New Roman" w:eastAsia="宋体" w:cs="Times New Roman"/>
                <w:color w:val="000000" w:themeColor="text1"/>
                <w:sz w:val="24"/>
                <w:vertAlign w:val="subscript"/>
                <w14:textFill>
                  <w14:solidFill>
                    <w14:schemeClr w14:val="tx1"/>
                  </w14:solidFill>
                </w14:textFill>
              </w:rPr>
              <w:t>o</w:t>
            </w:r>
            <w:r>
              <w:rPr>
                <w:rFonts w:hint="default" w:ascii="Times New Roman" w:hAnsi="Times New Roman" w:eastAsia="宋体" w:cs="Times New Roman"/>
                <w:color w:val="000000" w:themeColor="text1"/>
                <w:sz w:val="24"/>
                <w14:textFill>
                  <w14:solidFill>
                    <w14:schemeClr w14:val="tx1"/>
                  </w14:solidFill>
                </w14:textFill>
              </w:rPr>
              <w:t>——L</w:t>
            </w:r>
            <w:r>
              <w:rPr>
                <w:rFonts w:hint="default" w:ascii="Times New Roman" w:hAnsi="Times New Roman" w:eastAsia="宋体" w:cs="Times New Roman"/>
                <w:color w:val="000000" w:themeColor="text1"/>
                <w:sz w:val="24"/>
                <w:vertAlign w:val="subscript"/>
                <w14:textFill>
                  <w14:solidFill>
                    <w14:schemeClr w14:val="tx1"/>
                  </w14:solidFill>
                </w14:textFill>
              </w:rPr>
              <w:t>po</w:t>
            </w:r>
            <w:r>
              <w:rPr>
                <w:rFonts w:hint="default" w:ascii="Times New Roman" w:hAnsi="Times New Roman" w:eastAsia="宋体" w:cs="Times New Roman"/>
                <w:color w:val="000000" w:themeColor="text1"/>
                <w:sz w:val="24"/>
                <w14:textFill>
                  <w14:solidFill>
                    <w14:schemeClr w14:val="tx1"/>
                  </w14:solidFill>
                </w14:textFill>
              </w:rPr>
              <w:t>噪声的测点距离（5米或1米），m。</w:t>
            </w:r>
          </w:p>
          <w:p w14:paraId="0D4F40E5">
            <w:pPr>
              <w:spacing w:line="500" w:lineRule="exact"/>
              <w:ind w:firstLine="1200" w:firstLineChars="500"/>
              <w:jc w:val="both"/>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△L——采取各种措施后的噪声衰减量，dB</w:t>
            </w: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14:textFill>
                  <w14:solidFill>
                    <w14:schemeClr w14:val="tx1"/>
                  </w14:solidFill>
                </w14:textFill>
              </w:rPr>
              <w:t>A</w:t>
            </w:r>
            <w:r>
              <w:rPr>
                <w:rFonts w:hint="default" w:ascii="Times New Roman" w:hAnsi="Times New Roman" w:eastAsia="宋体" w:cs="Times New Roman"/>
                <w:color w:val="000000" w:themeColor="text1"/>
                <w:sz w:val="24"/>
                <w:lang w:eastAsia="zh-CN"/>
                <w14:textFill>
                  <w14:solidFill>
                    <w14:schemeClr w14:val="tx1"/>
                  </w14:solidFill>
                </w14:textFill>
              </w:rPr>
              <w:t>）</w:t>
            </w:r>
            <w:r>
              <w:rPr>
                <w:rFonts w:hint="default" w:ascii="Times New Roman" w:hAnsi="Times New Roman" w:eastAsia="宋体" w:cs="Times New Roman"/>
                <w:color w:val="000000" w:themeColor="text1"/>
                <w:sz w:val="24"/>
                <w14:textFill>
                  <w14:solidFill>
                    <w14:schemeClr w14:val="tx1"/>
                  </w14:solidFill>
                </w14:textFill>
              </w:rPr>
              <w:t>。</w:t>
            </w:r>
          </w:p>
          <w:p w14:paraId="51536CD3">
            <w:pPr>
              <w:spacing w:line="500" w:lineRule="exact"/>
              <w:ind w:firstLine="480" w:firstLineChars="200"/>
              <w:jc w:val="both"/>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施工期主要噪声源有施工机械如挖掘机、装载机、筑路机械、搅拌机等施工行为。</w:t>
            </w:r>
          </w:p>
          <w:p w14:paraId="71F2868C">
            <w:pPr>
              <w:spacing w:line="500" w:lineRule="exact"/>
              <w:ind w:firstLine="480" w:firstLineChars="200"/>
              <w:jc w:val="both"/>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（2）施工噪声预测结果</w:t>
            </w:r>
          </w:p>
          <w:p w14:paraId="652F0AB1">
            <w:pPr>
              <w:pStyle w:val="8"/>
              <w:spacing w:line="500" w:lineRule="exact"/>
              <w:ind w:firstLine="480" w:firstLineChars="200"/>
              <w:jc w:val="both"/>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运用上式对施工过程中施工机械噪声的影响进行预测计算，其结果如下表所示</w:t>
            </w:r>
            <w:r>
              <w:rPr>
                <w:rFonts w:hint="default" w:ascii="Times New Roman" w:hAnsi="Times New Roman" w:eastAsia="宋体" w:cs="Times New Roman"/>
                <w:color w:val="000000" w:themeColor="text1"/>
                <w:sz w:val="26"/>
                <w:szCs w:val="26"/>
                <w14:textFill>
                  <w14:solidFill>
                    <w14:schemeClr w14:val="tx1"/>
                  </w14:solidFill>
                </w14:textFill>
              </w:rPr>
              <w:t>。</w:t>
            </w:r>
          </w:p>
          <w:p w14:paraId="78CE501A">
            <w:pPr>
              <w:jc w:val="center"/>
              <w:rPr>
                <w:rFonts w:hint="default" w:ascii="Times New Roman" w:hAnsi="Times New Roman" w:eastAsia="宋体" w:cs="Times New Roman"/>
                <w:b/>
                <w:color w:val="000000" w:themeColor="text1"/>
                <w:szCs w:val="21"/>
                <w:lang w:eastAsia="zh-CN"/>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4-3</w:t>
            </w:r>
            <w:r>
              <w:rPr>
                <w:rFonts w:hint="default" w:ascii="Times New Roman" w:hAnsi="Times New Roman" w:eastAsia="宋体" w:cs="Times New Roman"/>
                <w:b/>
                <w:color w:val="000000" w:themeColor="text1"/>
                <w:szCs w:val="21"/>
                <w14:textFill>
                  <w14:solidFill>
                    <w14:schemeClr w14:val="tx1"/>
                  </w14:solidFill>
                </w14:textFill>
              </w:rPr>
              <w:t>项目主要施工机械在不同距离处的噪声预测值dB</w:t>
            </w:r>
            <w:r>
              <w:rPr>
                <w:rFonts w:hint="default" w:ascii="Times New Roman" w:hAnsi="Times New Roman" w:eastAsia="宋体" w:cs="Times New Roman"/>
                <w:b/>
                <w:color w:val="000000" w:themeColor="text1"/>
                <w:szCs w:val="21"/>
                <w:lang w:eastAsia="zh-CN"/>
                <w14:textFill>
                  <w14:solidFill>
                    <w14:schemeClr w14:val="tx1"/>
                  </w14:solidFill>
                </w14:textFill>
              </w:rPr>
              <w:t>（</w:t>
            </w:r>
            <w:r>
              <w:rPr>
                <w:rFonts w:hint="default" w:ascii="Times New Roman" w:hAnsi="Times New Roman" w:eastAsia="宋体" w:cs="Times New Roman"/>
                <w:b/>
                <w:color w:val="000000" w:themeColor="text1"/>
                <w:szCs w:val="21"/>
                <w14:textFill>
                  <w14:solidFill>
                    <w14:schemeClr w14:val="tx1"/>
                  </w14:solidFill>
                </w14:textFill>
              </w:rPr>
              <w:t>A</w:t>
            </w:r>
            <w:r>
              <w:rPr>
                <w:rFonts w:hint="default" w:ascii="Times New Roman" w:hAnsi="Times New Roman" w:eastAsia="宋体" w:cs="Times New Roman"/>
                <w:b/>
                <w:color w:val="000000" w:themeColor="text1"/>
                <w:szCs w:val="21"/>
                <w:lang w:eastAsia="zh-CN"/>
                <w14:textFill>
                  <w14:solidFill>
                    <w14:schemeClr w14:val="tx1"/>
                  </w14:solidFill>
                </w14:textFill>
              </w:rPr>
              <w:t>）</w:t>
            </w:r>
          </w:p>
          <w:tbl>
            <w:tblPr>
              <w:tblStyle w:val="34"/>
              <w:tblW w:w="813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360"/>
              <w:gridCol w:w="1016"/>
              <w:gridCol w:w="723"/>
              <w:gridCol w:w="802"/>
              <w:gridCol w:w="1089"/>
              <w:gridCol w:w="822"/>
              <w:gridCol w:w="955"/>
              <w:gridCol w:w="1363"/>
            </w:tblGrid>
            <w:tr w14:paraId="2D9B605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vMerge w:val="restart"/>
                  <w:tcBorders>
                    <w:top w:val="single" w:color="auto" w:sz="6" w:space="0"/>
                    <w:left w:val="single" w:color="auto" w:sz="6" w:space="0"/>
                    <w:bottom w:val="single" w:color="auto" w:sz="6" w:space="0"/>
                    <w:right w:val="single" w:color="auto" w:sz="6" w:space="0"/>
                  </w:tcBorders>
                  <w:vAlign w:val="center"/>
                </w:tcPr>
                <w:p w14:paraId="009514B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声源</w:t>
                  </w:r>
                </w:p>
              </w:tc>
              <w:tc>
                <w:tcPr>
                  <w:tcW w:w="1016" w:type="dxa"/>
                  <w:vMerge w:val="restart"/>
                  <w:tcBorders>
                    <w:top w:val="single" w:color="auto" w:sz="6" w:space="0"/>
                    <w:left w:val="nil"/>
                    <w:bottom w:val="single" w:color="auto" w:sz="6" w:space="0"/>
                    <w:right w:val="single" w:color="auto" w:sz="6" w:space="0"/>
                  </w:tcBorders>
                  <w:vAlign w:val="center"/>
                </w:tcPr>
                <w:p w14:paraId="2C8B78C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噪声值</w:t>
                  </w:r>
                </w:p>
                <w:p w14:paraId="20114648">
                  <w:pPr>
                    <w:pStyle w:val="114"/>
                    <w:jc w:val="center"/>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eastAsia="宋体" w:cs="Times New Roman"/>
                      <w:color w:val="000000" w:themeColor="text1"/>
                      <w14:textFill>
                        <w14:solidFill>
                          <w14:schemeClr w14:val="tx1"/>
                        </w14:solidFill>
                      </w14:textFill>
                    </w:rPr>
                    <w:t>峰值</w:t>
                  </w:r>
                  <w:r>
                    <w:rPr>
                      <w:rFonts w:hint="default" w:ascii="Times New Roman" w:hAnsi="Times New Roman" w:eastAsia="宋体" w:cs="Times New Roman"/>
                      <w:color w:val="000000" w:themeColor="text1"/>
                      <w:lang w:eastAsia="zh-CN"/>
                      <w14:textFill>
                        <w14:solidFill>
                          <w14:schemeClr w14:val="tx1"/>
                        </w14:solidFill>
                      </w14:textFill>
                    </w:rPr>
                    <w:t>）</w:t>
                  </w:r>
                </w:p>
              </w:tc>
              <w:tc>
                <w:tcPr>
                  <w:tcW w:w="5754" w:type="dxa"/>
                  <w:gridSpan w:val="6"/>
                  <w:tcBorders>
                    <w:top w:val="single" w:color="auto" w:sz="6" w:space="0"/>
                    <w:left w:val="nil"/>
                    <w:bottom w:val="single" w:color="auto" w:sz="6" w:space="0"/>
                    <w:right w:val="single" w:color="auto" w:sz="6" w:space="0"/>
                  </w:tcBorders>
                  <w:vAlign w:val="center"/>
                </w:tcPr>
                <w:p w14:paraId="1543947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距声源不同距离（m）的噪声值</w:t>
                  </w:r>
                </w:p>
              </w:tc>
            </w:tr>
            <w:tr w14:paraId="35CB7D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vMerge w:val="continue"/>
                  <w:tcBorders>
                    <w:top w:val="single" w:color="auto" w:sz="6" w:space="0"/>
                    <w:left w:val="single" w:color="auto" w:sz="6" w:space="0"/>
                    <w:bottom w:val="single" w:color="auto" w:sz="6" w:space="0"/>
                    <w:right w:val="single" w:color="auto" w:sz="6" w:space="0"/>
                  </w:tcBorders>
                  <w:vAlign w:val="center"/>
                </w:tcPr>
                <w:p w14:paraId="02F60ED4">
                  <w:pPr>
                    <w:widowControl/>
                    <w:jc w:val="center"/>
                    <w:rPr>
                      <w:rFonts w:hint="default" w:ascii="Times New Roman" w:hAnsi="Times New Roman" w:eastAsia="宋体" w:cs="Times New Roman"/>
                      <w:color w:val="000000" w:themeColor="text1"/>
                      <w:kern w:val="0"/>
                      <w:szCs w:val="21"/>
                      <w14:textFill>
                        <w14:solidFill>
                          <w14:schemeClr w14:val="tx1"/>
                        </w14:solidFill>
                      </w14:textFill>
                    </w:rPr>
                  </w:pPr>
                </w:p>
              </w:tc>
              <w:tc>
                <w:tcPr>
                  <w:tcW w:w="1016" w:type="dxa"/>
                  <w:vMerge w:val="continue"/>
                  <w:tcBorders>
                    <w:top w:val="single" w:color="auto" w:sz="6" w:space="0"/>
                    <w:left w:val="nil"/>
                    <w:bottom w:val="single" w:color="auto" w:sz="6" w:space="0"/>
                    <w:right w:val="single" w:color="auto" w:sz="6" w:space="0"/>
                  </w:tcBorders>
                  <w:vAlign w:val="center"/>
                </w:tcPr>
                <w:p w14:paraId="54339E56">
                  <w:pPr>
                    <w:widowControl/>
                    <w:jc w:val="center"/>
                    <w:rPr>
                      <w:rFonts w:hint="default" w:ascii="Times New Roman" w:hAnsi="Times New Roman" w:eastAsia="宋体" w:cs="Times New Roman"/>
                      <w:color w:val="000000" w:themeColor="text1"/>
                      <w:kern w:val="0"/>
                      <w:szCs w:val="21"/>
                      <w14:textFill>
                        <w14:solidFill>
                          <w14:schemeClr w14:val="tx1"/>
                        </w14:solidFill>
                      </w14:textFill>
                    </w:rPr>
                  </w:pPr>
                </w:p>
              </w:tc>
              <w:tc>
                <w:tcPr>
                  <w:tcW w:w="723" w:type="dxa"/>
                  <w:tcBorders>
                    <w:top w:val="single" w:color="auto" w:sz="6" w:space="0"/>
                    <w:left w:val="nil"/>
                    <w:bottom w:val="single" w:color="auto" w:sz="6" w:space="0"/>
                    <w:right w:val="single" w:color="auto" w:sz="6" w:space="0"/>
                  </w:tcBorders>
                  <w:vAlign w:val="center"/>
                </w:tcPr>
                <w:p w14:paraId="6B1C7C90">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8</w:t>
                  </w:r>
                </w:p>
              </w:tc>
              <w:tc>
                <w:tcPr>
                  <w:tcW w:w="802" w:type="dxa"/>
                  <w:tcBorders>
                    <w:top w:val="single" w:color="auto" w:sz="6" w:space="0"/>
                    <w:left w:val="nil"/>
                    <w:bottom w:val="single" w:color="auto" w:sz="6" w:space="0"/>
                    <w:right w:val="single" w:color="auto" w:sz="6" w:space="0"/>
                  </w:tcBorders>
                  <w:vAlign w:val="center"/>
                </w:tcPr>
                <w:p w14:paraId="2C4278B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15</w:t>
                  </w:r>
                </w:p>
              </w:tc>
              <w:tc>
                <w:tcPr>
                  <w:tcW w:w="1089" w:type="dxa"/>
                  <w:tcBorders>
                    <w:top w:val="single" w:color="auto" w:sz="6" w:space="0"/>
                    <w:left w:val="nil"/>
                    <w:bottom w:val="single" w:color="auto" w:sz="6" w:space="0"/>
                    <w:right w:val="single" w:color="auto" w:sz="6" w:space="0"/>
                  </w:tcBorders>
                  <w:vAlign w:val="center"/>
                </w:tcPr>
                <w:p w14:paraId="2B487658">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30</w:t>
                  </w:r>
                </w:p>
              </w:tc>
              <w:tc>
                <w:tcPr>
                  <w:tcW w:w="822" w:type="dxa"/>
                  <w:tcBorders>
                    <w:top w:val="single" w:color="auto" w:sz="6" w:space="0"/>
                    <w:left w:val="nil"/>
                    <w:bottom w:val="single" w:color="auto" w:sz="6" w:space="0"/>
                    <w:right w:val="single" w:color="auto" w:sz="6" w:space="0"/>
                  </w:tcBorders>
                  <w:vAlign w:val="center"/>
                </w:tcPr>
                <w:p w14:paraId="22E99BD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60</w:t>
                  </w:r>
                </w:p>
              </w:tc>
              <w:tc>
                <w:tcPr>
                  <w:tcW w:w="955" w:type="dxa"/>
                  <w:tcBorders>
                    <w:top w:val="single" w:color="auto" w:sz="6" w:space="0"/>
                    <w:left w:val="nil"/>
                    <w:bottom w:val="single" w:color="auto" w:sz="6" w:space="0"/>
                    <w:right w:val="single" w:color="auto" w:sz="6" w:space="0"/>
                  </w:tcBorders>
                  <w:vAlign w:val="center"/>
                </w:tcPr>
                <w:p w14:paraId="248FE65E">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120</w:t>
                  </w:r>
                </w:p>
              </w:tc>
              <w:tc>
                <w:tcPr>
                  <w:tcW w:w="1363" w:type="dxa"/>
                  <w:tcBorders>
                    <w:top w:val="single" w:color="auto" w:sz="6" w:space="0"/>
                    <w:left w:val="nil"/>
                    <w:bottom w:val="single" w:color="auto" w:sz="6" w:space="0"/>
                    <w:right w:val="single" w:color="auto" w:sz="6" w:space="0"/>
                  </w:tcBorders>
                  <w:vAlign w:val="center"/>
                </w:tcPr>
                <w:p w14:paraId="721CE66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240</w:t>
                  </w:r>
                </w:p>
              </w:tc>
            </w:tr>
            <w:tr w14:paraId="4532824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tcBorders>
                    <w:top w:val="single" w:color="auto" w:sz="6" w:space="0"/>
                    <w:left w:val="single" w:color="auto" w:sz="6" w:space="0"/>
                    <w:bottom w:val="single" w:color="auto" w:sz="6" w:space="0"/>
                    <w:right w:val="single" w:color="auto" w:sz="6" w:space="0"/>
                  </w:tcBorders>
                  <w:vAlign w:val="center"/>
                </w:tcPr>
                <w:p w14:paraId="1821E960">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装载机</w:t>
                  </w:r>
                </w:p>
              </w:tc>
              <w:tc>
                <w:tcPr>
                  <w:tcW w:w="1016" w:type="dxa"/>
                  <w:tcBorders>
                    <w:top w:val="single" w:color="auto" w:sz="6" w:space="0"/>
                    <w:left w:val="nil"/>
                    <w:bottom w:val="single" w:color="auto" w:sz="6" w:space="0"/>
                    <w:right w:val="single" w:color="auto" w:sz="6" w:space="0"/>
                  </w:tcBorders>
                  <w:vAlign w:val="center"/>
                </w:tcPr>
                <w:p w14:paraId="038069F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100</w:t>
                  </w:r>
                </w:p>
              </w:tc>
              <w:tc>
                <w:tcPr>
                  <w:tcW w:w="723" w:type="dxa"/>
                  <w:tcBorders>
                    <w:top w:val="single" w:color="auto" w:sz="6" w:space="0"/>
                    <w:left w:val="nil"/>
                    <w:bottom w:val="single" w:color="auto" w:sz="6" w:space="0"/>
                    <w:right w:val="single" w:color="auto" w:sz="6" w:space="0"/>
                  </w:tcBorders>
                  <w:vAlign w:val="center"/>
                </w:tcPr>
                <w:p w14:paraId="3F1D5922">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81</w:t>
                  </w:r>
                </w:p>
              </w:tc>
              <w:tc>
                <w:tcPr>
                  <w:tcW w:w="802" w:type="dxa"/>
                  <w:tcBorders>
                    <w:top w:val="single" w:color="auto" w:sz="6" w:space="0"/>
                    <w:left w:val="nil"/>
                    <w:bottom w:val="single" w:color="auto" w:sz="6" w:space="0"/>
                    <w:right w:val="single" w:color="auto" w:sz="6" w:space="0"/>
                  </w:tcBorders>
                  <w:vAlign w:val="center"/>
                </w:tcPr>
                <w:p w14:paraId="277B71E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76</w:t>
                  </w:r>
                </w:p>
              </w:tc>
              <w:tc>
                <w:tcPr>
                  <w:tcW w:w="1089" w:type="dxa"/>
                  <w:tcBorders>
                    <w:top w:val="single" w:color="auto" w:sz="6" w:space="0"/>
                    <w:left w:val="nil"/>
                    <w:bottom w:val="single" w:color="auto" w:sz="6" w:space="0"/>
                    <w:right w:val="single" w:color="auto" w:sz="6" w:space="0"/>
                  </w:tcBorders>
                  <w:vAlign w:val="center"/>
                </w:tcPr>
                <w:p w14:paraId="7C1A7C65">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70</w:t>
                  </w:r>
                </w:p>
              </w:tc>
              <w:tc>
                <w:tcPr>
                  <w:tcW w:w="822" w:type="dxa"/>
                  <w:tcBorders>
                    <w:top w:val="single" w:color="auto" w:sz="6" w:space="0"/>
                    <w:left w:val="nil"/>
                    <w:bottom w:val="single" w:color="auto" w:sz="6" w:space="0"/>
                    <w:right w:val="single" w:color="auto" w:sz="6" w:space="0"/>
                  </w:tcBorders>
                  <w:vAlign w:val="center"/>
                </w:tcPr>
                <w:p w14:paraId="4B398EDC">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64</w:t>
                  </w:r>
                </w:p>
              </w:tc>
              <w:tc>
                <w:tcPr>
                  <w:tcW w:w="955" w:type="dxa"/>
                  <w:tcBorders>
                    <w:top w:val="single" w:color="auto" w:sz="6" w:space="0"/>
                    <w:left w:val="nil"/>
                    <w:bottom w:val="single" w:color="auto" w:sz="6" w:space="0"/>
                    <w:right w:val="single" w:color="auto" w:sz="6" w:space="0"/>
                  </w:tcBorders>
                  <w:vAlign w:val="center"/>
                </w:tcPr>
                <w:p w14:paraId="5CB024B3">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58</w:t>
                  </w:r>
                </w:p>
              </w:tc>
              <w:tc>
                <w:tcPr>
                  <w:tcW w:w="1363" w:type="dxa"/>
                  <w:tcBorders>
                    <w:top w:val="single" w:color="auto" w:sz="6" w:space="0"/>
                    <w:left w:val="nil"/>
                    <w:bottom w:val="single" w:color="auto" w:sz="6" w:space="0"/>
                    <w:right w:val="single" w:color="auto" w:sz="6" w:space="0"/>
                  </w:tcBorders>
                  <w:vAlign w:val="center"/>
                </w:tcPr>
                <w:p w14:paraId="1643C2B5">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52</w:t>
                  </w:r>
                </w:p>
              </w:tc>
            </w:tr>
            <w:tr w14:paraId="23BC00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tcBorders>
                    <w:top w:val="single" w:color="auto" w:sz="6" w:space="0"/>
                    <w:left w:val="single" w:color="auto" w:sz="6" w:space="0"/>
                    <w:bottom w:val="single" w:color="auto" w:sz="6" w:space="0"/>
                    <w:right w:val="single" w:color="auto" w:sz="6" w:space="0"/>
                  </w:tcBorders>
                  <w:vAlign w:val="center"/>
                </w:tcPr>
                <w:p w14:paraId="2C541A2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挖掘机</w:t>
                  </w:r>
                </w:p>
              </w:tc>
              <w:tc>
                <w:tcPr>
                  <w:tcW w:w="1016" w:type="dxa"/>
                  <w:tcBorders>
                    <w:top w:val="single" w:color="auto" w:sz="6" w:space="0"/>
                    <w:left w:val="nil"/>
                    <w:bottom w:val="single" w:color="auto" w:sz="6" w:space="0"/>
                    <w:right w:val="single" w:color="auto" w:sz="6" w:space="0"/>
                  </w:tcBorders>
                  <w:vAlign w:val="center"/>
                </w:tcPr>
                <w:p w14:paraId="787F1D8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96</w:t>
                  </w:r>
                </w:p>
              </w:tc>
              <w:tc>
                <w:tcPr>
                  <w:tcW w:w="723" w:type="dxa"/>
                  <w:tcBorders>
                    <w:top w:val="single" w:color="auto" w:sz="6" w:space="0"/>
                    <w:left w:val="nil"/>
                    <w:bottom w:val="single" w:color="auto" w:sz="6" w:space="0"/>
                    <w:right w:val="single" w:color="auto" w:sz="6" w:space="0"/>
                  </w:tcBorders>
                  <w:vAlign w:val="center"/>
                </w:tcPr>
                <w:p w14:paraId="31C194C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77</w:t>
                  </w:r>
                </w:p>
              </w:tc>
              <w:tc>
                <w:tcPr>
                  <w:tcW w:w="802" w:type="dxa"/>
                  <w:tcBorders>
                    <w:top w:val="single" w:color="auto" w:sz="6" w:space="0"/>
                    <w:left w:val="nil"/>
                    <w:bottom w:val="single" w:color="auto" w:sz="6" w:space="0"/>
                    <w:right w:val="single" w:color="auto" w:sz="6" w:space="0"/>
                  </w:tcBorders>
                  <w:vAlign w:val="center"/>
                </w:tcPr>
                <w:p w14:paraId="77DC1E92">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72</w:t>
                  </w:r>
                </w:p>
              </w:tc>
              <w:tc>
                <w:tcPr>
                  <w:tcW w:w="1089" w:type="dxa"/>
                  <w:tcBorders>
                    <w:top w:val="single" w:color="auto" w:sz="6" w:space="0"/>
                    <w:left w:val="nil"/>
                    <w:bottom w:val="single" w:color="auto" w:sz="6" w:space="0"/>
                    <w:right w:val="single" w:color="auto" w:sz="6" w:space="0"/>
                  </w:tcBorders>
                  <w:vAlign w:val="center"/>
                </w:tcPr>
                <w:p w14:paraId="29DD120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66</w:t>
                  </w:r>
                </w:p>
              </w:tc>
              <w:tc>
                <w:tcPr>
                  <w:tcW w:w="822" w:type="dxa"/>
                  <w:tcBorders>
                    <w:top w:val="single" w:color="auto" w:sz="6" w:space="0"/>
                    <w:left w:val="nil"/>
                    <w:bottom w:val="single" w:color="auto" w:sz="6" w:space="0"/>
                    <w:right w:val="single" w:color="auto" w:sz="6" w:space="0"/>
                  </w:tcBorders>
                  <w:vAlign w:val="center"/>
                </w:tcPr>
                <w:p w14:paraId="2BFA6A4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60</w:t>
                  </w:r>
                </w:p>
              </w:tc>
              <w:tc>
                <w:tcPr>
                  <w:tcW w:w="955" w:type="dxa"/>
                  <w:tcBorders>
                    <w:top w:val="single" w:color="auto" w:sz="6" w:space="0"/>
                    <w:left w:val="nil"/>
                    <w:bottom w:val="single" w:color="auto" w:sz="6" w:space="0"/>
                    <w:right w:val="single" w:color="auto" w:sz="6" w:space="0"/>
                  </w:tcBorders>
                  <w:vAlign w:val="center"/>
                </w:tcPr>
                <w:p w14:paraId="22DA8150">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54</w:t>
                  </w:r>
                </w:p>
              </w:tc>
              <w:tc>
                <w:tcPr>
                  <w:tcW w:w="1363" w:type="dxa"/>
                  <w:tcBorders>
                    <w:top w:val="single" w:color="auto" w:sz="6" w:space="0"/>
                    <w:left w:val="nil"/>
                    <w:bottom w:val="single" w:color="auto" w:sz="6" w:space="0"/>
                    <w:right w:val="single" w:color="auto" w:sz="6" w:space="0"/>
                  </w:tcBorders>
                  <w:vAlign w:val="center"/>
                </w:tcPr>
                <w:p w14:paraId="0AC3BB7E">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48</w:t>
                  </w:r>
                </w:p>
              </w:tc>
            </w:tr>
            <w:tr w14:paraId="7DCB94F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tcBorders>
                    <w:top w:val="single" w:color="auto" w:sz="6" w:space="0"/>
                    <w:left w:val="single" w:color="auto" w:sz="6" w:space="0"/>
                    <w:bottom w:val="single" w:color="auto" w:sz="6" w:space="0"/>
                    <w:right w:val="single" w:color="auto" w:sz="6" w:space="0"/>
                  </w:tcBorders>
                  <w:vAlign w:val="center"/>
                </w:tcPr>
                <w:p w14:paraId="4EB8D2DB">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推土机</w:t>
                  </w:r>
                </w:p>
              </w:tc>
              <w:tc>
                <w:tcPr>
                  <w:tcW w:w="1016" w:type="dxa"/>
                  <w:tcBorders>
                    <w:top w:val="single" w:color="auto" w:sz="6" w:space="0"/>
                    <w:left w:val="nil"/>
                    <w:bottom w:val="single" w:color="auto" w:sz="6" w:space="0"/>
                    <w:right w:val="single" w:color="auto" w:sz="6" w:space="0"/>
                  </w:tcBorders>
                  <w:vAlign w:val="center"/>
                </w:tcPr>
                <w:p w14:paraId="4D1904E2">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102</w:t>
                  </w:r>
                </w:p>
              </w:tc>
              <w:tc>
                <w:tcPr>
                  <w:tcW w:w="723" w:type="dxa"/>
                  <w:tcBorders>
                    <w:top w:val="single" w:color="auto" w:sz="6" w:space="0"/>
                    <w:left w:val="nil"/>
                    <w:bottom w:val="single" w:color="auto" w:sz="6" w:space="0"/>
                    <w:right w:val="single" w:color="auto" w:sz="6" w:space="0"/>
                  </w:tcBorders>
                  <w:vAlign w:val="center"/>
                </w:tcPr>
                <w:p w14:paraId="699029C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83</w:t>
                  </w:r>
                </w:p>
              </w:tc>
              <w:tc>
                <w:tcPr>
                  <w:tcW w:w="802" w:type="dxa"/>
                  <w:tcBorders>
                    <w:top w:val="single" w:color="auto" w:sz="6" w:space="0"/>
                    <w:left w:val="nil"/>
                    <w:bottom w:val="single" w:color="auto" w:sz="6" w:space="0"/>
                    <w:right w:val="single" w:color="auto" w:sz="6" w:space="0"/>
                  </w:tcBorders>
                  <w:vAlign w:val="center"/>
                </w:tcPr>
                <w:p w14:paraId="75F6988C">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78</w:t>
                  </w:r>
                </w:p>
              </w:tc>
              <w:tc>
                <w:tcPr>
                  <w:tcW w:w="1089" w:type="dxa"/>
                  <w:tcBorders>
                    <w:top w:val="single" w:color="auto" w:sz="6" w:space="0"/>
                    <w:left w:val="nil"/>
                    <w:bottom w:val="single" w:color="auto" w:sz="6" w:space="0"/>
                    <w:right w:val="single" w:color="auto" w:sz="6" w:space="0"/>
                  </w:tcBorders>
                  <w:vAlign w:val="center"/>
                </w:tcPr>
                <w:p w14:paraId="627F2D92">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72</w:t>
                  </w:r>
                </w:p>
              </w:tc>
              <w:tc>
                <w:tcPr>
                  <w:tcW w:w="822" w:type="dxa"/>
                  <w:tcBorders>
                    <w:top w:val="single" w:color="auto" w:sz="6" w:space="0"/>
                    <w:left w:val="nil"/>
                    <w:bottom w:val="single" w:color="auto" w:sz="6" w:space="0"/>
                    <w:right w:val="single" w:color="auto" w:sz="6" w:space="0"/>
                  </w:tcBorders>
                  <w:vAlign w:val="center"/>
                </w:tcPr>
                <w:p w14:paraId="3704A7C5">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66</w:t>
                  </w:r>
                </w:p>
              </w:tc>
              <w:tc>
                <w:tcPr>
                  <w:tcW w:w="955" w:type="dxa"/>
                  <w:tcBorders>
                    <w:top w:val="single" w:color="auto" w:sz="6" w:space="0"/>
                    <w:left w:val="nil"/>
                    <w:bottom w:val="single" w:color="auto" w:sz="6" w:space="0"/>
                    <w:right w:val="single" w:color="auto" w:sz="6" w:space="0"/>
                  </w:tcBorders>
                  <w:vAlign w:val="center"/>
                </w:tcPr>
                <w:p w14:paraId="12312BF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60</w:t>
                  </w:r>
                </w:p>
              </w:tc>
              <w:tc>
                <w:tcPr>
                  <w:tcW w:w="1363" w:type="dxa"/>
                  <w:tcBorders>
                    <w:top w:val="single" w:color="auto" w:sz="6" w:space="0"/>
                    <w:left w:val="nil"/>
                    <w:bottom w:val="single" w:color="auto" w:sz="6" w:space="0"/>
                    <w:right w:val="single" w:color="auto" w:sz="6" w:space="0"/>
                  </w:tcBorders>
                  <w:vAlign w:val="center"/>
                </w:tcPr>
                <w:p w14:paraId="76A13ED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54</w:t>
                  </w:r>
                </w:p>
              </w:tc>
            </w:tr>
            <w:tr w14:paraId="133AA2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tcBorders>
                    <w:top w:val="single" w:color="auto" w:sz="6" w:space="0"/>
                    <w:left w:val="single" w:color="auto" w:sz="6" w:space="0"/>
                    <w:bottom w:val="single" w:color="auto" w:sz="6" w:space="0"/>
                    <w:right w:val="single" w:color="auto" w:sz="6" w:space="0"/>
                  </w:tcBorders>
                  <w:vAlign w:val="center"/>
                </w:tcPr>
                <w:p w14:paraId="4AA5260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搅拌机</w:t>
                  </w:r>
                </w:p>
              </w:tc>
              <w:tc>
                <w:tcPr>
                  <w:tcW w:w="1016" w:type="dxa"/>
                  <w:tcBorders>
                    <w:top w:val="single" w:color="auto" w:sz="6" w:space="0"/>
                    <w:left w:val="nil"/>
                    <w:bottom w:val="single" w:color="auto" w:sz="6" w:space="0"/>
                    <w:right w:val="single" w:color="auto" w:sz="6" w:space="0"/>
                  </w:tcBorders>
                  <w:vAlign w:val="center"/>
                </w:tcPr>
                <w:p w14:paraId="6F47A567">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95</w:t>
                  </w:r>
                </w:p>
              </w:tc>
              <w:tc>
                <w:tcPr>
                  <w:tcW w:w="723" w:type="dxa"/>
                  <w:tcBorders>
                    <w:top w:val="single" w:color="auto" w:sz="6" w:space="0"/>
                    <w:left w:val="nil"/>
                    <w:bottom w:val="single" w:color="auto" w:sz="6" w:space="0"/>
                    <w:right w:val="single" w:color="auto" w:sz="6" w:space="0"/>
                  </w:tcBorders>
                  <w:vAlign w:val="center"/>
                </w:tcPr>
                <w:p w14:paraId="4EAF501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77</w:t>
                  </w:r>
                </w:p>
              </w:tc>
              <w:tc>
                <w:tcPr>
                  <w:tcW w:w="802" w:type="dxa"/>
                  <w:tcBorders>
                    <w:top w:val="single" w:color="auto" w:sz="6" w:space="0"/>
                    <w:left w:val="nil"/>
                    <w:bottom w:val="single" w:color="auto" w:sz="6" w:space="0"/>
                    <w:right w:val="single" w:color="auto" w:sz="6" w:space="0"/>
                  </w:tcBorders>
                  <w:vAlign w:val="center"/>
                </w:tcPr>
                <w:p w14:paraId="1B8C1AFE">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71</w:t>
                  </w:r>
                </w:p>
              </w:tc>
              <w:tc>
                <w:tcPr>
                  <w:tcW w:w="1089" w:type="dxa"/>
                  <w:tcBorders>
                    <w:top w:val="single" w:color="auto" w:sz="6" w:space="0"/>
                    <w:left w:val="nil"/>
                    <w:bottom w:val="single" w:color="auto" w:sz="6" w:space="0"/>
                    <w:right w:val="single" w:color="auto" w:sz="6" w:space="0"/>
                  </w:tcBorders>
                  <w:vAlign w:val="center"/>
                </w:tcPr>
                <w:p w14:paraId="3B4CC04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65</w:t>
                  </w:r>
                </w:p>
              </w:tc>
              <w:tc>
                <w:tcPr>
                  <w:tcW w:w="822" w:type="dxa"/>
                  <w:tcBorders>
                    <w:top w:val="single" w:color="auto" w:sz="6" w:space="0"/>
                    <w:left w:val="nil"/>
                    <w:bottom w:val="single" w:color="auto" w:sz="6" w:space="0"/>
                    <w:right w:val="single" w:color="auto" w:sz="6" w:space="0"/>
                  </w:tcBorders>
                  <w:vAlign w:val="center"/>
                </w:tcPr>
                <w:p w14:paraId="7C0E1BBE">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59</w:t>
                  </w:r>
                </w:p>
              </w:tc>
              <w:tc>
                <w:tcPr>
                  <w:tcW w:w="955" w:type="dxa"/>
                  <w:tcBorders>
                    <w:top w:val="single" w:color="auto" w:sz="6" w:space="0"/>
                    <w:left w:val="nil"/>
                    <w:bottom w:val="single" w:color="auto" w:sz="6" w:space="0"/>
                    <w:right w:val="single" w:color="auto" w:sz="6" w:space="0"/>
                  </w:tcBorders>
                  <w:vAlign w:val="center"/>
                </w:tcPr>
                <w:p w14:paraId="493FA29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53</w:t>
                  </w:r>
                </w:p>
              </w:tc>
              <w:tc>
                <w:tcPr>
                  <w:tcW w:w="1363" w:type="dxa"/>
                  <w:tcBorders>
                    <w:top w:val="single" w:color="auto" w:sz="6" w:space="0"/>
                    <w:left w:val="nil"/>
                    <w:bottom w:val="single" w:color="auto" w:sz="6" w:space="0"/>
                    <w:right w:val="single" w:color="auto" w:sz="6" w:space="0"/>
                  </w:tcBorders>
                  <w:vAlign w:val="center"/>
                </w:tcPr>
                <w:p w14:paraId="141D0DA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47</w:t>
                  </w:r>
                </w:p>
              </w:tc>
            </w:tr>
            <w:tr w14:paraId="565CC30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tcBorders>
                    <w:top w:val="single" w:color="auto" w:sz="6" w:space="0"/>
                    <w:left w:val="single" w:color="auto" w:sz="6" w:space="0"/>
                    <w:bottom w:val="single" w:color="auto" w:sz="6" w:space="0"/>
                    <w:right w:val="single" w:color="auto" w:sz="6" w:space="0"/>
                  </w:tcBorders>
                  <w:vAlign w:val="center"/>
                </w:tcPr>
                <w:p w14:paraId="02688E6C">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振动碾</w:t>
                  </w:r>
                </w:p>
              </w:tc>
              <w:tc>
                <w:tcPr>
                  <w:tcW w:w="1016" w:type="dxa"/>
                  <w:tcBorders>
                    <w:top w:val="single" w:color="auto" w:sz="6" w:space="0"/>
                    <w:left w:val="nil"/>
                    <w:bottom w:val="single" w:color="auto" w:sz="6" w:space="0"/>
                    <w:right w:val="single" w:color="auto" w:sz="6" w:space="0"/>
                  </w:tcBorders>
                  <w:vAlign w:val="center"/>
                </w:tcPr>
                <w:p w14:paraId="37A31FC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95</w:t>
                  </w:r>
                </w:p>
              </w:tc>
              <w:tc>
                <w:tcPr>
                  <w:tcW w:w="723" w:type="dxa"/>
                  <w:tcBorders>
                    <w:top w:val="single" w:color="auto" w:sz="6" w:space="0"/>
                    <w:left w:val="nil"/>
                    <w:bottom w:val="single" w:color="auto" w:sz="6" w:space="0"/>
                    <w:right w:val="single" w:color="auto" w:sz="6" w:space="0"/>
                  </w:tcBorders>
                  <w:vAlign w:val="center"/>
                </w:tcPr>
                <w:p w14:paraId="5F9A5FE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77</w:t>
                  </w:r>
                </w:p>
              </w:tc>
              <w:tc>
                <w:tcPr>
                  <w:tcW w:w="802" w:type="dxa"/>
                  <w:tcBorders>
                    <w:top w:val="single" w:color="auto" w:sz="6" w:space="0"/>
                    <w:left w:val="nil"/>
                    <w:bottom w:val="single" w:color="auto" w:sz="6" w:space="0"/>
                    <w:right w:val="single" w:color="auto" w:sz="6" w:space="0"/>
                  </w:tcBorders>
                  <w:vAlign w:val="center"/>
                </w:tcPr>
                <w:p w14:paraId="2A42222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71</w:t>
                  </w:r>
                </w:p>
              </w:tc>
              <w:tc>
                <w:tcPr>
                  <w:tcW w:w="1089" w:type="dxa"/>
                  <w:tcBorders>
                    <w:top w:val="single" w:color="auto" w:sz="6" w:space="0"/>
                    <w:left w:val="nil"/>
                    <w:bottom w:val="single" w:color="auto" w:sz="6" w:space="0"/>
                    <w:right w:val="single" w:color="auto" w:sz="6" w:space="0"/>
                  </w:tcBorders>
                  <w:vAlign w:val="center"/>
                </w:tcPr>
                <w:p w14:paraId="7BE738E2">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65</w:t>
                  </w:r>
                </w:p>
              </w:tc>
              <w:tc>
                <w:tcPr>
                  <w:tcW w:w="822" w:type="dxa"/>
                  <w:tcBorders>
                    <w:top w:val="single" w:color="auto" w:sz="6" w:space="0"/>
                    <w:left w:val="nil"/>
                    <w:bottom w:val="single" w:color="auto" w:sz="6" w:space="0"/>
                    <w:right w:val="single" w:color="auto" w:sz="6" w:space="0"/>
                  </w:tcBorders>
                  <w:vAlign w:val="center"/>
                </w:tcPr>
                <w:p w14:paraId="2E5E4245">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59</w:t>
                  </w:r>
                </w:p>
              </w:tc>
              <w:tc>
                <w:tcPr>
                  <w:tcW w:w="955" w:type="dxa"/>
                  <w:tcBorders>
                    <w:top w:val="single" w:color="auto" w:sz="6" w:space="0"/>
                    <w:left w:val="nil"/>
                    <w:bottom w:val="single" w:color="auto" w:sz="6" w:space="0"/>
                    <w:right w:val="single" w:color="auto" w:sz="6" w:space="0"/>
                  </w:tcBorders>
                  <w:vAlign w:val="center"/>
                </w:tcPr>
                <w:p w14:paraId="62F5D8C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53</w:t>
                  </w:r>
                </w:p>
              </w:tc>
              <w:tc>
                <w:tcPr>
                  <w:tcW w:w="1363" w:type="dxa"/>
                  <w:tcBorders>
                    <w:top w:val="single" w:color="auto" w:sz="6" w:space="0"/>
                    <w:left w:val="nil"/>
                    <w:bottom w:val="single" w:color="auto" w:sz="6" w:space="0"/>
                    <w:right w:val="single" w:color="auto" w:sz="6" w:space="0"/>
                  </w:tcBorders>
                  <w:vAlign w:val="center"/>
                </w:tcPr>
                <w:p w14:paraId="20ADBC2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47</w:t>
                  </w:r>
                </w:p>
              </w:tc>
            </w:tr>
            <w:tr w14:paraId="4975BC4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tcBorders>
                    <w:top w:val="single" w:color="auto" w:sz="6" w:space="0"/>
                    <w:left w:val="single" w:color="auto" w:sz="6" w:space="0"/>
                    <w:bottom w:val="single" w:color="auto" w:sz="6" w:space="0"/>
                    <w:right w:val="single" w:color="auto" w:sz="6" w:space="0"/>
                  </w:tcBorders>
                  <w:vAlign w:val="center"/>
                </w:tcPr>
                <w:p w14:paraId="456881C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插入式振捣</w:t>
                  </w:r>
                </w:p>
              </w:tc>
              <w:tc>
                <w:tcPr>
                  <w:tcW w:w="1016" w:type="dxa"/>
                  <w:tcBorders>
                    <w:top w:val="single" w:color="auto" w:sz="6" w:space="0"/>
                    <w:left w:val="nil"/>
                    <w:bottom w:val="single" w:color="auto" w:sz="6" w:space="0"/>
                    <w:right w:val="single" w:color="auto" w:sz="6" w:space="0"/>
                  </w:tcBorders>
                  <w:vAlign w:val="center"/>
                </w:tcPr>
                <w:p w14:paraId="0FF55D1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95</w:t>
                  </w:r>
                </w:p>
              </w:tc>
              <w:tc>
                <w:tcPr>
                  <w:tcW w:w="723" w:type="dxa"/>
                  <w:tcBorders>
                    <w:top w:val="single" w:color="auto" w:sz="6" w:space="0"/>
                    <w:left w:val="nil"/>
                    <w:bottom w:val="single" w:color="auto" w:sz="6" w:space="0"/>
                    <w:right w:val="single" w:color="auto" w:sz="6" w:space="0"/>
                  </w:tcBorders>
                  <w:vAlign w:val="center"/>
                </w:tcPr>
                <w:p w14:paraId="1F88CA78">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77</w:t>
                  </w:r>
                </w:p>
              </w:tc>
              <w:tc>
                <w:tcPr>
                  <w:tcW w:w="802" w:type="dxa"/>
                  <w:tcBorders>
                    <w:top w:val="single" w:color="auto" w:sz="6" w:space="0"/>
                    <w:left w:val="nil"/>
                    <w:bottom w:val="single" w:color="auto" w:sz="6" w:space="0"/>
                    <w:right w:val="single" w:color="auto" w:sz="6" w:space="0"/>
                  </w:tcBorders>
                  <w:vAlign w:val="center"/>
                </w:tcPr>
                <w:p w14:paraId="16D84DB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71</w:t>
                  </w:r>
                </w:p>
              </w:tc>
              <w:tc>
                <w:tcPr>
                  <w:tcW w:w="1089" w:type="dxa"/>
                  <w:tcBorders>
                    <w:top w:val="single" w:color="auto" w:sz="6" w:space="0"/>
                    <w:left w:val="nil"/>
                    <w:bottom w:val="single" w:color="auto" w:sz="6" w:space="0"/>
                    <w:right w:val="single" w:color="auto" w:sz="6" w:space="0"/>
                  </w:tcBorders>
                  <w:vAlign w:val="center"/>
                </w:tcPr>
                <w:p w14:paraId="25227396">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65</w:t>
                  </w:r>
                </w:p>
              </w:tc>
              <w:tc>
                <w:tcPr>
                  <w:tcW w:w="822" w:type="dxa"/>
                  <w:tcBorders>
                    <w:top w:val="single" w:color="auto" w:sz="6" w:space="0"/>
                    <w:left w:val="nil"/>
                    <w:bottom w:val="single" w:color="auto" w:sz="6" w:space="0"/>
                    <w:right w:val="single" w:color="auto" w:sz="6" w:space="0"/>
                  </w:tcBorders>
                  <w:vAlign w:val="center"/>
                </w:tcPr>
                <w:p w14:paraId="2CF1339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59</w:t>
                  </w:r>
                </w:p>
              </w:tc>
              <w:tc>
                <w:tcPr>
                  <w:tcW w:w="955" w:type="dxa"/>
                  <w:tcBorders>
                    <w:top w:val="single" w:color="auto" w:sz="6" w:space="0"/>
                    <w:left w:val="nil"/>
                    <w:bottom w:val="single" w:color="auto" w:sz="6" w:space="0"/>
                    <w:right w:val="single" w:color="auto" w:sz="6" w:space="0"/>
                  </w:tcBorders>
                  <w:vAlign w:val="center"/>
                </w:tcPr>
                <w:p w14:paraId="408A1F5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53</w:t>
                  </w:r>
                </w:p>
              </w:tc>
              <w:tc>
                <w:tcPr>
                  <w:tcW w:w="1363" w:type="dxa"/>
                  <w:tcBorders>
                    <w:top w:val="single" w:color="auto" w:sz="6" w:space="0"/>
                    <w:left w:val="nil"/>
                    <w:bottom w:val="single" w:color="auto" w:sz="6" w:space="0"/>
                    <w:right w:val="single" w:color="auto" w:sz="6" w:space="0"/>
                  </w:tcBorders>
                  <w:vAlign w:val="center"/>
                </w:tcPr>
                <w:p w14:paraId="1F6C9A06">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47</w:t>
                  </w:r>
                </w:p>
              </w:tc>
            </w:tr>
            <w:tr w14:paraId="08576CB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tcBorders>
                    <w:top w:val="single" w:color="auto" w:sz="6" w:space="0"/>
                    <w:left w:val="single" w:color="auto" w:sz="6" w:space="0"/>
                    <w:bottom w:val="single" w:color="auto" w:sz="6" w:space="0"/>
                    <w:right w:val="single" w:color="auto" w:sz="6" w:space="0"/>
                  </w:tcBorders>
                  <w:vAlign w:val="center"/>
                </w:tcPr>
                <w:p w14:paraId="77FDB056">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直流弧焊机</w:t>
                  </w:r>
                </w:p>
              </w:tc>
              <w:tc>
                <w:tcPr>
                  <w:tcW w:w="1016" w:type="dxa"/>
                  <w:tcBorders>
                    <w:top w:val="single" w:color="auto" w:sz="6" w:space="0"/>
                    <w:left w:val="nil"/>
                    <w:bottom w:val="single" w:color="auto" w:sz="6" w:space="0"/>
                    <w:right w:val="single" w:color="auto" w:sz="6" w:space="0"/>
                  </w:tcBorders>
                  <w:vAlign w:val="center"/>
                </w:tcPr>
                <w:p w14:paraId="64C5F2D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85</w:t>
                  </w:r>
                </w:p>
              </w:tc>
              <w:tc>
                <w:tcPr>
                  <w:tcW w:w="723" w:type="dxa"/>
                  <w:tcBorders>
                    <w:top w:val="single" w:color="auto" w:sz="6" w:space="0"/>
                    <w:left w:val="nil"/>
                    <w:bottom w:val="single" w:color="auto" w:sz="6" w:space="0"/>
                    <w:right w:val="single" w:color="auto" w:sz="6" w:space="0"/>
                  </w:tcBorders>
                  <w:vAlign w:val="center"/>
                </w:tcPr>
                <w:p w14:paraId="44511F50">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r>
                    <w:rPr>
                      <w:rFonts w:hint="default" w:ascii="Times New Roman" w:hAnsi="Times New Roman" w:eastAsia="宋体" w:cs="Times New Roman"/>
                      <w:color w:val="000000" w:themeColor="text1"/>
                      <w14:textFill>
                        <w14:solidFill>
                          <w14:schemeClr w14:val="tx1"/>
                        </w14:solidFill>
                      </w14:textFill>
                    </w:rPr>
                    <w:t>7</w:t>
                  </w:r>
                </w:p>
              </w:tc>
              <w:tc>
                <w:tcPr>
                  <w:tcW w:w="802" w:type="dxa"/>
                  <w:tcBorders>
                    <w:top w:val="single" w:color="auto" w:sz="6" w:space="0"/>
                    <w:left w:val="nil"/>
                    <w:bottom w:val="single" w:color="auto" w:sz="6" w:space="0"/>
                    <w:right w:val="single" w:color="auto" w:sz="6" w:space="0"/>
                  </w:tcBorders>
                  <w:vAlign w:val="center"/>
                </w:tcPr>
                <w:p w14:paraId="4885D9A4">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r>
                    <w:rPr>
                      <w:rFonts w:hint="default" w:ascii="Times New Roman" w:hAnsi="Times New Roman" w:eastAsia="宋体" w:cs="Times New Roman"/>
                      <w:color w:val="000000" w:themeColor="text1"/>
                      <w14:textFill>
                        <w14:solidFill>
                          <w14:schemeClr w14:val="tx1"/>
                        </w14:solidFill>
                      </w14:textFill>
                    </w:rPr>
                    <w:t>1</w:t>
                  </w:r>
                </w:p>
              </w:tc>
              <w:tc>
                <w:tcPr>
                  <w:tcW w:w="1089" w:type="dxa"/>
                  <w:tcBorders>
                    <w:top w:val="single" w:color="auto" w:sz="6" w:space="0"/>
                    <w:left w:val="nil"/>
                    <w:bottom w:val="single" w:color="auto" w:sz="6" w:space="0"/>
                    <w:right w:val="single" w:color="auto" w:sz="6" w:space="0"/>
                  </w:tcBorders>
                  <w:vAlign w:val="center"/>
                </w:tcPr>
                <w:p w14:paraId="4AC69E83">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r>
                    <w:rPr>
                      <w:rFonts w:hint="default" w:ascii="Times New Roman" w:hAnsi="Times New Roman" w:eastAsia="宋体" w:cs="Times New Roman"/>
                      <w:color w:val="000000" w:themeColor="text1"/>
                      <w14:textFill>
                        <w14:solidFill>
                          <w14:schemeClr w14:val="tx1"/>
                        </w14:solidFill>
                      </w14:textFill>
                    </w:rPr>
                    <w:t>5</w:t>
                  </w:r>
                </w:p>
              </w:tc>
              <w:tc>
                <w:tcPr>
                  <w:tcW w:w="822" w:type="dxa"/>
                  <w:tcBorders>
                    <w:top w:val="single" w:color="auto" w:sz="6" w:space="0"/>
                    <w:left w:val="nil"/>
                    <w:bottom w:val="single" w:color="auto" w:sz="6" w:space="0"/>
                    <w:right w:val="single" w:color="auto" w:sz="6" w:space="0"/>
                  </w:tcBorders>
                  <w:vAlign w:val="center"/>
                </w:tcPr>
                <w:p w14:paraId="002519A5">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r>
                    <w:rPr>
                      <w:rFonts w:hint="default" w:ascii="Times New Roman" w:hAnsi="Times New Roman" w:eastAsia="宋体" w:cs="Times New Roman"/>
                      <w:color w:val="000000" w:themeColor="text1"/>
                      <w14:textFill>
                        <w14:solidFill>
                          <w14:schemeClr w14:val="tx1"/>
                        </w14:solidFill>
                      </w14:textFill>
                    </w:rPr>
                    <w:t>9</w:t>
                  </w:r>
                </w:p>
              </w:tc>
              <w:tc>
                <w:tcPr>
                  <w:tcW w:w="955" w:type="dxa"/>
                  <w:tcBorders>
                    <w:top w:val="single" w:color="auto" w:sz="6" w:space="0"/>
                    <w:left w:val="nil"/>
                    <w:bottom w:val="single" w:color="auto" w:sz="6" w:space="0"/>
                    <w:right w:val="single" w:color="auto" w:sz="6" w:space="0"/>
                  </w:tcBorders>
                  <w:vAlign w:val="center"/>
                </w:tcPr>
                <w:p w14:paraId="56DA750E">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r>
                    <w:rPr>
                      <w:rFonts w:hint="default" w:ascii="Times New Roman" w:hAnsi="Times New Roman" w:eastAsia="宋体" w:cs="Times New Roman"/>
                      <w:color w:val="000000" w:themeColor="text1"/>
                      <w14:textFill>
                        <w14:solidFill>
                          <w14:schemeClr w14:val="tx1"/>
                        </w14:solidFill>
                      </w14:textFill>
                    </w:rPr>
                    <w:t>3</w:t>
                  </w:r>
                </w:p>
              </w:tc>
              <w:tc>
                <w:tcPr>
                  <w:tcW w:w="1363" w:type="dxa"/>
                  <w:tcBorders>
                    <w:top w:val="single" w:color="auto" w:sz="6" w:space="0"/>
                    <w:left w:val="nil"/>
                    <w:bottom w:val="single" w:color="auto" w:sz="6" w:space="0"/>
                    <w:right w:val="single" w:color="auto" w:sz="6" w:space="0"/>
                  </w:tcBorders>
                  <w:vAlign w:val="center"/>
                </w:tcPr>
                <w:p w14:paraId="44046978">
                  <w:pPr>
                    <w:pStyle w:val="114"/>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r>
                    <w:rPr>
                      <w:rFonts w:hint="default" w:ascii="Times New Roman" w:hAnsi="Times New Roman" w:eastAsia="宋体" w:cs="Times New Roman"/>
                      <w:color w:val="000000" w:themeColor="text1"/>
                      <w14:textFill>
                        <w14:solidFill>
                          <w14:schemeClr w14:val="tx1"/>
                        </w14:solidFill>
                      </w14:textFill>
                    </w:rPr>
                    <w:t>7</w:t>
                  </w:r>
                </w:p>
              </w:tc>
            </w:tr>
            <w:tr w14:paraId="7E4BDCC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tcBorders>
                    <w:top w:val="single" w:color="auto" w:sz="6" w:space="0"/>
                    <w:left w:val="single" w:color="auto" w:sz="6" w:space="0"/>
                    <w:bottom w:val="single" w:color="auto" w:sz="6" w:space="0"/>
                    <w:right w:val="single" w:color="auto" w:sz="6" w:space="0"/>
                  </w:tcBorders>
                  <w:vAlign w:val="center"/>
                </w:tcPr>
                <w:p w14:paraId="7E5EEA0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钢筋调直机</w:t>
                  </w:r>
                </w:p>
              </w:tc>
              <w:tc>
                <w:tcPr>
                  <w:tcW w:w="1016" w:type="dxa"/>
                  <w:tcBorders>
                    <w:top w:val="single" w:color="auto" w:sz="6" w:space="0"/>
                    <w:left w:val="nil"/>
                    <w:bottom w:val="single" w:color="auto" w:sz="6" w:space="0"/>
                    <w:right w:val="single" w:color="auto" w:sz="6" w:space="0"/>
                  </w:tcBorders>
                  <w:vAlign w:val="center"/>
                </w:tcPr>
                <w:p w14:paraId="1799558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85</w:t>
                  </w:r>
                </w:p>
              </w:tc>
              <w:tc>
                <w:tcPr>
                  <w:tcW w:w="723" w:type="dxa"/>
                  <w:tcBorders>
                    <w:top w:val="single" w:color="auto" w:sz="6" w:space="0"/>
                    <w:left w:val="nil"/>
                    <w:bottom w:val="single" w:color="auto" w:sz="6" w:space="0"/>
                    <w:right w:val="single" w:color="auto" w:sz="6" w:space="0"/>
                  </w:tcBorders>
                  <w:vAlign w:val="center"/>
                </w:tcPr>
                <w:p w14:paraId="12EABCB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r>
                    <w:rPr>
                      <w:rFonts w:hint="default" w:ascii="Times New Roman" w:hAnsi="Times New Roman" w:eastAsia="宋体" w:cs="Times New Roman"/>
                      <w:color w:val="000000" w:themeColor="text1"/>
                      <w14:textFill>
                        <w14:solidFill>
                          <w14:schemeClr w14:val="tx1"/>
                        </w14:solidFill>
                      </w14:textFill>
                    </w:rPr>
                    <w:t>7</w:t>
                  </w:r>
                </w:p>
              </w:tc>
              <w:tc>
                <w:tcPr>
                  <w:tcW w:w="802" w:type="dxa"/>
                  <w:tcBorders>
                    <w:top w:val="single" w:color="auto" w:sz="6" w:space="0"/>
                    <w:left w:val="nil"/>
                    <w:bottom w:val="single" w:color="auto" w:sz="6" w:space="0"/>
                    <w:right w:val="single" w:color="auto" w:sz="6" w:space="0"/>
                  </w:tcBorders>
                  <w:vAlign w:val="center"/>
                </w:tcPr>
                <w:p w14:paraId="39820C9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r>
                    <w:rPr>
                      <w:rFonts w:hint="default" w:ascii="Times New Roman" w:hAnsi="Times New Roman" w:eastAsia="宋体" w:cs="Times New Roman"/>
                      <w:color w:val="000000" w:themeColor="text1"/>
                      <w14:textFill>
                        <w14:solidFill>
                          <w14:schemeClr w14:val="tx1"/>
                        </w14:solidFill>
                      </w14:textFill>
                    </w:rPr>
                    <w:t>1</w:t>
                  </w:r>
                </w:p>
              </w:tc>
              <w:tc>
                <w:tcPr>
                  <w:tcW w:w="1089" w:type="dxa"/>
                  <w:tcBorders>
                    <w:top w:val="single" w:color="auto" w:sz="6" w:space="0"/>
                    <w:left w:val="nil"/>
                    <w:bottom w:val="single" w:color="auto" w:sz="6" w:space="0"/>
                    <w:right w:val="single" w:color="auto" w:sz="6" w:space="0"/>
                  </w:tcBorders>
                  <w:vAlign w:val="center"/>
                </w:tcPr>
                <w:p w14:paraId="2219BCF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r>
                    <w:rPr>
                      <w:rFonts w:hint="default" w:ascii="Times New Roman" w:hAnsi="Times New Roman" w:eastAsia="宋体" w:cs="Times New Roman"/>
                      <w:color w:val="000000" w:themeColor="text1"/>
                      <w14:textFill>
                        <w14:solidFill>
                          <w14:schemeClr w14:val="tx1"/>
                        </w14:solidFill>
                      </w14:textFill>
                    </w:rPr>
                    <w:t>5</w:t>
                  </w:r>
                </w:p>
              </w:tc>
              <w:tc>
                <w:tcPr>
                  <w:tcW w:w="822" w:type="dxa"/>
                  <w:tcBorders>
                    <w:top w:val="single" w:color="auto" w:sz="6" w:space="0"/>
                    <w:left w:val="nil"/>
                    <w:bottom w:val="single" w:color="auto" w:sz="6" w:space="0"/>
                    <w:right w:val="single" w:color="auto" w:sz="6" w:space="0"/>
                  </w:tcBorders>
                  <w:vAlign w:val="center"/>
                </w:tcPr>
                <w:p w14:paraId="0B4638B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r>
                    <w:rPr>
                      <w:rFonts w:hint="default" w:ascii="Times New Roman" w:hAnsi="Times New Roman" w:eastAsia="宋体" w:cs="Times New Roman"/>
                      <w:color w:val="000000" w:themeColor="text1"/>
                      <w14:textFill>
                        <w14:solidFill>
                          <w14:schemeClr w14:val="tx1"/>
                        </w14:solidFill>
                      </w14:textFill>
                    </w:rPr>
                    <w:t>9</w:t>
                  </w:r>
                </w:p>
              </w:tc>
              <w:tc>
                <w:tcPr>
                  <w:tcW w:w="955" w:type="dxa"/>
                  <w:tcBorders>
                    <w:top w:val="single" w:color="auto" w:sz="6" w:space="0"/>
                    <w:left w:val="nil"/>
                    <w:bottom w:val="single" w:color="auto" w:sz="6" w:space="0"/>
                    <w:right w:val="single" w:color="auto" w:sz="6" w:space="0"/>
                  </w:tcBorders>
                  <w:vAlign w:val="center"/>
                </w:tcPr>
                <w:p w14:paraId="2A83B1B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r>
                    <w:rPr>
                      <w:rFonts w:hint="default" w:ascii="Times New Roman" w:hAnsi="Times New Roman" w:eastAsia="宋体" w:cs="Times New Roman"/>
                      <w:color w:val="000000" w:themeColor="text1"/>
                      <w14:textFill>
                        <w14:solidFill>
                          <w14:schemeClr w14:val="tx1"/>
                        </w14:solidFill>
                      </w14:textFill>
                    </w:rPr>
                    <w:t>3</w:t>
                  </w:r>
                </w:p>
              </w:tc>
              <w:tc>
                <w:tcPr>
                  <w:tcW w:w="1363" w:type="dxa"/>
                  <w:tcBorders>
                    <w:top w:val="single" w:color="auto" w:sz="6" w:space="0"/>
                    <w:left w:val="nil"/>
                    <w:bottom w:val="single" w:color="auto" w:sz="6" w:space="0"/>
                    <w:right w:val="single" w:color="auto" w:sz="6" w:space="0"/>
                  </w:tcBorders>
                  <w:vAlign w:val="center"/>
                </w:tcPr>
                <w:p w14:paraId="647C505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r>
                    <w:rPr>
                      <w:rFonts w:hint="default" w:ascii="Times New Roman" w:hAnsi="Times New Roman" w:eastAsia="宋体" w:cs="Times New Roman"/>
                      <w:color w:val="000000" w:themeColor="text1"/>
                      <w14:textFill>
                        <w14:solidFill>
                          <w14:schemeClr w14:val="tx1"/>
                        </w14:solidFill>
                      </w14:textFill>
                    </w:rPr>
                    <w:t>7</w:t>
                  </w:r>
                </w:p>
              </w:tc>
            </w:tr>
            <w:tr w14:paraId="3274490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360" w:type="dxa"/>
                  <w:tcBorders>
                    <w:top w:val="single" w:color="auto" w:sz="6" w:space="0"/>
                    <w:left w:val="single" w:color="auto" w:sz="6" w:space="0"/>
                    <w:bottom w:val="single" w:color="auto" w:sz="6" w:space="0"/>
                    <w:right w:val="single" w:color="auto" w:sz="6" w:space="0"/>
                  </w:tcBorders>
                  <w:vAlign w:val="center"/>
                </w:tcPr>
                <w:p w14:paraId="70B203E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钢筋切断机</w:t>
                  </w:r>
                </w:p>
              </w:tc>
              <w:tc>
                <w:tcPr>
                  <w:tcW w:w="1016" w:type="dxa"/>
                  <w:tcBorders>
                    <w:top w:val="single" w:color="auto" w:sz="6" w:space="0"/>
                    <w:left w:val="nil"/>
                    <w:bottom w:val="single" w:color="auto" w:sz="6" w:space="0"/>
                    <w:right w:val="single" w:color="auto" w:sz="6" w:space="0"/>
                  </w:tcBorders>
                  <w:vAlign w:val="center"/>
                </w:tcPr>
                <w:p w14:paraId="2512CC9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85</w:t>
                  </w:r>
                </w:p>
              </w:tc>
              <w:tc>
                <w:tcPr>
                  <w:tcW w:w="723" w:type="dxa"/>
                  <w:tcBorders>
                    <w:top w:val="single" w:color="auto" w:sz="6" w:space="0"/>
                    <w:left w:val="nil"/>
                    <w:bottom w:val="single" w:color="auto" w:sz="6" w:space="0"/>
                    <w:right w:val="single" w:color="auto" w:sz="6" w:space="0"/>
                  </w:tcBorders>
                  <w:vAlign w:val="center"/>
                </w:tcPr>
                <w:p w14:paraId="783E642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r>
                    <w:rPr>
                      <w:rFonts w:hint="default" w:ascii="Times New Roman" w:hAnsi="Times New Roman" w:eastAsia="宋体" w:cs="Times New Roman"/>
                      <w:color w:val="000000" w:themeColor="text1"/>
                      <w14:textFill>
                        <w14:solidFill>
                          <w14:schemeClr w14:val="tx1"/>
                        </w14:solidFill>
                      </w14:textFill>
                    </w:rPr>
                    <w:t>7</w:t>
                  </w:r>
                </w:p>
              </w:tc>
              <w:tc>
                <w:tcPr>
                  <w:tcW w:w="802" w:type="dxa"/>
                  <w:tcBorders>
                    <w:top w:val="single" w:color="auto" w:sz="6" w:space="0"/>
                    <w:left w:val="nil"/>
                    <w:bottom w:val="single" w:color="auto" w:sz="6" w:space="0"/>
                    <w:right w:val="single" w:color="auto" w:sz="6" w:space="0"/>
                  </w:tcBorders>
                  <w:vAlign w:val="center"/>
                </w:tcPr>
                <w:p w14:paraId="4B03F77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r>
                    <w:rPr>
                      <w:rFonts w:hint="default" w:ascii="Times New Roman" w:hAnsi="Times New Roman" w:eastAsia="宋体" w:cs="Times New Roman"/>
                      <w:color w:val="000000" w:themeColor="text1"/>
                      <w14:textFill>
                        <w14:solidFill>
                          <w14:schemeClr w14:val="tx1"/>
                        </w14:solidFill>
                      </w14:textFill>
                    </w:rPr>
                    <w:t>1</w:t>
                  </w:r>
                </w:p>
              </w:tc>
              <w:tc>
                <w:tcPr>
                  <w:tcW w:w="1089" w:type="dxa"/>
                  <w:tcBorders>
                    <w:top w:val="single" w:color="auto" w:sz="6" w:space="0"/>
                    <w:left w:val="nil"/>
                    <w:bottom w:val="single" w:color="auto" w:sz="6" w:space="0"/>
                    <w:right w:val="single" w:color="auto" w:sz="6" w:space="0"/>
                  </w:tcBorders>
                  <w:vAlign w:val="center"/>
                </w:tcPr>
                <w:p w14:paraId="6C527C0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r>
                    <w:rPr>
                      <w:rFonts w:hint="default" w:ascii="Times New Roman" w:hAnsi="Times New Roman" w:eastAsia="宋体" w:cs="Times New Roman"/>
                      <w:color w:val="000000" w:themeColor="text1"/>
                      <w14:textFill>
                        <w14:solidFill>
                          <w14:schemeClr w14:val="tx1"/>
                        </w14:solidFill>
                      </w14:textFill>
                    </w:rPr>
                    <w:t>5</w:t>
                  </w:r>
                </w:p>
              </w:tc>
              <w:tc>
                <w:tcPr>
                  <w:tcW w:w="822" w:type="dxa"/>
                  <w:tcBorders>
                    <w:top w:val="single" w:color="auto" w:sz="6" w:space="0"/>
                    <w:left w:val="nil"/>
                    <w:bottom w:val="single" w:color="auto" w:sz="6" w:space="0"/>
                    <w:right w:val="single" w:color="auto" w:sz="6" w:space="0"/>
                  </w:tcBorders>
                  <w:vAlign w:val="center"/>
                </w:tcPr>
                <w:p w14:paraId="08047E7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r>
                    <w:rPr>
                      <w:rFonts w:hint="default" w:ascii="Times New Roman" w:hAnsi="Times New Roman" w:eastAsia="宋体" w:cs="Times New Roman"/>
                      <w:color w:val="000000" w:themeColor="text1"/>
                      <w14:textFill>
                        <w14:solidFill>
                          <w14:schemeClr w14:val="tx1"/>
                        </w14:solidFill>
                      </w14:textFill>
                    </w:rPr>
                    <w:t>9</w:t>
                  </w:r>
                </w:p>
              </w:tc>
              <w:tc>
                <w:tcPr>
                  <w:tcW w:w="955" w:type="dxa"/>
                  <w:tcBorders>
                    <w:top w:val="single" w:color="auto" w:sz="6" w:space="0"/>
                    <w:left w:val="nil"/>
                    <w:bottom w:val="single" w:color="auto" w:sz="6" w:space="0"/>
                    <w:right w:val="single" w:color="auto" w:sz="6" w:space="0"/>
                  </w:tcBorders>
                  <w:vAlign w:val="center"/>
                </w:tcPr>
                <w:p w14:paraId="6AA11E2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r>
                    <w:rPr>
                      <w:rFonts w:hint="default" w:ascii="Times New Roman" w:hAnsi="Times New Roman" w:eastAsia="宋体" w:cs="Times New Roman"/>
                      <w:color w:val="000000" w:themeColor="text1"/>
                      <w14:textFill>
                        <w14:solidFill>
                          <w14:schemeClr w14:val="tx1"/>
                        </w14:solidFill>
                      </w14:textFill>
                    </w:rPr>
                    <w:t>3</w:t>
                  </w:r>
                </w:p>
              </w:tc>
              <w:tc>
                <w:tcPr>
                  <w:tcW w:w="1363" w:type="dxa"/>
                  <w:tcBorders>
                    <w:top w:val="single" w:color="auto" w:sz="6" w:space="0"/>
                    <w:left w:val="nil"/>
                    <w:bottom w:val="single" w:color="auto" w:sz="6" w:space="0"/>
                    <w:right w:val="single" w:color="auto" w:sz="6" w:space="0"/>
                  </w:tcBorders>
                  <w:vAlign w:val="center"/>
                </w:tcPr>
                <w:p w14:paraId="1A239BE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r>
                    <w:rPr>
                      <w:rFonts w:hint="default" w:ascii="Times New Roman" w:hAnsi="Times New Roman" w:eastAsia="宋体" w:cs="Times New Roman"/>
                      <w:color w:val="000000" w:themeColor="text1"/>
                      <w14:textFill>
                        <w14:solidFill>
                          <w14:schemeClr w14:val="tx1"/>
                        </w14:solidFill>
                      </w14:textFill>
                    </w:rPr>
                    <w:t>7</w:t>
                  </w:r>
                </w:p>
              </w:tc>
            </w:tr>
          </w:tbl>
          <w:p w14:paraId="435E392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（3）施工期噪声影响分析</w:t>
            </w:r>
          </w:p>
          <w:p w14:paraId="2B9A804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防洪工程建设施工工作量大，由此而产生的噪声对周围区域环境有一定的影响。设备在安装过程中也会产生噪声，这种影响是短期的、暂时的，而且具有局部性。根据《建筑施工噪声排放标准》（GB12523-2025），不同施工阶段作业噪声限值为：昼间70dB（A），夜间55dB（A）。从上表可知：施工噪声将会使距声源35米范围内的昼间声级满足《建筑施工噪声排放标准》（GB12523-2025）标准。</w:t>
            </w:r>
          </w:p>
          <w:p w14:paraId="0AD5324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本项目施工区域周围500m范围内无噪声敏感点。本项目选用低噪声设备，并定期维护，使其良好运转，运输车辆经过村庄时，低速并禁止鸣笛。采取降以上噪措施后，施工期噪声对周围敏感目标影响可以接受。</w:t>
            </w:r>
          </w:p>
          <w:p w14:paraId="171F8FF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2" w:firstLineChars="200"/>
              <w:jc w:val="both"/>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4施工期水环境影响分析</w:t>
            </w:r>
          </w:p>
          <w:p w14:paraId="2B72F9B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2" w:firstLineChars="200"/>
              <w:jc w:val="both"/>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4.1地表水环境影响分析</w:t>
            </w:r>
          </w:p>
          <w:p w14:paraId="2A29F9A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本项目施工期对水环境的影响主要表现为施工围堰对水环境的影响。</w:t>
            </w:r>
          </w:p>
          <w:p w14:paraId="0500366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2" w:firstLineChars="200"/>
              <w:jc w:val="both"/>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4.1.1施工围堰</w:t>
            </w:r>
          </w:p>
          <w:p w14:paraId="108D2AE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项目施工期设置围堰进行导流，围堰建设会搅动河道中的部分底泥，导致水体悬浮物浓度升高，对水质产生影响，根据其他项目工程资料，搅动底层水体中的悬浮物含量在300~400mg/L，表层水体中悬浮物含量100~180mg/L，悬浮物含量升高将对河水水质影响较为明显，但悬浮物为颗粒态，随着河水流动过程沉降，此影响仅在建设围堰和拆除围堰过程中产生短暂且较小的影响，且随着施工期的结束而消除，这些特性决定影响范围和影响是有限的，围堰建设与拆除对河道水体影响较小。</w:t>
            </w:r>
          </w:p>
          <w:p w14:paraId="10DA6FB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2" w:firstLineChars="200"/>
              <w:jc w:val="both"/>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4.1.2施工废水</w:t>
            </w:r>
          </w:p>
          <w:p w14:paraId="5EB3D57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施工废水主要为施工人员的生活污水，车辆、混凝土拌和系统冲洗废水，基坑排水。</w:t>
            </w:r>
          </w:p>
          <w:p w14:paraId="2AB307B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（1）生活污水</w:t>
            </w:r>
          </w:p>
          <w:p w14:paraId="0EA32FD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根据施工组织设计，施工总工期为97天（2026年9月15日开工，2026年12月22日完工），施工高峰期人员约200人。生活用水定额按30L/人·d计，则生活用水量为6m³/d，施工期总生活用水量约582m³。生活污水产生量按用水量的80%计，约466m³，主要污染物COD350mg/L（约0.163t）、BOD₅200mg/L（约0.093t）、SS250mg/L（约0.116t）、氨氮30mg/L（约0.014t）。经防渗化粪池处理后定期拉运至莎车县污水处理厂，不外排。</w:t>
            </w:r>
          </w:p>
          <w:p w14:paraId="612C9F2D">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（2）车辆、混凝土拌和系统冲洗废水</w:t>
            </w:r>
          </w:p>
          <w:p w14:paraId="77BE6DA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施工车辆主要为挖掘机、渣土运输车，施工过程中对车辆及混凝土拌和系统进行清洗，清洗产生的废水中主要污染物为SS和石油类，污水如不经处理直接排放会造成地表水体的污染。本项目沿线施工场地远离地表水体设置隔油沉淀池，清洗废水经过隔油沉淀池处理，处理后回用于砼拌和养护用水。隔油沉淀池产生的污泥定期清理，采用袋装密封，在取（弃）土场区临时储存，定</w:t>
            </w: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期拉运至莎车县建筑垃圾填埋场，不得随意丢弃。</w:t>
            </w:r>
          </w:p>
          <w:p w14:paraId="1004F0C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（3）</w:t>
            </w: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基坑排水</w:t>
            </w:r>
          </w:p>
          <w:p w14:paraId="5376377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4"/>
                <w:sz w:val="24"/>
                <w:szCs w:val="24"/>
                <w:lang w:val="en-US" w:eastAsia="zh-CN" w:bidi="ar-SA"/>
                <w14:textFill>
                  <w14:solidFill>
                    <w14:schemeClr w14:val="tx1"/>
                  </w14:solidFill>
                </w14:textFill>
              </w:rPr>
              <w:t>本项目下段施工需进行施工排水，共设降水井212眼（含2眼备用井），井间距27m，单井深度20m，单井出水量约100m³/h。基坑排水主要为地下渗水，水质以悬浮物为主（约200~300mg/L），经沉淀后排入河道，对水质影响短暂且有限。</w:t>
            </w:r>
          </w:p>
          <w:p w14:paraId="5B0856D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b w:val="0"/>
                <w:bCs w:val="0"/>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sz w:val="24"/>
                <w:szCs w:val="24"/>
                <w:shd w:val="clear" w:fill="FFFFFF"/>
                <w14:textFill>
                  <w14:solidFill>
                    <w14:schemeClr w14:val="tx1"/>
                  </w14:solidFill>
                </w14:textFill>
              </w:rPr>
              <w:t>在严格落实废水防治措施的前提下，项目施工期产生的废水基本不对周边地表水体产生明显不利影响。</w:t>
            </w:r>
          </w:p>
          <w:p w14:paraId="69D867F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2" w:firstLineChars="200"/>
              <w:jc w:val="both"/>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4.2地下水</w:t>
            </w:r>
          </w:p>
          <w:p w14:paraId="1AC014B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项目施工废水不可避免存在少量废水下渗，由于施工废水污染轻，主要为悬浮物和石油类。少量废水在下渗过程中通过土壤对污染物的阻隔、吸收和降解作用，污染物浓度会进一步降低。即使有少量废水渗入地下水后对区域地下水的水质影响也很微弱，不会改变区域地下水的现状使用功能。项目施工期建设单位通过加强管理，对地下水环境的影响较小。</w:t>
            </w:r>
          </w:p>
          <w:p w14:paraId="6CB0E36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2" w:firstLineChars="200"/>
              <w:jc w:val="both"/>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5固体废物影响分析</w:t>
            </w:r>
          </w:p>
          <w:p w14:paraId="72274DA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本项目固体废物主要来源于生活垃圾和施工开挖产生的弃渣、施工废料及施工建筑垃圾。</w:t>
            </w:r>
          </w:p>
          <w:p w14:paraId="5EBF328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（1）生活垃圾</w:t>
            </w:r>
          </w:p>
          <w:p w14:paraId="2F46014D">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拟建项目施工人员可达200人，生活垃圾按0.5kg·人计算，生活垃圾产生量约100kg/d，施工期为97d计，则施工期生活垃圾产生量为9.7t，项目生活区设多个垃圾箱进行垃圾收集，定期拉运至莎车县垃圾填埋场进行卫生填埋。</w:t>
            </w:r>
          </w:p>
          <w:p w14:paraId="63358DF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（2）施工建筑垃圾</w:t>
            </w:r>
          </w:p>
          <w:p w14:paraId="1072E8F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施工结束后拆除工程产生的建筑垃圾主要包括石料、砂、水泥包装袋、钢材、塑料等，均按照《固体废物分类与代码目录（2024年版）》（生态环境部公告2024年第4号）进行分类和代码识别：</w:t>
            </w:r>
          </w:p>
          <w:p w14:paraId="6836287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水泥包装袋产生量约1.5吨，废物种类为“工业固体废物”，废物代码为SW59（其他工业固体废物），代码900-099-S59，集中收集莎车县建筑垃圾填埋场处置。</w:t>
            </w:r>
          </w:p>
          <w:p w14:paraId="2CC2426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临时道路路面（泥结碎石）产生量约1.2万立方米，属于“建筑垃圾”，代码SW72（工程施工过程中产生的弃土、弃料及其他固体废物，代码900-001-S72），用于取弃土场区场地平整及低洼处回填，不外排。</w:t>
            </w:r>
          </w:p>
          <w:p w14:paraId="14C9602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混凝土构件（沉淀池、化粪池、降水井井管等）产生量约30立方米，属于“建筑垃圾”，代码SW72（混凝土类，代码900-001-S72），运至莎车县建筑垃圾填埋场处置。</w:t>
            </w:r>
          </w:p>
          <w:p w14:paraId="79D33E1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彩板房、钢材等可回收物产生量约5吨，属于“可再生废弃物”，代码SW62（废钢铁，代码900-001-S62；废有色金属，代码900-002-S62；废塑料，代码900-003-S62）。处置去向：分类拆解后由回收公司回收利用。</w:t>
            </w:r>
          </w:p>
          <w:p w14:paraId="435B536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上述各类固体废物均应建立管理台账，记录产生量、处置去向、运输单位等信息，台账保存不少于5年</w:t>
            </w:r>
          </w:p>
          <w:p w14:paraId="7612525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（3）工程弃渣</w:t>
            </w:r>
          </w:p>
          <w:p w14:paraId="69FA5DF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根据土石方平衡表，本项目挖方总量70.18万m³（其中一般土方开挖62.18万m³，表层清废8.00万m³）。一般开挖土方全部被利用（62.18万m³），主要用于护脚后土方压盖回填（45.69万m³）及堤身填筑（16.49万m³）。填筑不足部分外借土石方15.40万m³（土方5.48万m³取自右岸T1土料场，石方9.92万m³购自莎车鑫鑫砂石料场）。清废产生的8.00万m³弃土运至取（弃）土场回填，无其他弃方，土石方综合利用率达88.6%。施工结束后对取（弃）土场进行平整和生态恢复，不另设弃渣场。</w:t>
            </w:r>
          </w:p>
          <w:p w14:paraId="74DCBC2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2" w:firstLineChars="200"/>
              <w:jc w:val="both"/>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6、环境风险分析</w:t>
            </w:r>
          </w:p>
          <w:p w14:paraId="5D26E6F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（1）环境风险识别</w:t>
            </w:r>
          </w:p>
          <w:p w14:paraId="6B5B691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施工期主要涉及风险物质为柴油发电机所使用的柴油。施工期间柴油即买即用，施工场内不储存。施工期发电机使用过程中可能发生的油品泄漏，油品泄漏极易污染区域水体及土壤。另外，管理疏忽、操作违反规程或失误等原因引起跑、冒、滴、漏等事故的可能性较大，将会对施工区域造成油污染。</w:t>
            </w:r>
          </w:p>
          <w:p w14:paraId="5766F38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（2）环境风险潜势初判及评价等级划分</w:t>
            </w:r>
          </w:p>
          <w:p w14:paraId="2BF6353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根据《建设项目环境风险评价技术导则》（HJ169-2018）附录C的规定：</w:t>
            </w:r>
          </w:p>
          <w:p w14:paraId="1E24C29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1）当厂界内只涉及一种危险物质时，计算该物质的总量与其临界量比值，即为Q；</w:t>
            </w:r>
          </w:p>
          <w:p w14:paraId="1A34377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2）当厂界内存在多种危险物质时，则按式（C.1）计算物质总量与其临界量比值（Q）：</w:t>
            </w:r>
          </w:p>
          <w:p w14:paraId="4ED52F0C">
            <w:pPr>
              <w:spacing w:line="292" w:lineRule="auto"/>
              <w:jc w:val="both"/>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p>
          <w:p w14:paraId="2C6BEAC9">
            <w:pPr>
              <w:spacing w:line="526" w:lineRule="exact"/>
              <w:ind w:left="1307"/>
              <w:jc w:val="both"/>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drawing>
                <wp:inline distT="0" distB="0" distL="0" distR="0">
                  <wp:extent cx="2553335" cy="334010"/>
                  <wp:effectExtent l="0" t="0" r="18415" b="889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25"/>
                          <a:stretch>
                            <a:fillRect/>
                          </a:stretch>
                        </pic:blipFill>
                        <pic:spPr>
                          <a:xfrm>
                            <a:off x="0" y="0"/>
                            <a:ext cx="2553461" cy="334281"/>
                          </a:xfrm>
                          <a:prstGeom prst="rect">
                            <a:avLst/>
                          </a:prstGeom>
                        </pic:spPr>
                      </pic:pic>
                    </a:graphicData>
                  </a:graphic>
                </wp:inline>
              </w:drawing>
            </w:r>
          </w:p>
          <w:p w14:paraId="325596C5">
            <w:pPr>
              <w:pStyle w:val="149"/>
              <w:spacing w:before="285" w:line="212" w:lineRule="auto"/>
              <w:ind w:left="593"/>
              <w:jc w:val="both"/>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式中，q1，q2，qn—每种危险物质的最大存在总量，吨；</w:t>
            </w:r>
          </w:p>
          <w:p w14:paraId="3A97AD0B">
            <w:pPr>
              <w:pStyle w:val="149"/>
              <w:spacing w:before="192" w:line="210" w:lineRule="auto"/>
              <w:ind w:left="587"/>
              <w:jc w:val="both"/>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Q1，Q2，Qn——每种危险物质的临界量，吨。</w:t>
            </w:r>
          </w:p>
          <w:p w14:paraId="704ED898">
            <w:pPr>
              <w:pStyle w:val="149"/>
              <w:spacing w:before="193" w:line="210" w:lineRule="auto"/>
              <w:ind w:left="603"/>
              <w:jc w:val="both"/>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当Q＜1时，该项目环境风险潜势为Ⅰ。</w:t>
            </w:r>
          </w:p>
          <w:p w14:paraId="35F524F6">
            <w:pPr>
              <w:pStyle w:val="149"/>
              <w:spacing w:before="192" w:line="212" w:lineRule="auto"/>
              <w:ind w:left="603"/>
              <w:jc w:val="both"/>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当Q≥1时，将Q值划分为：①1≤Q＜10；②10≤Q＜100；③Q≥100。</w:t>
            </w:r>
          </w:p>
          <w:p w14:paraId="4E300639">
            <w:pPr>
              <w:pStyle w:val="149"/>
              <w:spacing w:before="191" w:line="360" w:lineRule="auto"/>
              <w:ind w:left="107" w:right="102" w:firstLine="480"/>
              <w:jc w:val="both"/>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根据《建设项目环境风险评价技术导则》（HJ169-2018）附录B中B.1突发环境事件风险物质及临界量表进行危险辨识，本项目风险物质为柴油，现场柴油存储量主要为柴油发电机油箱存储，项目区自备3台柴油发电机，每台存储量为0.04t，最大存储量为0.12t。本项目涉及的突发环境事件风险物质与其临界量情况见下表所示：</w:t>
            </w:r>
          </w:p>
          <w:p w14:paraId="1B28F10F">
            <w:pPr>
              <w:jc w:val="center"/>
              <w:rPr>
                <w:rFonts w:hint="default" w:ascii="Times New Roman" w:hAnsi="Times New Roman" w:eastAsia="宋体" w:cs="Times New Roman"/>
                <w:b/>
                <w:color w:val="000000" w:themeColor="text1"/>
                <w:szCs w:val="21"/>
                <w14:textFill>
                  <w14:solidFill>
                    <w14:schemeClr w14:val="tx1"/>
                  </w14:solidFill>
                </w14:textFill>
              </w:rPr>
            </w:pPr>
            <w:r>
              <w:rPr>
                <w:rFonts w:hint="default" w:ascii="Times New Roman" w:hAnsi="Times New Roman" w:eastAsia="宋体" w:cs="Times New Roman"/>
                <w:b/>
                <w:color w:val="000000" w:themeColor="text1"/>
                <w:szCs w:val="21"/>
                <w14:textFill>
                  <w14:solidFill>
                    <w14:schemeClr w14:val="tx1"/>
                  </w14:solidFill>
                </w14:textFill>
              </w:rPr>
              <w:t>表</w:t>
            </w:r>
            <w:r>
              <w:rPr>
                <w:rFonts w:hint="default" w:ascii="Times New Roman" w:hAnsi="Times New Roman" w:eastAsia="宋体" w:cs="Times New Roman"/>
                <w:b/>
                <w:color w:val="000000" w:themeColor="text1"/>
                <w:szCs w:val="21"/>
                <w:lang w:val="en-US" w:eastAsia="zh-CN"/>
                <w14:textFill>
                  <w14:solidFill>
                    <w14:schemeClr w14:val="tx1"/>
                  </w14:solidFill>
                </w14:textFill>
              </w:rPr>
              <w:t>4-4</w:t>
            </w:r>
            <w:r>
              <w:rPr>
                <w:rFonts w:hint="default" w:ascii="Times New Roman" w:hAnsi="Times New Roman" w:eastAsia="宋体" w:cs="Times New Roman"/>
                <w:b/>
                <w:color w:val="000000" w:themeColor="text1"/>
                <w:szCs w:val="21"/>
                <w14:textFill>
                  <w14:solidFill>
                    <w14:schemeClr w14:val="tx1"/>
                  </w14:solidFill>
                </w14:textFill>
              </w:rPr>
              <w:t>建设项目Q值确定表</w:t>
            </w:r>
          </w:p>
          <w:tbl>
            <w:tblPr>
              <w:tblStyle w:val="3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062"/>
              <w:gridCol w:w="1601"/>
              <w:gridCol w:w="1663"/>
              <w:gridCol w:w="2812"/>
            </w:tblGrid>
            <w:tr w14:paraId="74650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6" w:hRule="atLeast"/>
              </w:trPr>
              <w:tc>
                <w:tcPr>
                  <w:tcW w:w="1267" w:type="pct"/>
                  <w:tcBorders>
                    <w:tl2br w:val="nil"/>
                    <w:tr2bl w:val="nil"/>
                  </w:tcBorders>
                  <w:noWrap w:val="0"/>
                  <w:vAlign w:val="center"/>
                </w:tcPr>
                <w:p w14:paraId="3AF65F4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风险物质</w:t>
                  </w:r>
                </w:p>
              </w:tc>
              <w:tc>
                <w:tcPr>
                  <w:tcW w:w="983" w:type="pct"/>
                  <w:tcBorders>
                    <w:tl2br w:val="nil"/>
                    <w:tr2bl w:val="nil"/>
                  </w:tcBorders>
                  <w:noWrap w:val="0"/>
                  <w:vAlign w:val="center"/>
                </w:tcPr>
                <w:p w14:paraId="490C1EF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最大存储量（t）</w:t>
                  </w:r>
                </w:p>
              </w:tc>
              <w:tc>
                <w:tcPr>
                  <w:tcW w:w="1021" w:type="pct"/>
                  <w:tcBorders>
                    <w:tl2br w:val="nil"/>
                    <w:tr2bl w:val="nil"/>
                  </w:tcBorders>
                  <w:noWrap w:val="0"/>
                  <w:vAlign w:val="center"/>
                </w:tcPr>
                <w:p w14:paraId="3A78191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临界量（t）</w:t>
                  </w:r>
                </w:p>
              </w:tc>
              <w:tc>
                <w:tcPr>
                  <w:tcW w:w="1727" w:type="pct"/>
                  <w:tcBorders>
                    <w:tl2br w:val="nil"/>
                    <w:tr2bl w:val="nil"/>
                  </w:tcBorders>
                  <w:noWrap w:val="0"/>
                  <w:vAlign w:val="center"/>
                </w:tcPr>
                <w:p w14:paraId="1075E35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最大存在量与临界量比值Q</w:t>
                  </w:r>
                </w:p>
              </w:tc>
            </w:tr>
            <w:tr w14:paraId="6742F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0" w:hRule="atLeast"/>
              </w:trPr>
              <w:tc>
                <w:tcPr>
                  <w:tcW w:w="2044" w:type="dxa"/>
                  <w:tcBorders>
                    <w:tl2br w:val="nil"/>
                    <w:tr2bl w:val="nil"/>
                  </w:tcBorders>
                  <w:noWrap w:val="0"/>
                  <w:vAlign w:val="center"/>
                </w:tcPr>
                <w:p w14:paraId="53E77B8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柴油</w:t>
                  </w:r>
                </w:p>
              </w:tc>
              <w:tc>
                <w:tcPr>
                  <w:tcW w:w="1587" w:type="dxa"/>
                  <w:tcBorders>
                    <w:tl2br w:val="nil"/>
                    <w:tr2bl w:val="nil"/>
                  </w:tcBorders>
                  <w:noWrap w:val="0"/>
                  <w:vAlign w:val="center"/>
                </w:tcPr>
                <w:p w14:paraId="4E2A419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0.12</w:t>
                  </w:r>
                </w:p>
              </w:tc>
              <w:tc>
                <w:tcPr>
                  <w:tcW w:w="1648" w:type="dxa"/>
                  <w:tcBorders>
                    <w:tl2br w:val="nil"/>
                    <w:tr2bl w:val="nil"/>
                  </w:tcBorders>
                  <w:noWrap w:val="0"/>
                  <w:vAlign w:val="center"/>
                </w:tcPr>
                <w:p w14:paraId="01C3032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2500</w:t>
                  </w:r>
                </w:p>
              </w:tc>
              <w:tc>
                <w:tcPr>
                  <w:tcW w:w="2787" w:type="dxa"/>
                  <w:tcBorders>
                    <w:tl2br w:val="nil"/>
                    <w:tr2bl w:val="nil"/>
                  </w:tcBorders>
                  <w:noWrap w:val="0"/>
                  <w:vAlign w:val="center"/>
                </w:tcPr>
                <w:p w14:paraId="0D6E6BD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0.000048</w:t>
                  </w:r>
                </w:p>
              </w:tc>
            </w:tr>
            <w:tr w14:paraId="28699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0" w:hRule="atLeast"/>
              </w:trPr>
              <w:tc>
                <w:tcPr>
                  <w:tcW w:w="3272" w:type="pct"/>
                  <w:gridSpan w:val="3"/>
                  <w:tcBorders>
                    <w:tl2br w:val="nil"/>
                    <w:tr2bl w:val="nil"/>
                  </w:tcBorders>
                  <w:noWrap w:val="0"/>
                  <w:vAlign w:val="center"/>
                </w:tcPr>
                <w:p w14:paraId="2B9C14C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合计</w:t>
                  </w:r>
                </w:p>
              </w:tc>
              <w:tc>
                <w:tcPr>
                  <w:tcW w:w="1727" w:type="pct"/>
                  <w:tcBorders>
                    <w:tl2br w:val="nil"/>
                    <w:tr2bl w:val="nil"/>
                  </w:tcBorders>
                  <w:noWrap w:val="0"/>
                  <w:vAlign w:val="center"/>
                </w:tcPr>
                <w:p w14:paraId="0540C0B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0.000048</w:t>
                  </w:r>
                </w:p>
              </w:tc>
            </w:tr>
          </w:tbl>
          <w:p w14:paraId="60A6F75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经计算，本项目的Q值为0.000048＜1，则本项目风险潜势为Ⅰ。依据（HJ169-2018）评价工作等级划分要求，确定本项目施工期环境风险仅进行简单分析。</w:t>
            </w:r>
          </w:p>
          <w:p w14:paraId="14A2B07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（3）环境风险分析</w:t>
            </w:r>
          </w:p>
          <w:p w14:paraId="5B53C2B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①对地表水环境的影响</w:t>
            </w:r>
          </w:p>
          <w:p w14:paraId="4CE51DD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油品进入水体后，由于石油类难溶于水，且密度比水小，溢出油会浮于水面上形成油膜，首先造成对河流的景观破坏，产生严重的刺鼻气味；其次油膜使空气与水隔离，造成水中溶解氧浓度降低，逐渐形成死水，致使水中生物死亡；再次，燃料油的主要成分是C4~C9的烃类、芳烃类、醇酮类以及卤代烃类有机物，一旦进入水环境，由于可生化性差，可能造成被污染水体长时间得不到净化，造成水体污染。</w:t>
            </w:r>
          </w:p>
          <w:p w14:paraId="37D9F23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②对地下水及土壤的影响</w:t>
            </w:r>
          </w:p>
          <w:p w14:paraId="0F3DD38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本工程施工期内不设置大型机械维修厂，施工机械和车辆的大修依托阿扎特巴格镇及莎车县城的专业修理厂，现场仅进行日常检查、加注油料、更换易损件等简单保养。现场保养场所设置于施工生产生活区内的机械停放场，地面进行碎石硬化，并设置防渗托盘或铺设防渗布。跑冒滴漏对土壤环境的风险主要来源：机械停放区地面的油污渗漏、加油过程中的滴洒、液压系统老化导致的渗漏等。长期跑冒滴漏可能导致土壤中石油烃类物质累积，破坏土壤结构，影响植物生长，并可能随雨水下渗污染浅层地下水。</w:t>
            </w:r>
          </w:p>
          <w:p w14:paraId="776B791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（3）环境风险防范措施</w:t>
            </w:r>
          </w:p>
          <w:p w14:paraId="7B85B08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①工程施工过程中，应监督施工单位，使用专用的施工机械，禁止使用改造机械，按规章制度和施工程序进行施工，严禁超载、超速。</w:t>
            </w:r>
          </w:p>
          <w:p w14:paraId="69D3EB4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②施工工区应设置事故漏油等情况应急设备及相关设施，如吸油毡等吸油材料，事故发生施工人员迅速反应及时进行回收漏油作业，控制泄漏区域。</w:t>
            </w:r>
          </w:p>
          <w:p w14:paraId="14508BB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③若发生较大量漏油时，应立即停止设备运转，切断电源，对泄漏部位进行封堵，整理现场，使用吸油毡等吸附泄漏物，并及时就地将污染的土壤、吸油毡等收集于专用桶容器内，送至有资质的单位进行处置。</w:t>
            </w:r>
          </w:p>
          <w:p w14:paraId="73B3E37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④加强各施工场地的巡查工作，定期对使用柴油机械及设备进行检查。</w:t>
            </w:r>
          </w:p>
        </w:tc>
      </w:tr>
      <w:tr w14:paraId="177A1B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872" w:type="dxa"/>
            <w:tcMar>
              <w:left w:w="28" w:type="dxa"/>
              <w:right w:w="28" w:type="dxa"/>
            </w:tcMar>
            <w:vAlign w:val="center"/>
          </w:tcPr>
          <w:p w14:paraId="50FF6CF2">
            <w:pPr>
              <w:pStyle w:val="29"/>
              <w:adjustRightInd w:val="0"/>
              <w:snapToGrid w:val="0"/>
              <w:spacing w:before="0" w:beforeAutospacing="0" w:after="0" w:afterAutospacing="0"/>
              <w:jc w:val="center"/>
              <w:rPr>
                <w:rFonts w:hint="default" w:ascii="Times New Roman" w:hAnsi="Times New Roman" w:eastAsia="宋体" w:cs="Times New Roman"/>
                <w:bCs/>
                <w:color w:val="000000" w:themeColor="text1"/>
                <w:kern w:val="2"/>
                <w:sz w:val="21"/>
                <w:szCs w:val="21"/>
                <w14:textFill>
                  <w14:solidFill>
                    <w14:schemeClr w14:val="tx1"/>
                  </w14:solidFill>
                </w14:textFill>
              </w:rPr>
            </w:pPr>
            <w:r>
              <w:rPr>
                <w:rFonts w:hint="default" w:ascii="Times New Roman" w:hAnsi="Times New Roman" w:eastAsia="宋体" w:cs="Times New Roman"/>
                <w:bCs/>
                <w:color w:val="000000" w:themeColor="text1"/>
                <w:spacing w:val="10"/>
                <w:kern w:val="2"/>
                <w:sz w:val="21"/>
                <w:szCs w:val="21"/>
                <w14:textFill>
                  <w14:solidFill>
                    <w14:schemeClr w14:val="tx1"/>
                  </w14:solidFill>
                </w14:textFill>
              </w:rPr>
              <w:t>运营期生态环境影响分析</w:t>
            </w:r>
          </w:p>
        </w:tc>
        <w:tc>
          <w:tcPr>
            <w:tcW w:w="8370" w:type="dxa"/>
          </w:tcPr>
          <w:p w14:paraId="4C647F2C">
            <w:pPr>
              <w:pStyle w:val="149"/>
              <w:spacing w:before="40" w:line="359" w:lineRule="auto"/>
              <w:ind w:left="108" w:right="102" w:firstLine="480"/>
              <w:jc w:val="both"/>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本项目为防洪工程，属于生态类项目，项目运营期间不新增劳动定员，项目运营期无废气、废水、噪声和固废污染物产生，对环境的影响主要体现在正面、有利的生态方面，对周围环境影响很小。</w:t>
            </w:r>
          </w:p>
          <w:p w14:paraId="2E5F7852">
            <w:pPr>
              <w:pStyle w:val="149"/>
              <w:keepNext w:val="0"/>
              <w:keepLines w:val="0"/>
              <w:pageBreakBefore w:val="0"/>
              <w:kinsoku/>
              <w:wordWrap/>
              <w:overflowPunct/>
              <w:topLinePunct w:val="0"/>
              <w:autoSpaceDE/>
              <w:autoSpaceDN/>
              <w:bidi w:val="0"/>
              <w:adjustRightInd/>
              <w:snapToGrid/>
              <w:spacing w:line="360" w:lineRule="auto"/>
              <w:ind w:left="0" w:right="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1对水文情势影响分析</w:t>
            </w:r>
          </w:p>
          <w:p w14:paraId="42BAE05F">
            <w:pPr>
              <w:pStyle w:val="149"/>
              <w:keepNext w:val="0"/>
              <w:keepLines w:val="0"/>
              <w:pageBreakBefore w:val="0"/>
              <w:kinsoku/>
              <w:wordWrap/>
              <w:overflowPunct/>
              <w:topLinePunct w:val="0"/>
              <w:autoSpaceDE/>
              <w:autoSpaceDN/>
              <w:bidi w:val="0"/>
              <w:adjustRightInd/>
              <w:snapToGrid/>
              <w:spacing w:line="360" w:lineRule="auto"/>
              <w:ind w:left="0" w:right="0" w:firstLine="483"/>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工程运营期无“三废”等污染物排放。不会对地表水和河水造成污染。此外，本工程采取了</w:t>
            </w:r>
            <w:r>
              <w:rPr>
                <w:rFonts w:hint="default" w:ascii="Times New Roman" w:hAnsi="Times New Roman" w:eastAsia="宋体" w:cs="Times New Roman"/>
                <w:i w:val="0"/>
                <w:iCs w:val="0"/>
                <w:caps w:val="0"/>
                <w:color w:val="000000" w:themeColor="text1"/>
                <w:spacing w:val="0"/>
                <w:kern w:val="2"/>
                <w:sz w:val="24"/>
                <w:szCs w:val="24"/>
                <w:shd w:val="clear" w:fill="FFFFFF"/>
                <w:lang w:val="en-US" w:eastAsia="zh-CN" w:bidi="ar-SA"/>
                <w14:textFill>
                  <w14:solidFill>
                    <w14:schemeClr w14:val="tx1"/>
                  </w14:solidFill>
                </w14:textFill>
              </w:rPr>
              <w:t>预制</w:t>
            </w: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砼板防渗，可以大大减缓、阻止河水对河堤的冲刷、侵蚀作用，不但减少了水中的泥沙，还会降低可溶盐及有机物的含量，不会对该河段水位、流量等水文情势产生明显影响。</w:t>
            </w:r>
          </w:p>
          <w:p w14:paraId="5611D532">
            <w:pPr>
              <w:pStyle w:val="149"/>
              <w:keepNext w:val="0"/>
              <w:keepLines w:val="0"/>
              <w:pageBreakBefore w:val="0"/>
              <w:kinsoku/>
              <w:wordWrap/>
              <w:overflowPunct/>
              <w:topLinePunct w:val="0"/>
              <w:autoSpaceDE/>
              <w:autoSpaceDN/>
              <w:bidi w:val="0"/>
              <w:adjustRightInd/>
              <w:snapToGrid/>
              <w:spacing w:line="360" w:lineRule="auto"/>
              <w:ind w:left="0" w:right="0" w:firstLine="492"/>
              <w:jc w:val="both"/>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随着本项目的完工，可防止洪水淹没农田及冲刷河岸造成塌方、毁坏林田、冲毁房屋，同时提高了叶尔羌河防洪标准，确保右岸农牧业生产防洪安全，为</w:t>
            </w:r>
            <w:r>
              <w:rPr>
                <w:rFonts w:hint="default" w:ascii="Times New Roman" w:hAnsi="Times New Roman" w:eastAsia="宋体" w:cs="Times New Roman"/>
                <w:color w:val="000000" w:themeColor="text1"/>
                <w:sz w:val="24"/>
                <w:lang w:val="en-US" w:eastAsia="zh-CN"/>
                <w14:textFill>
                  <w14:solidFill>
                    <w14:schemeClr w14:val="tx1"/>
                  </w14:solidFill>
                </w14:textFill>
              </w:rPr>
              <w:t>莎车县阿扎特巴格镇和麦盖提县尕孜库勒乡</w:t>
            </w: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社会经济发展提供更有力的保障；项目建成后，可有效减少对河道两岸的冲刷、河岸的剥蚀，区域水土流失情况亦可得到缓解。</w:t>
            </w:r>
          </w:p>
          <w:p w14:paraId="31FABC54">
            <w:pPr>
              <w:pStyle w:val="149"/>
              <w:keepNext w:val="0"/>
              <w:keepLines w:val="0"/>
              <w:pageBreakBefore w:val="0"/>
              <w:kinsoku/>
              <w:wordWrap/>
              <w:overflowPunct/>
              <w:topLinePunct w:val="0"/>
              <w:autoSpaceDE/>
              <w:autoSpaceDN/>
              <w:bidi w:val="0"/>
              <w:adjustRightInd/>
              <w:snapToGrid/>
              <w:spacing w:line="360" w:lineRule="auto"/>
              <w:ind w:left="0" w:right="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2对生态环境的影响分析</w:t>
            </w:r>
          </w:p>
          <w:p w14:paraId="37B2A2B5">
            <w:pPr>
              <w:pStyle w:val="149"/>
              <w:keepNext w:val="0"/>
              <w:keepLines w:val="0"/>
              <w:pageBreakBefore w:val="0"/>
              <w:kinsoku/>
              <w:wordWrap/>
              <w:overflowPunct/>
              <w:topLinePunct w:val="0"/>
              <w:autoSpaceDE/>
              <w:autoSpaceDN/>
              <w:bidi w:val="0"/>
              <w:adjustRightInd/>
              <w:snapToGrid/>
              <w:spacing w:line="360" w:lineRule="auto"/>
              <w:ind w:left="0" w:right="0"/>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（1）水生生物影响分析</w:t>
            </w:r>
          </w:p>
          <w:p w14:paraId="3F425F0F">
            <w:pPr>
              <w:pStyle w:val="149"/>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本项目为防洪治理工程，防洪工程改变了原有河道岸坎形式，项目运行过程中未阻断河道，流速变化程度不大，径流特性变化不明显，项目运行对河道内水生生物影响不大。</w:t>
            </w:r>
          </w:p>
          <w:p w14:paraId="488BAAC0">
            <w:pPr>
              <w:pStyle w:val="149"/>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（2）对植物影响分析</w:t>
            </w:r>
          </w:p>
          <w:p w14:paraId="676C5982">
            <w:pPr>
              <w:pStyle w:val="149"/>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实施过程中会使右岸原有植被遭到局部损失，但不会使评价区植物群落的种类组成发生变化，也不会造成某一植物种的消失，并且待施工结束后，将对施工场地进行土地平整，通过采取一定的播撒草籽措施与后期养护后，工程两岸植被覆盖度将有所提高。</w:t>
            </w:r>
          </w:p>
          <w:p w14:paraId="3FA04A61">
            <w:pPr>
              <w:pStyle w:val="149"/>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（3）对土壤影响分析</w:t>
            </w:r>
          </w:p>
          <w:p w14:paraId="50C57BFD">
            <w:pPr>
              <w:pStyle w:val="149"/>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t>本项目为防洪护岸工程，不具备蓄水功能，运营期基本不会改变区域地下水位，无明显土壤盐渍化影响。</w:t>
            </w:r>
          </w:p>
          <w:p w14:paraId="6062EEDC">
            <w:pPr>
              <w:pStyle w:val="149"/>
              <w:keepNext w:val="0"/>
              <w:keepLines w:val="0"/>
              <w:pageBreakBefore w:val="0"/>
              <w:kinsoku/>
              <w:wordWrap/>
              <w:overflowPunct/>
              <w:topLinePunct w:val="0"/>
              <w:autoSpaceDE/>
              <w:autoSpaceDN/>
              <w:bidi w:val="0"/>
              <w:adjustRightInd/>
              <w:snapToGrid/>
              <w:spacing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3社会环境影响分析</w:t>
            </w:r>
          </w:p>
          <w:p w14:paraId="207679CB">
            <w:pPr>
              <w:pStyle w:val="116"/>
              <w:keepNext w:val="0"/>
              <w:keepLines w:val="0"/>
              <w:pageBreakBefore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spacing w:val="-2"/>
                <w:lang w:val="en-US" w:eastAsia="zh-CN"/>
                <w14:textFill>
                  <w14:solidFill>
                    <w14:schemeClr w14:val="tx1"/>
                  </w14:solidFill>
                </w14:textFill>
              </w:rPr>
              <w:t>本项目的实施可有效提高防洪能力，保护河道右岸居民、农田、林地及草地；减轻叶尔羌河流域自然径流对河道两岸的冲刷、河岸的剥蚀；改善区域生态环境，减少水土流失；减少和避免洪灾造成的损失，保障人民生命财产安全，</w:t>
            </w:r>
            <w:r>
              <w:rPr>
                <w:rFonts w:hint="default" w:ascii="Times New Roman" w:hAnsi="Times New Roman" w:eastAsia="宋体" w:cs="Times New Roman"/>
                <w:color w:val="000000" w:themeColor="text1"/>
                <w:spacing w:val="-2"/>
                <w14:textFill>
                  <w14:solidFill>
                    <w14:schemeClr w14:val="tx1"/>
                  </w14:solidFill>
                </w14:textFill>
              </w:rPr>
              <w:t>建设人与自然和谐的综合防洪减灾体系，为社会经济发展提供更有力的保障。</w:t>
            </w:r>
          </w:p>
        </w:tc>
      </w:tr>
      <w:tr w14:paraId="4A6A98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31" w:hRule="atLeast"/>
          <w:jc w:val="center"/>
        </w:trPr>
        <w:tc>
          <w:tcPr>
            <w:tcW w:w="872" w:type="dxa"/>
            <w:vAlign w:val="center"/>
          </w:tcPr>
          <w:p w14:paraId="0A3623E8">
            <w:pPr>
              <w:pStyle w:val="29"/>
              <w:adjustRightInd w:val="0"/>
              <w:snapToGrid w:val="0"/>
              <w:spacing w:before="0" w:beforeAutospacing="0" w:after="0" w:afterAutospacing="0"/>
              <w:jc w:val="center"/>
              <w:rPr>
                <w:rFonts w:hint="default" w:ascii="Times New Roman" w:hAnsi="Times New Roman" w:eastAsia="宋体" w:cs="Times New Roman"/>
                <w:bCs/>
                <w:color w:val="000000" w:themeColor="text1"/>
                <w:kern w:val="2"/>
                <w:sz w:val="21"/>
                <w:szCs w:val="21"/>
                <w14:textFill>
                  <w14:solidFill>
                    <w14:schemeClr w14:val="tx1"/>
                  </w14:solidFill>
                </w14:textFill>
              </w:rPr>
            </w:pPr>
            <w:r>
              <w:rPr>
                <w:rFonts w:hint="default" w:ascii="Times New Roman" w:hAnsi="Times New Roman" w:eastAsia="宋体" w:cs="Times New Roman"/>
                <w:bCs/>
                <w:color w:val="000000" w:themeColor="text1"/>
                <w:kern w:val="2"/>
                <w:sz w:val="21"/>
                <w:szCs w:val="21"/>
                <w14:textFill>
                  <w14:solidFill>
                    <w14:schemeClr w14:val="tx1"/>
                  </w14:solidFill>
                </w14:textFill>
              </w:rPr>
              <w:t>选址选线环境合理性分析</w:t>
            </w:r>
          </w:p>
        </w:tc>
        <w:tc>
          <w:tcPr>
            <w:tcW w:w="8370" w:type="dxa"/>
          </w:tcPr>
          <w:p w14:paraId="482139F4">
            <w:pPr>
              <w:pStyle w:val="149"/>
              <w:keepNext w:val="0"/>
              <w:keepLines w:val="0"/>
              <w:pageBreakBefore w:val="0"/>
              <w:kinsoku/>
              <w:wordWrap/>
              <w:overflowPunct/>
              <w:topLinePunct w:val="0"/>
              <w:autoSpaceDE/>
              <w:autoSpaceDN/>
              <w:bidi w:val="0"/>
              <w:adjustRightInd/>
              <w:snapToGrid/>
              <w:spacing w:line="360" w:lineRule="auto"/>
              <w:ind w:left="0" w:right="0" w:firstLine="482"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1防洪规划要求</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w:t>
            </w:r>
          </w:p>
          <w:p w14:paraId="686A16AA">
            <w:pPr>
              <w:pStyle w:val="149"/>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本工程已纳入《塔里木河流域近期综合治理规划报告》（国务院批复），是规划确定的叶尔羌河重点治理河段。护岸轴线与一期工程末端平顺衔接，形成完整防洪体系，满足规划确定的10年一遇防洪标准要求。</w:t>
            </w:r>
          </w:p>
          <w:p w14:paraId="556F220B">
            <w:pPr>
              <w:pStyle w:val="149"/>
              <w:keepNext w:val="0"/>
              <w:keepLines w:val="0"/>
              <w:pageBreakBefore w:val="0"/>
              <w:kinsoku/>
              <w:wordWrap/>
              <w:overflowPunct/>
              <w:topLinePunct w:val="0"/>
              <w:autoSpaceDE/>
              <w:autoSpaceDN/>
              <w:bidi w:val="0"/>
              <w:adjustRightInd/>
              <w:snapToGrid/>
              <w:spacing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2用地性质</w:t>
            </w:r>
          </w:p>
          <w:p w14:paraId="2BDE57FD">
            <w:pPr>
              <w:pStyle w:val="149"/>
              <w:keepNext w:val="0"/>
              <w:keepLines w:val="0"/>
              <w:pageBreakBefore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本工程永久占地19.02hm²，主要地类为水域及水利设施用地（9.14hm²）、耕地（8.33hm²）、草地（1.47hm²）及交通运输用地（0.08hm²）。临时占地22.461hm²，主要地类为水域及水利设施用地（14.65hm²）、耕地（</w:t>
            </w:r>
            <w:r>
              <w:rPr>
                <w:rFonts w:hint="default" w:ascii="Times New Roman" w:hAnsi="Times New Roman" w:eastAsia="宋体" w:cs="Times New Roman"/>
                <w:b w:val="0"/>
                <w:bCs w:val="0"/>
                <w:color w:val="000000" w:themeColor="text1"/>
                <w:kern w:val="2"/>
                <w:sz w:val="24"/>
                <w:szCs w:val="24"/>
                <w:lang w:val="en-US" w:eastAsia="zh-CN" w:bidi="ar-SA"/>
                <w14:textFill>
                  <w14:solidFill>
                    <w14:schemeClr w14:val="tx1"/>
                  </w14:solidFill>
                </w14:textFill>
              </w:rPr>
              <w:t>非基本农田，</w:t>
            </w: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4.01hm²）、其他土地（3.48hm²）、草地（0.30hm²）及交通运输用地（0.02hm²）。根据自然资源部门及林草部门核实，工程永久及临时占地范围内不涉及永久基本农田、生态保护红线、公益林及自然保护区，用地性质符合国家及地方土地利用相关规划要求。</w:t>
            </w:r>
          </w:p>
          <w:p w14:paraId="7A5B4765">
            <w:pPr>
              <w:pStyle w:val="149"/>
              <w:keepNext w:val="0"/>
              <w:keepLines w:val="0"/>
              <w:pageBreakBefore w:val="0"/>
              <w:kinsoku/>
              <w:wordWrap/>
              <w:overflowPunct/>
              <w:topLinePunct w:val="0"/>
              <w:autoSpaceDE/>
              <w:autoSpaceDN/>
              <w:bidi w:val="0"/>
              <w:adjustRightInd/>
              <w:snapToGrid/>
              <w:spacing w:line="360" w:lineRule="auto"/>
              <w:ind w:left="0" w:right="0" w:firstLine="474" w:firstLineChars="200"/>
              <w:textAlignment w:val="auto"/>
              <w:rPr>
                <w:rFonts w:hint="default" w:ascii="Times New Roman" w:hAnsi="Times New Roman" w:eastAsia="宋体" w:cs="Times New Roman"/>
                <w:b/>
                <w:bCs/>
                <w:color w:val="000000" w:themeColor="text1"/>
                <w:spacing w:val="-2"/>
                <w:kern w:val="2"/>
                <w:sz w:val="24"/>
                <w:szCs w:val="24"/>
                <w:lang w:val="en-US" w:eastAsia="zh-CN" w:bidi="ar-SA"/>
                <w14:textFill>
                  <w14:solidFill>
                    <w14:schemeClr w14:val="tx1"/>
                  </w14:solidFill>
                </w14:textFill>
              </w:rPr>
            </w:pPr>
            <w:r>
              <w:rPr>
                <w:rFonts w:hint="eastAsia" w:ascii="Times New Roman" w:hAnsi="Times New Roman" w:eastAsia="宋体" w:cs="Times New Roman"/>
                <w:b/>
                <w:bCs/>
                <w:color w:val="000000" w:themeColor="text1"/>
                <w:spacing w:val="-2"/>
                <w:kern w:val="2"/>
                <w:sz w:val="24"/>
                <w:szCs w:val="24"/>
                <w:lang w:val="en-US" w:eastAsia="zh-CN" w:bidi="ar-SA"/>
                <w14:textFill>
                  <w14:solidFill>
                    <w14:schemeClr w14:val="tx1"/>
                  </w14:solidFill>
                </w14:textFill>
              </w:rPr>
              <w:t>3护岸</w:t>
            </w:r>
            <w:r>
              <w:rPr>
                <w:rFonts w:hint="default" w:ascii="Times New Roman" w:hAnsi="Times New Roman" w:eastAsia="宋体" w:cs="Times New Roman"/>
                <w:b/>
                <w:bCs/>
                <w:color w:val="000000" w:themeColor="text1"/>
                <w:spacing w:val="-2"/>
                <w:kern w:val="2"/>
                <w:sz w:val="24"/>
                <w:szCs w:val="24"/>
                <w:lang w:val="en-US" w:eastAsia="zh-CN" w:bidi="ar-SA"/>
                <w14:textFill>
                  <w14:solidFill>
                    <w14:schemeClr w14:val="tx1"/>
                  </w14:solidFill>
                </w14:textFill>
              </w:rPr>
              <w:t>轴线</w:t>
            </w:r>
            <w:r>
              <w:rPr>
                <w:rFonts w:hint="eastAsia" w:ascii="Times New Roman" w:hAnsi="Times New Roman" w:eastAsia="宋体" w:cs="Times New Roman"/>
                <w:b/>
                <w:bCs/>
                <w:color w:val="000000" w:themeColor="text1"/>
                <w:spacing w:val="-2"/>
                <w:kern w:val="2"/>
                <w:sz w:val="24"/>
                <w:szCs w:val="24"/>
                <w:lang w:val="en-US" w:eastAsia="zh-CN" w:bidi="ar-SA"/>
                <w14:textFill>
                  <w14:solidFill>
                    <w14:schemeClr w14:val="tx1"/>
                  </w14:solidFill>
                </w14:textFill>
              </w:rPr>
              <w:t>选线</w:t>
            </w:r>
          </w:p>
          <w:p w14:paraId="4E5CE3BE">
            <w:pPr>
              <w:pStyle w:val="149"/>
              <w:keepNext w:val="0"/>
              <w:keepLines w:val="0"/>
              <w:pageBreakBefore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本次上段轴线拟定两个方案，下段轴线现状岸坎与规划岸线和基本农田边界重合，轴线具有唯一性，不需要比选，</w:t>
            </w:r>
            <w:r>
              <w:rPr>
                <w:rFonts w:hint="eastAsia"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根据上段</w:t>
            </w: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轴线</w:t>
            </w:r>
            <w:r>
              <w:rPr>
                <w:rFonts w:hint="eastAsia"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必选可以看出，上段</w:t>
            </w: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护岸轴线布置推荐方案一</w:t>
            </w:r>
            <w:r>
              <w:rPr>
                <w:rFonts w:hint="eastAsia"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w:t>
            </w: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设计护岸轴线以规划岸线为基础，轴线按现状土堤布置，轴线总长度0.54km。</w:t>
            </w:r>
          </w:p>
          <w:p w14:paraId="63F78240">
            <w:pPr>
              <w:pStyle w:val="149"/>
              <w:keepNext w:val="0"/>
              <w:keepLines w:val="0"/>
              <w:pageBreakBefore w:val="0"/>
              <w:kinsoku/>
              <w:wordWrap/>
              <w:overflowPunct/>
              <w:topLinePunct w:val="0"/>
              <w:autoSpaceDE/>
              <w:autoSpaceDN/>
              <w:bidi w:val="0"/>
              <w:adjustRightInd/>
              <w:snapToGrid/>
              <w:spacing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2"/>
                <w:sz w:val="24"/>
                <w:szCs w:val="24"/>
                <w:lang w:val="en-US" w:eastAsia="zh-CN" w:bidi="ar-SA"/>
                <w14:textFill>
                  <w14:solidFill>
                    <w14:schemeClr w14:val="tx1"/>
                  </w14:solidFill>
                </w14:textFill>
              </w:rPr>
              <w:t>4</w:t>
            </w: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敏感制约因素</w:t>
            </w:r>
          </w:p>
          <w:p w14:paraId="700A98FF">
            <w:pPr>
              <w:pStyle w:val="149"/>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项目评价范围内无集中式饮用水水源地保护区、自然保护区、风景名胜区、世界文化和自然遗产地等法律法规禁止占用的区域。工程区不涉及珍稀濒危野生植物集中分布区，不涉及鱼类“三场”（产卵场、索饵场、越冬场）及洄游通道。项目选址选线不存在环境敏感制约因素。</w:t>
            </w:r>
          </w:p>
          <w:p w14:paraId="362AA384">
            <w:pPr>
              <w:pStyle w:val="149"/>
              <w:keepNext w:val="0"/>
              <w:keepLines w:val="0"/>
              <w:pageBreakBefore w:val="0"/>
              <w:kinsoku/>
              <w:wordWrap/>
              <w:overflowPunct/>
              <w:topLinePunct w:val="0"/>
              <w:autoSpaceDE/>
              <w:autoSpaceDN/>
              <w:bidi w:val="0"/>
              <w:adjustRightInd/>
              <w:snapToGrid/>
              <w:spacing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2"/>
                <w:sz w:val="24"/>
                <w:szCs w:val="24"/>
                <w:lang w:val="en-US" w:eastAsia="zh-CN" w:bidi="ar-SA"/>
                <w14:textFill>
                  <w14:solidFill>
                    <w14:schemeClr w14:val="tx1"/>
                  </w14:solidFill>
                </w14:textFill>
              </w:rPr>
              <w:t>5</w:t>
            </w: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环境功能区划要求可达性</w:t>
            </w:r>
          </w:p>
          <w:p w14:paraId="16251D6B">
            <w:pPr>
              <w:pStyle w:val="149"/>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项目施工期产生的扬尘、噪声、废水、固废等污染在采取报告提出的污染防治措施后，可满足相应排放标准；施工期生态影响在采取避让、减缓、修复、补偿等综合措施后，对区域生态系统结构和功能的影响可接受。运营期无污染物排放，且工程实施后可提高防洪能力、减少水土流失、改善区域生态环境。因此，项目建设符合区域环境功能区划要求。</w:t>
            </w:r>
          </w:p>
          <w:p w14:paraId="7C2F79E9">
            <w:pPr>
              <w:pStyle w:val="149"/>
              <w:keepNext w:val="0"/>
              <w:keepLines w:val="0"/>
              <w:pageBreakBefore w:val="0"/>
              <w:kinsoku/>
              <w:wordWrap/>
              <w:overflowPunct/>
              <w:topLinePunct w:val="0"/>
              <w:autoSpaceDE/>
              <w:autoSpaceDN/>
              <w:bidi w:val="0"/>
              <w:adjustRightInd/>
              <w:snapToGrid/>
              <w:spacing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2"/>
                <w:sz w:val="24"/>
                <w:szCs w:val="24"/>
                <w:lang w:val="en-US" w:eastAsia="zh-CN" w:bidi="ar-SA"/>
                <w14:textFill>
                  <w14:solidFill>
                    <w14:schemeClr w14:val="tx1"/>
                  </w14:solidFill>
                </w14:textFill>
              </w:rPr>
              <w:t>6</w:t>
            </w: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临时占地选址可行性分析</w:t>
            </w:r>
          </w:p>
          <w:p w14:paraId="5251F1C0">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本工程临时占地包括施工生产生活区（2处）、原料堆场（2处）、取弃土场（1处）、临时堆土场（1处）、施工便道（6.22公里）、围堰工程区（5.812公里）、施工排水区（降水井区）。环境合理性具体分析如下：</w:t>
            </w:r>
          </w:p>
          <w:p w14:paraId="67D66636">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第一，施工生产生活区选址环境合理性。两处施工生产生活区分别位于右岸K131+771和K140+800堤后空地，占地0.15公顷。选址理由：两处均位于堤后空旷地带，地势平坦，不占用耕地和林地（占地类型为草地和裸土地）；距离现有乡村道路近，交通便利；距离河道均在50米以上，可避免施工生活污水直接入河；距离最近居民点约2050米，施工噪声对居民影响较小。</w:t>
            </w:r>
          </w:p>
          <w:p w14:paraId="588232FC">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第二，原料堆场选址环境合理性。两处原料堆场与施工作业区合建，总面积3.09公顷。选址位于堤后空地，不占用基本农田，距离河道30米以上，可避免粉料随风入河；堆场四周设置围挡，防尘网覆盖，定期洒水，扬尘可控。</w:t>
            </w:r>
          </w:p>
          <w:p w14:paraId="3B3ABC84">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第三，取弃土场选址环境合理性。取弃土场位于工程区河段右岸未利用地块（坐标东经77°30′41″，北纬38°42′14″），面积3.06公顷。现状为裸土地（盐碱荒地），地表有盐结皮；植被类型为荒漠盐生植被，覆盖度约5%，主要植物种为盐穗木、盐节木、碱蓬等耐盐植物，株高10～30cm，稀疏分布，无乔木和灌木；野生动物偶见沙蜥和鼠类，无保护动物；该地块不涉及永久基本农田、生态保护红线、公益林及自然保护区，距离河道约200米，取土不影响河岸稳定；取土深度1.5米，不涉及地下水层，选址合理。</w:t>
            </w:r>
          </w:p>
          <w:p w14:paraId="4EA314BF">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第四，临时堆土场选址环境合理性。临时堆土场位于K140+200至K140+500堤后空地，面积1.2公顷。该地块为裸土地，不占用耕地；距离河道约40米，堆放期间采取防尘网覆盖和洒水措施，防止扬尘和水土流失；清废除土堆存时间约1.5个月，堆存结束后及时转运至取弃土场回填。选址位于施工区中心位置，运输距离短，减少了二次扬尘。</w:t>
            </w:r>
          </w:p>
          <w:p w14:paraId="69BF9908">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第五，施工便道选址环境合理性。施工便道沿护岸背水侧布置，总长6.22公里，占地</w:t>
            </w:r>
            <w:r>
              <w:rPr>
                <w:rFonts w:hint="eastAsia" w:ascii="Times New Roman" w:hAnsi="Times New Roman" w:cs="Times New Roman"/>
                <w:color w:val="000000" w:themeColor="text1"/>
                <w:spacing w:val="-2"/>
                <w:kern w:val="2"/>
                <w:sz w:val="24"/>
                <w:szCs w:val="24"/>
                <w:lang w:val="en-US" w:eastAsia="zh-CN" w:bidi="ar-SA"/>
                <w14:textFill>
                  <w14:solidFill>
                    <w14:schemeClr w14:val="tx1"/>
                  </w14:solidFill>
                </w14:textFill>
              </w:rPr>
              <w:t>4.351</w:t>
            </w: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公顷。便道选址尽量利用河滩地和堤后空地，减少对耕地的占用；便道布置在护岸作业带内，减少了额外土地扰动；施工结束后保留1.06公里作为永久管理道路（上段0.54公里，下段0.52公里），其余5.16公里拆除恢复。保留路段位于堤顶，便于日常巡查和防汛抢险，具有必要性。</w:t>
            </w:r>
          </w:p>
          <w:p w14:paraId="22D5B4B1">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第六，围堰工程区选址环境合理性。围堰布置于河道内下段（K137+680至K143+360），长5.812公里，占地8.44公顷。围堰紧贴护岸作业区布置，可有效导流，为护岸基础施工提供干地条件；围堰采用河道开挖土料填筑，实现了土方利用；施工结束后围堰拆除，土料平摊至河床低洼处，不产生永久占地。围堰选址已通过施工导流方案论证，对河道行洪影响可控。</w:t>
            </w:r>
          </w:p>
          <w:p w14:paraId="21478458">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第七，施工排水区（降水井）选址环境合理性。降水井布置在基坑外5米处，井间距27米，共212眼，占地面积约3.36公顷。井位避开了居民点、地下管线等设施；抽排水经沉淀后排入河道，沉淀池设置防渗措施，防止污染物下渗；施工结束后井孔回填，地面恢复原状。</w:t>
            </w:r>
          </w:p>
          <w:p w14:paraId="703013E5">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综上，所有临时工程选址均避让了基本农田、生态保护红线、公益林等敏感区域，优先利用了裸土地、河滩地等低生态价值土地，临时占地面积合理，施工结束后均可恢复原地类，选址具有环境合理性。</w:t>
            </w:r>
          </w:p>
          <w:p w14:paraId="19785C8B">
            <w:pPr>
              <w:pStyle w:val="149"/>
              <w:keepNext w:val="0"/>
              <w:keepLines w:val="0"/>
              <w:pageBreakBefore w:val="0"/>
              <w:kinsoku/>
              <w:wordWrap/>
              <w:overflowPunct/>
              <w:topLinePunct w:val="0"/>
              <w:autoSpaceDE/>
              <w:autoSpaceDN/>
              <w:bidi w:val="0"/>
              <w:adjustRightInd/>
              <w:snapToGrid/>
              <w:spacing w:line="360" w:lineRule="auto"/>
              <w:ind w:left="0" w:right="0" w:firstLine="482" w:firstLineChars="200"/>
              <w:textAlignment w:val="auto"/>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2"/>
                <w:sz w:val="24"/>
                <w:szCs w:val="24"/>
                <w:lang w:val="en-US" w:eastAsia="zh-CN" w:bidi="ar-SA"/>
                <w14:textFill>
                  <w14:solidFill>
                    <w14:schemeClr w14:val="tx1"/>
                  </w14:solidFill>
                </w14:textFill>
              </w:rPr>
              <w:t>7</w:t>
            </w: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混凝土拌和站必要性及环保合理性分析</w:t>
            </w:r>
          </w:p>
          <w:p w14:paraId="52E00D65">
            <w:pPr>
              <w:pStyle w:val="29"/>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本工程所需混凝土主要为四面六边透水框架，采用现场预制。预制场与施工生产生活区合建，使用小型搅拌设备。现场预制原因如下：</w:t>
            </w:r>
          </w:p>
          <w:p w14:paraId="6FAA02D5">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（1）透水框架为非标构件，运输不便，现场预制可保证质量与进度；</w:t>
            </w:r>
          </w:p>
          <w:p w14:paraId="1514D0AF">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（2）外购商品混凝土运距远，高温天气混凝土性能下降，且经济成本高；</w:t>
            </w:r>
          </w:p>
          <w:p w14:paraId="4CCEE0CB">
            <w:pPr>
              <w:pStyle w:val="2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（3）施工工期短（97天），现场预制更灵活。</w:t>
            </w:r>
          </w:p>
          <w:p w14:paraId="30DE7BF3">
            <w:pPr>
              <w:pStyle w:val="29"/>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72" w:firstLineChars="200"/>
              <w:textAlignment w:val="auto"/>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环保措施：搅拌设备设在工棚内，半封闭作业；上料口设喷淋装置；输送皮带及骨料堆场定期洒水；搅拌废水经沉淀池处理后回用于养护或洒水降尘，不外排。施工结束后拆除预制场地，平整恢复。因此，现场预制具有必要性和环境可行性。</w:t>
            </w:r>
          </w:p>
          <w:p w14:paraId="62DF124B">
            <w:pPr>
              <w:pStyle w:val="116"/>
              <w:keepNext w:val="0"/>
              <w:keepLines w:val="0"/>
              <w:pageBreakBefore w:val="0"/>
              <w:widowControl/>
              <w:kinsoku/>
              <w:wordWrap/>
              <w:overflowPunct/>
              <w:topLinePunct w:val="0"/>
              <w:autoSpaceDE/>
              <w:autoSpaceDN/>
              <w:bidi w:val="0"/>
              <w:adjustRightInd/>
              <w:snapToGrid/>
              <w:spacing w:beforeAutospacing="0" w:afterAutospacing="0" w:line="360" w:lineRule="auto"/>
              <w:ind w:firstLine="472" w:firstLineChars="200"/>
              <w:textAlignment w:val="auto"/>
              <w:rPr>
                <w:rFonts w:hint="default" w:ascii="Times New Roman" w:hAnsi="Times New Roman" w:eastAsia="宋体" w:cs="Times New Roman"/>
                <w:color w:val="000000" w:themeColor="text1"/>
                <w:lang w:val="en-US"/>
                <w14:textFill>
                  <w14:solidFill>
                    <w14:schemeClr w14:val="tx1"/>
                  </w14:solidFill>
                </w14:textFill>
              </w:rPr>
            </w:pPr>
            <w:r>
              <w:rPr>
                <w:rFonts w:hint="default" w:ascii="Times New Roman" w:hAnsi="Times New Roman" w:eastAsia="宋体" w:cs="Times New Roman"/>
                <w:color w:val="000000" w:themeColor="text1"/>
                <w:spacing w:val="-2"/>
                <w:kern w:val="2"/>
                <w:sz w:val="24"/>
                <w:szCs w:val="24"/>
                <w:lang w:val="en-US" w:eastAsia="zh-CN" w:bidi="ar-SA"/>
                <w14:textFill>
                  <w14:solidFill>
                    <w14:schemeClr w14:val="tx1"/>
                  </w14:solidFill>
                </w14:textFill>
              </w:rPr>
              <w:t>综上所述，本项目选址选线不占用环境敏感区，用地性质符合规划，建设条件便利，施工期及运营期环境影响可接受，临时占地布局合理且可恢复。在严格落实各项生态保护和污染防治措施的前提下，项目选址选线具有环境合理性。</w:t>
            </w:r>
          </w:p>
        </w:tc>
      </w:tr>
    </w:tbl>
    <w:p w14:paraId="0EB8A347">
      <w:pPr>
        <w:pStyle w:val="29"/>
        <w:jc w:val="center"/>
        <w:rPr>
          <w:rFonts w:hint="default" w:ascii="Times New Roman" w:hAnsi="Times New Roman" w:eastAsia="宋体" w:cs="Times New Roman"/>
          <w:snapToGrid w:val="0"/>
          <w:color w:val="000000" w:themeColor="text1"/>
          <w:sz w:val="36"/>
          <w:szCs w:val="36"/>
          <w14:textFill>
            <w14:solidFill>
              <w14:schemeClr w14:val="tx1"/>
            </w14:solidFill>
          </w14:textFill>
        </w:rPr>
        <w:sectPr>
          <w:footerReference r:id="rId3" w:type="default"/>
          <w:pgSz w:w="11906" w:h="16838"/>
          <w:pgMar w:top="1440" w:right="1418" w:bottom="1440" w:left="1418" w:header="851" w:footer="1077" w:gutter="0"/>
          <w:pgBorders>
            <w:top w:val="none" w:sz="0" w:space="0"/>
            <w:left w:val="none" w:sz="0" w:space="0"/>
            <w:bottom w:val="none" w:sz="0" w:space="0"/>
            <w:right w:val="none" w:sz="0" w:space="0"/>
          </w:pgBorders>
          <w:pgNumType w:fmt="numberInDash" w:start="1"/>
          <w:cols w:space="720" w:num="1"/>
          <w:docGrid w:linePitch="312" w:charSpace="0"/>
        </w:sectPr>
      </w:pPr>
    </w:p>
    <w:p w14:paraId="518AF7D1">
      <w:pPr>
        <w:pStyle w:val="29"/>
        <w:adjustRightInd w:val="0"/>
        <w:snapToGrid w:val="0"/>
        <w:spacing w:before="0" w:beforeAutospacing="0" w:after="0" w:afterAutospacing="0" w:line="14" w:lineRule="auto"/>
        <w:jc w:val="center"/>
        <w:outlineLvl w:val="0"/>
        <w:rPr>
          <w:rFonts w:hint="default" w:ascii="Times New Roman" w:hAnsi="Times New Roman" w:eastAsia="宋体" w:cs="Times New Roman"/>
          <w:snapToGrid w:val="0"/>
          <w:color w:val="000000" w:themeColor="text1"/>
          <w:sz w:val="30"/>
          <w:szCs w:val="30"/>
          <w14:textFill>
            <w14:solidFill>
              <w14:schemeClr w14:val="tx1"/>
            </w14:solidFill>
          </w14:textFill>
        </w:rPr>
      </w:pPr>
    </w:p>
    <w:p w14:paraId="54D24E53">
      <w:pPr>
        <w:pStyle w:val="29"/>
        <w:jc w:val="center"/>
        <w:outlineLvl w:val="0"/>
        <w:rPr>
          <w:rFonts w:hint="default" w:ascii="Times New Roman" w:hAnsi="Times New Roman" w:eastAsia="宋体" w:cs="Times New Roman"/>
          <w:b/>
          <w:bCs/>
          <w:snapToGrid w:val="0"/>
          <w:color w:val="000000" w:themeColor="text1"/>
          <w:sz w:val="30"/>
          <w:szCs w:val="30"/>
          <w14:textFill>
            <w14:solidFill>
              <w14:schemeClr w14:val="tx1"/>
            </w14:solidFill>
          </w14:textFill>
        </w:rPr>
      </w:pPr>
      <w:r>
        <w:rPr>
          <w:rFonts w:hint="default" w:ascii="Times New Roman" w:hAnsi="Times New Roman" w:eastAsia="宋体" w:cs="Times New Roman"/>
          <w:b/>
          <w:bCs/>
          <w:snapToGrid w:val="0"/>
          <w:color w:val="000000" w:themeColor="text1"/>
          <w:sz w:val="30"/>
          <w:szCs w:val="30"/>
          <w14:textFill>
            <w14:solidFill>
              <w14:schemeClr w14:val="tx1"/>
            </w14:solidFill>
          </w14:textFill>
        </w:rPr>
        <w:t>五、主要生态环境保护措施</w:t>
      </w:r>
    </w:p>
    <w:tbl>
      <w:tblPr>
        <w:tblStyle w:val="34"/>
        <w:tblW w:w="919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53"/>
        <w:gridCol w:w="8440"/>
      </w:tblGrid>
      <w:tr w14:paraId="31EF49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753" w:type="dxa"/>
            <w:tcMar>
              <w:left w:w="28" w:type="dxa"/>
              <w:right w:w="28" w:type="dxa"/>
            </w:tcMar>
            <w:vAlign w:val="center"/>
          </w:tcPr>
          <w:p w14:paraId="1648BFA1">
            <w:pPr>
              <w:adjustRightInd w:val="0"/>
              <w:snapToGrid w:val="0"/>
              <w:jc w:val="center"/>
              <w:rPr>
                <w:rFonts w:hint="default" w:ascii="Times New Roman" w:hAnsi="Times New Roman" w:eastAsia="宋体" w:cs="Times New Roman"/>
                <w:bCs/>
                <w:color w:val="000000" w:themeColor="text1"/>
                <w:szCs w:val="21"/>
                <w14:textFill>
                  <w14:solidFill>
                    <w14:schemeClr w14:val="tx1"/>
                  </w14:solidFill>
                </w14:textFill>
              </w:rPr>
            </w:pPr>
            <w:r>
              <w:rPr>
                <w:rFonts w:hint="default" w:ascii="Times New Roman" w:hAnsi="Times New Roman" w:eastAsia="宋体" w:cs="Times New Roman"/>
                <w:bCs/>
                <w:color w:val="000000" w:themeColor="text1"/>
                <w:spacing w:val="10"/>
                <w:szCs w:val="21"/>
                <w14:textFill>
                  <w14:solidFill>
                    <w14:schemeClr w14:val="tx1"/>
                  </w14:solidFill>
                </w14:textFill>
              </w:rPr>
              <w:t>施工期生态环境保护措施</w:t>
            </w:r>
          </w:p>
        </w:tc>
        <w:tc>
          <w:tcPr>
            <w:tcW w:w="8440" w:type="dxa"/>
          </w:tcPr>
          <w:p w14:paraId="14D94D6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b/>
                <w:bCs/>
                <w:color w:val="000000" w:themeColor="text1"/>
                <w:spacing w:val="-6"/>
                <w:sz w:val="24"/>
                <w:szCs w:val="24"/>
                <w14:textFill>
                  <w14:solidFill>
                    <w14:schemeClr w14:val="tx1"/>
                  </w14:solidFill>
                </w14:textFill>
              </w:rPr>
              <w:t>1</w:t>
            </w:r>
            <w:r>
              <w:rPr>
                <w:rFonts w:hint="default" w:ascii="Times New Roman" w:hAnsi="Times New Roman" w:eastAsia="宋体" w:cs="Times New Roman"/>
                <w:b/>
                <w:bCs/>
                <w:color w:val="000000" w:themeColor="text1"/>
                <w:spacing w:val="-6"/>
                <w:sz w:val="24"/>
                <w:szCs w:val="24"/>
                <w:lang w:val="en-US" w:eastAsia="zh-CN"/>
                <w14:textFill>
                  <w14:solidFill>
                    <w14:schemeClr w14:val="tx1"/>
                  </w14:solidFill>
                </w14:textFill>
              </w:rPr>
              <w:t>施工期</w:t>
            </w:r>
            <w:r>
              <w:rPr>
                <w:rFonts w:hint="default" w:ascii="Times New Roman" w:hAnsi="Times New Roman" w:eastAsia="宋体" w:cs="Times New Roman"/>
                <w:b/>
                <w:bCs/>
                <w:color w:val="000000" w:themeColor="text1"/>
                <w:spacing w:val="-6"/>
                <w:sz w:val="24"/>
                <w:szCs w:val="24"/>
                <w14:textFill>
                  <w14:solidFill>
                    <w14:schemeClr w14:val="tx1"/>
                  </w14:solidFill>
                </w14:textFill>
              </w:rPr>
              <w:t>生态环境保护措施</w:t>
            </w:r>
          </w:p>
          <w:p w14:paraId="53EF462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3"/>
                <w:sz w:val="24"/>
                <w:szCs w:val="24"/>
                <w14:textFill>
                  <w14:solidFill>
                    <w14:schemeClr w14:val="tx1"/>
                  </w14:solidFill>
                </w14:textFill>
              </w:rPr>
              <w:t>（1）植物保护措施</w:t>
            </w:r>
          </w:p>
          <w:p w14:paraId="3E1BC25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1）严格控制施工占地，不得随意扩大，尽可能减少临时占地，搬运施</w:t>
            </w:r>
            <w:r>
              <w:rPr>
                <w:rFonts w:hint="default" w:ascii="Times New Roman" w:hAnsi="Times New Roman" w:eastAsia="宋体" w:cs="Times New Roman"/>
                <w:color w:val="000000" w:themeColor="text1"/>
                <w:spacing w:val="-3"/>
                <w:sz w:val="24"/>
                <w:szCs w:val="24"/>
                <w14:textFill>
                  <w14:solidFill>
                    <w14:schemeClr w14:val="tx1"/>
                  </w14:solidFill>
                </w14:textFill>
              </w:rPr>
              <w:t>工设</w:t>
            </w:r>
            <w:r>
              <w:rPr>
                <w:rFonts w:hint="default" w:ascii="Times New Roman" w:hAnsi="Times New Roman" w:eastAsia="宋体" w:cs="Times New Roman"/>
                <w:color w:val="000000" w:themeColor="text1"/>
                <w:spacing w:val="1"/>
                <w:sz w:val="24"/>
                <w:szCs w:val="24"/>
                <w14:textFill>
                  <w14:solidFill>
                    <w14:schemeClr w14:val="tx1"/>
                  </w14:solidFill>
                </w14:textFill>
              </w:rPr>
              <w:t>备利用现有公路、小路，执行“无捷径”原则，确定车辆行驶路线，车辆运输</w:t>
            </w:r>
            <w:r>
              <w:rPr>
                <w:rFonts w:hint="default" w:ascii="Times New Roman" w:hAnsi="Times New Roman" w:eastAsia="宋体" w:cs="Times New Roman"/>
                <w:color w:val="000000" w:themeColor="text1"/>
                <w:spacing w:val="-1"/>
                <w:sz w:val="24"/>
                <w:szCs w:val="24"/>
                <w14:textFill>
                  <w14:solidFill>
                    <w14:schemeClr w14:val="tx1"/>
                  </w14:solidFill>
                </w14:textFill>
              </w:rPr>
              <w:t>等必须在规定的道路上行驶，禁止碾压和破坏临时占地外的地表植被。</w:t>
            </w:r>
          </w:p>
          <w:p w14:paraId="2CEF62E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2）划定施工作业范围，采取彩旗围护等措施限</w:t>
            </w:r>
            <w:r>
              <w:rPr>
                <w:rFonts w:hint="default" w:ascii="Times New Roman" w:hAnsi="Times New Roman" w:eastAsia="宋体" w:cs="Times New Roman"/>
                <w:color w:val="000000" w:themeColor="text1"/>
                <w:spacing w:val="-2"/>
                <w:sz w:val="24"/>
                <w:szCs w:val="24"/>
                <w14:textFill>
                  <w14:solidFill>
                    <w14:schemeClr w14:val="tx1"/>
                  </w14:solidFill>
                </w14:textFill>
              </w:rPr>
              <w:t>定工程占用与扰动范围。根据《堤防工程管理设计规范》第3.2.1条规定工程的管理范围，本护堤地从堤脚线算起，确定背水侧护堤地宽度为5m；防洪工程保护范围的宽度应自背水侧紧</w:t>
            </w:r>
            <w:r>
              <w:rPr>
                <w:rFonts w:hint="default" w:ascii="Times New Roman" w:hAnsi="Times New Roman" w:eastAsia="宋体" w:cs="Times New Roman"/>
                <w:color w:val="000000" w:themeColor="text1"/>
                <w:spacing w:val="1"/>
                <w:sz w:val="24"/>
                <w:szCs w:val="24"/>
                <w14:textFill>
                  <w14:solidFill>
                    <w14:schemeClr w14:val="tx1"/>
                  </w14:solidFill>
                </w14:textFill>
              </w:rPr>
              <w:t>临护堤地边界线计起，本项目确定保护范围</w:t>
            </w:r>
            <w:r>
              <w:rPr>
                <w:rFonts w:hint="default" w:ascii="Times New Roman" w:hAnsi="Times New Roman" w:eastAsia="宋体" w:cs="Times New Roman"/>
                <w:color w:val="000000" w:themeColor="text1"/>
                <w:sz w:val="24"/>
                <w:szCs w:val="24"/>
                <w14:textFill>
                  <w14:solidFill>
                    <w14:schemeClr w14:val="tx1"/>
                  </w14:solidFill>
                </w14:textFill>
              </w:rPr>
              <w:t>50m，根据实际防洪工程大小尽量</w:t>
            </w:r>
            <w:r>
              <w:rPr>
                <w:rFonts w:hint="default" w:ascii="Times New Roman" w:hAnsi="Times New Roman" w:eastAsia="宋体" w:cs="Times New Roman"/>
                <w:color w:val="000000" w:themeColor="text1"/>
                <w:spacing w:val="-3"/>
                <w:sz w:val="24"/>
                <w:szCs w:val="24"/>
                <w14:textFill>
                  <w14:solidFill>
                    <w14:schemeClr w14:val="tx1"/>
                  </w14:solidFill>
                </w14:textFill>
              </w:rPr>
              <w:t>缩小施工作业带范围，尽量缩短占用时间，最大限度地降低对周边植被的影响。</w:t>
            </w:r>
          </w:p>
          <w:p w14:paraId="6C80732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3）加强施工期环境保护管理，不在工程附近的林地、植被生长较好的地段</w:t>
            </w:r>
            <w:r>
              <w:rPr>
                <w:rFonts w:hint="default" w:ascii="Times New Roman" w:hAnsi="Times New Roman" w:eastAsia="宋体" w:cs="Times New Roman"/>
                <w:color w:val="000000" w:themeColor="text1"/>
                <w:spacing w:val="2"/>
                <w:sz w:val="24"/>
                <w:szCs w:val="24"/>
                <w14:textFill>
                  <w14:solidFill>
                    <w14:schemeClr w14:val="tx1"/>
                  </w14:solidFill>
                </w14:textFill>
              </w:rPr>
              <w:t>及农田区域设置临时施工场地，强化施工人员环保意识，规范施工行为，严禁</w:t>
            </w:r>
            <w:r>
              <w:rPr>
                <w:rFonts w:hint="default" w:ascii="Times New Roman" w:hAnsi="Times New Roman" w:eastAsia="宋体" w:cs="Times New Roman"/>
                <w:color w:val="000000" w:themeColor="text1"/>
                <w:spacing w:val="-1"/>
                <w:sz w:val="24"/>
                <w:szCs w:val="24"/>
                <w14:textFill>
                  <w14:solidFill>
                    <w14:schemeClr w14:val="tx1"/>
                  </w14:solidFill>
                </w14:textFill>
              </w:rPr>
              <w:t>施工人员破坏施工区及周边的植被和树木。</w:t>
            </w:r>
          </w:p>
          <w:p w14:paraId="2E08768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4）施工期应严格限制施工区域，限制施工人员活</w:t>
            </w:r>
            <w:r>
              <w:rPr>
                <w:rFonts w:hint="default" w:ascii="Times New Roman" w:hAnsi="Times New Roman" w:eastAsia="宋体" w:cs="Times New Roman"/>
                <w:color w:val="000000" w:themeColor="text1"/>
                <w:spacing w:val="-2"/>
                <w:sz w:val="24"/>
                <w:szCs w:val="24"/>
                <w14:textFill>
                  <w14:solidFill>
                    <w14:schemeClr w14:val="tx1"/>
                  </w14:solidFill>
                </w14:textFill>
              </w:rPr>
              <w:t>动范围</w:t>
            </w:r>
            <w:r>
              <w:rPr>
                <w:rFonts w:hint="default" w:ascii="Times New Roman" w:hAnsi="Times New Roman" w:eastAsia="宋体" w:cs="Times New Roman"/>
                <w:color w:val="000000" w:themeColor="text1"/>
                <w:spacing w:val="-2"/>
                <w:sz w:val="24"/>
                <w:szCs w:val="24"/>
                <w:lang w:eastAsia="zh-CN"/>
                <w14:textFill>
                  <w14:solidFill>
                    <w14:schemeClr w14:val="tx1"/>
                  </w14:solidFill>
                </w14:textFill>
              </w:rPr>
              <w:t>，在</w:t>
            </w:r>
            <w:r>
              <w:rPr>
                <w:rFonts w:hint="default" w:ascii="Times New Roman" w:hAnsi="Times New Roman" w:eastAsia="宋体" w:cs="Times New Roman"/>
                <w:color w:val="000000" w:themeColor="text1"/>
                <w:spacing w:val="-2"/>
                <w:sz w:val="24"/>
                <w:szCs w:val="24"/>
                <w14:textFill>
                  <w14:solidFill>
                    <w14:schemeClr w14:val="tx1"/>
                  </w14:solidFill>
                </w14:textFill>
              </w:rPr>
              <w:t>临时建筑材料堆</w:t>
            </w:r>
            <w:r>
              <w:rPr>
                <w:rFonts w:hint="default" w:ascii="Times New Roman" w:hAnsi="Times New Roman" w:eastAsia="宋体" w:cs="Times New Roman"/>
                <w:color w:val="000000" w:themeColor="text1"/>
                <w:sz w:val="24"/>
                <w:szCs w:val="24"/>
                <w14:textFill>
                  <w14:solidFill>
                    <w14:schemeClr w14:val="tx1"/>
                  </w14:solidFill>
                </w14:textFill>
              </w:rPr>
              <w:t>放区周围设置界限标志，严禁施工车辆影响周</w:t>
            </w:r>
            <w:r>
              <w:rPr>
                <w:rFonts w:hint="default" w:ascii="Times New Roman" w:hAnsi="Times New Roman" w:eastAsia="宋体" w:cs="Times New Roman"/>
                <w:color w:val="000000" w:themeColor="text1"/>
                <w:spacing w:val="-1"/>
                <w:sz w:val="24"/>
                <w:szCs w:val="24"/>
                <w14:textFill>
                  <w14:solidFill>
                    <w14:schemeClr w14:val="tx1"/>
                  </w14:solidFill>
                </w14:textFill>
              </w:rPr>
              <w:t>围地块，减小影响范围。</w:t>
            </w:r>
          </w:p>
          <w:p w14:paraId="6B01D90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5）施工过程中尽量保护土地资源，不打乱土层，并及时覆土绿化，尽快恢</w:t>
            </w:r>
            <w:r>
              <w:rPr>
                <w:rFonts w:hint="default" w:ascii="Times New Roman" w:hAnsi="Times New Roman" w:eastAsia="宋体" w:cs="Times New Roman"/>
                <w:color w:val="000000" w:themeColor="text1"/>
                <w:spacing w:val="-3"/>
                <w:sz w:val="24"/>
                <w:szCs w:val="24"/>
                <w14:textFill>
                  <w14:solidFill>
                    <w14:schemeClr w14:val="tx1"/>
                  </w14:solidFill>
                </w14:textFill>
              </w:rPr>
              <w:t>复土地原貌。</w:t>
            </w:r>
          </w:p>
          <w:p w14:paraId="0BFF9CA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6）工程施工过程中，严格按设计规定的土方工程施工，禁止随挖随倒，不</w:t>
            </w:r>
            <w:r>
              <w:rPr>
                <w:rFonts w:hint="default" w:ascii="Times New Roman" w:hAnsi="Times New Roman" w:eastAsia="宋体" w:cs="Times New Roman"/>
                <w:color w:val="000000" w:themeColor="text1"/>
                <w:spacing w:val="2"/>
                <w:sz w:val="24"/>
                <w:szCs w:val="24"/>
                <w14:textFill>
                  <w14:solidFill>
                    <w14:schemeClr w14:val="tx1"/>
                  </w14:solidFill>
                </w14:textFill>
              </w:rPr>
              <w:t>得随意扩大开挖范围和破坏周围农田和林草植被。本次环评要求企业在建设过</w:t>
            </w:r>
            <w:r>
              <w:rPr>
                <w:rFonts w:hint="default" w:ascii="Times New Roman" w:hAnsi="Times New Roman" w:eastAsia="宋体" w:cs="Times New Roman"/>
                <w:color w:val="000000" w:themeColor="text1"/>
                <w:spacing w:val="-3"/>
                <w:sz w:val="24"/>
                <w:szCs w:val="24"/>
                <w14:textFill>
                  <w14:solidFill>
                    <w14:schemeClr w14:val="tx1"/>
                  </w14:solidFill>
                </w14:textFill>
              </w:rPr>
              <w:t>程中尽量保留植被，减少生物量损失；在施工期间严格限定工程建设扰动区</w:t>
            </w:r>
            <w:r>
              <w:rPr>
                <w:rFonts w:hint="default" w:ascii="Times New Roman" w:hAnsi="Times New Roman" w:eastAsia="宋体" w:cs="Times New Roman"/>
                <w:color w:val="000000" w:themeColor="text1"/>
                <w:spacing w:val="-4"/>
                <w:sz w:val="24"/>
                <w:szCs w:val="24"/>
                <w14:textFill>
                  <w14:solidFill>
                    <w14:schemeClr w14:val="tx1"/>
                  </w14:solidFill>
                </w14:textFill>
              </w:rPr>
              <w:t>域，</w:t>
            </w:r>
            <w:r>
              <w:rPr>
                <w:rFonts w:hint="default" w:ascii="Times New Roman" w:hAnsi="Times New Roman" w:eastAsia="宋体" w:cs="Times New Roman"/>
                <w:color w:val="000000" w:themeColor="text1"/>
                <w:spacing w:val="-1"/>
                <w:sz w:val="24"/>
                <w:szCs w:val="24"/>
                <w14:textFill>
                  <w14:solidFill>
                    <w14:schemeClr w14:val="tx1"/>
                  </w14:solidFill>
                </w14:textFill>
              </w:rPr>
              <w:t>减少建设活动对地表植被的破坏。</w:t>
            </w:r>
          </w:p>
          <w:p w14:paraId="1CA4A4F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7）施工结束后，临时占地地表采取植被恢复措施。</w:t>
            </w:r>
          </w:p>
          <w:p w14:paraId="198B77F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3"/>
                <w:sz w:val="24"/>
                <w:szCs w:val="24"/>
                <w14:textFill>
                  <w14:solidFill>
                    <w14:schemeClr w14:val="tx1"/>
                  </w14:solidFill>
                </w14:textFill>
              </w:rPr>
              <w:t>（2）动物保护措施</w:t>
            </w:r>
          </w:p>
          <w:p w14:paraId="4B51AA6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1）严格划定施工界限，禁止越界施工，严禁夜间施工，避免灯光、噪</w:t>
            </w:r>
            <w:r>
              <w:rPr>
                <w:rFonts w:hint="default" w:ascii="Times New Roman" w:hAnsi="Times New Roman" w:eastAsia="宋体" w:cs="Times New Roman"/>
                <w:color w:val="000000" w:themeColor="text1"/>
                <w:spacing w:val="-3"/>
                <w:sz w:val="24"/>
                <w:szCs w:val="24"/>
                <w14:textFill>
                  <w14:solidFill>
                    <w14:schemeClr w14:val="tx1"/>
                  </w14:solidFill>
                </w14:textFill>
              </w:rPr>
              <w:t>声对</w:t>
            </w:r>
            <w:r>
              <w:rPr>
                <w:rFonts w:hint="default" w:ascii="Times New Roman" w:hAnsi="Times New Roman" w:eastAsia="宋体" w:cs="Times New Roman"/>
                <w:color w:val="000000" w:themeColor="text1"/>
                <w:spacing w:val="-2"/>
                <w:sz w:val="24"/>
                <w:szCs w:val="24"/>
                <w14:textFill>
                  <w14:solidFill>
                    <w14:schemeClr w14:val="tx1"/>
                  </w14:solidFill>
                </w14:textFill>
              </w:rPr>
              <w:t>夜间动物活动的惊扰。</w:t>
            </w:r>
          </w:p>
          <w:p w14:paraId="4C71648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2）施工机械应采用噪声较小的设备，合理组织施工行为，降低噪声干扰，</w:t>
            </w:r>
            <w:r>
              <w:rPr>
                <w:rFonts w:hint="default" w:ascii="Times New Roman" w:hAnsi="Times New Roman" w:eastAsia="宋体" w:cs="Times New Roman"/>
                <w:color w:val="000000" w:themeColor="text1"/>
                <w:sz w:val="24"/>
                <w:szCs w:val="24"/>
                <w14:textFill>
                  <w14:solidFill>
                    <w14:schemeClr w14:val="tx1"/>
                  </w14:solidFill>
                </w14:textFill>
              </w:rPr>
              <w:t>对无法避免或者无法降低的，需要选择对动物</w:t>
            </w:r>
            <w:r>
              <w:rPr>
                <w:rFonts w:hint="default" w:ascii="Times New Roman" w:hAnsi="Times New Roman" w:eastAsia="宋体" w:cs="Times New Roman"/>
                <w:color w:val="000000" w:themeColor="text1"/>
                <w:spacing w:val="-1"/>
                <w:sz w:val="24"/>
                <w:szCs w:val="24"/>
                <w14:textFill>
                  <w14:solidFill>
                    <w14:schemeClr w14:val="tx1"/>
                  </w14:solidFill>
                </w14:textFill>
              </w:rPr>
              <w:t>影响最小的时段进行。</w:t>
            </w:r>
          </w:p>
          <w:p w14:paraId="4A84F99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3）非施工区严禁烟火、狩猎和垂钓等活动。禁止施工人员野外用火，把对</w:t>
            </w:r>
            <w:r>
              <w:rPr>
                <w:rFonts w:hint="default" w:ascii="Times New Roman" w:hAnsi="Times New Roman" w:eastAsia="宋体" w:cs="Times New Roman"/>
                <w:color w:val="000000" w:themeColor="text1"/>
                <w:spacing w:val="-1"/>
                <w:sz w:val="24"/>
                <w:szCs w:val="24"/>
                <w14:textFill>
                  <w14:solidFill>
                    <w14:schemeClr w14:val="tx1"/>
                  </w14:solidFill>
                </w14:textFill>
              </w:rPr>
              <w:t>野生动物的干扰降至最低程度</w:t>
            </w:r>
          </w:p>
          <w:p w14:paraId="7219C68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4）加强对施工队伍的管理，大力宣传相关法律法</w:t>
            </w:r>
            <w:r>
              <w:rPr>
                <w:rFonts w:hint="default" w:ascii="Times New Roman" w:hAnsi="Times New Roman" w:eastAsia="宋体" w:cs="Times New Roman"/>
                <w:color w:val="000000" w:themeColor="text1"/>
                <w:spacing w:val="-2"/>
                <w:sz w:val="24"/>
                <w:szCs w:val="24"/>
                <w14:textFill>
                  <w14:solidFill>
                    <w14:schemeClr w14:val="tx1"/>
                  </w14:solidFill>
                </w14:textFill>
              </w:rPr>
              <w:t>规，加</w:t>
            </w:r>
            <w:r>
              <w:rPr>
                <w:rFonts w:hint="default" w:ascii="Times New Roman" w:hAnsi="Times New Roman" w:eastAsia="宋体" w:cs="Times New Roman"/>
                <w:color w:val="000000" w:themeColor="text1"/>
                <w:spacing w:val="-2"/>
                <w:sz w:val="24"/>
                <w:szCs w:val="24"/>
                <w:lang w:eastAsia="zh-CN"/>
                <w14:textFill>
                  <w14:solidFill>
                    <w14:schemeClr w14:val="tx1"/>
                  </w14:solidFill>
                </w14:textFill>
              </w:rPr>
              <w:t>强对</w:t>
            </w:r>
            <w:r>
              <w:rPr>
                <w:rFonts w:hint="default" w:ascii="Times New Roman" w:hAnsi="Times New Roman" w:eastAsia="宋体" w:cs="Times New Roman"/>
                <w:color w:val="000000" w:themeColor="text1"/>
                <w:spacing w:val="-2"/>
                <w:sz w:val="24"/>
                <w:szCs w:val="24"/>
                <w14:textFill>
                  <w14:solidFill>
                    <w14:schemeClr w14:val="tx1"/>
                  </w14:solidFill>
                </w14:textFill>
              </w:rPr>
              <w:t>施工人员的环保</w:t>
            </w:r>
            <w:r>
              <w:rPr>
                <w:rFonts w:hint="default" w:ascii="Times New Roman" w:hAnsi="Times New Roman" w:eastAsia="宋体" w:cs="Times New Roman"/>
                <w:color w:val="000000" w:themeColor="text1"/>
                <w:sz w:val="24"/>
                <w:szCs w:val="24"/>
                <w14:textFill>
                  <w14:solidFill>
                    <w14:schemeClr w14:val="tx1"/>
                  </w14:solidFill>
                </w14:textFill>
              </w:rPr>
              <w:t>教育，严禁施工人员擅自捕杀野生动物，降</w:t>
            </w:r>
            <w:r>
              <w:rPr>
                <w:rFonts w:hint="default" w:ascii="Times New Roman" w:hAnsi="Times New Roman" w:eastAsia="宋体" w:cs="Times New Roman"/>
                <w:color w:val="000000" w:themeColor="text1"/>
                <w:spacing w:val="-1"/>
                <w:sz w:val="24"/>
                <w:szCs w:val="24"/>
                <w14:textFill>
                  <w14:solidFill>
                    <w14:schemeClr w14:val="tx1"/>
                  </w14:solidFill>
                </w14:textFill>
              </w:rPr>
              <w:t>低对动物种群动态的人为干扰。</w:t>
            </w:r>
          </w:p>
          <w:p w14:paraId="3EBF182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（3）水生生物及水质保护措施</w:t>
            </w:r>
          </w:p>
          <w:p w14:paraId="7C9D37C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本项目施工期较短，施工期影响随着施工期的结束而消失，且项目施工期安排在枯水期，施工期间只要施工期规范施工人员行为，严禁捕鱼及严禁向河中倾倒废弃物质污染水质，围堰拆除产生的土石方，禁止堆放至河边；禁止任</w:t>
            </w:r>
            <w:r>
              <w:rPr>
                <w:rFonts w:hint="default" w:ascii="Times New Roman" w:hAnsi="Times New Roman" w:eastAsia="宋体" w:cs="Times New Roman"/>
                <w:color w:val="000000" w:themeColor="text1"/>
                <w:spacing w:val="-2"/>
                <w:sz w:val="24"/>
                <w:szCs w:val="24"/>
                <w14:textFill>
                  <w14:solidFill>
                    <w14:schemeClr w14:val="tx1"/>
                  </w14:solidFill>
                </w14:textFill>
              </w:rPr>
              <w:t>何施工废水排入河道。</w:t>
            </w:r>
          </w:p>
          <w:p w14:paraId="06F9729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①设立专职人员进行管理，严禁电鱼、炸鱼、毒鱼等违法行为。</w:t>
            </w:r>
          </w:p>
          <w:p w14:paraId="0CF9F12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②树立环保观念，加强环保意识，规范施工人员的行为。</w:t>
            </w:r>
          </w:p>
          <w:p w14:paraId="0E312928">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③施工废水不外排，保持河道水质。</w:t>
            </w:r>
          </w:p>
          <w:p w14:paraId="0D64135F">
            <w:pPr>
              <w:pStyle w:val="116"/>
              <w:ind w:firstLine="480"/>
              <w:rPr>
                <w:rFonts w:hint="default" w:ascii="Times New Roman" w:hAnsi="Times New Roman" w:eastAsia="宋体" w:cs="Times New Roman"/>
                <w:color w:val="000000" w:themeColor="text1"/>
                <w:spacing w:val="-2"/>
                <w14:textFill>
                  <w14:solidFill>
                    <w14:schemeClr w14:val="tx1"/>
                  </w14:solidFill>
                </w14:textFill>
              </w:rPr>
            </w:pPr>
            <w:r>
              <w:rPr>
                <w:rFonts w:hint="default" w:ascii="Times New Roman" w:hAnsi="Times New Roman" w:eastAsia="宋体" w:cs="Times New Roman"/>
                <w:color w:val="000000" w:themeColor="text1"/>
                <w:spacing w:val="-2"/>
                <w14:textFill>
                  <w14:solidFill>
                    <w14:schemeClr w14:val="tx1"/>
                  </w14:solidFill>
                </w14:textFill>
              </w:rPr>
              <w:t>④施工期间如发现受伤、搁浅或被困的塔里木裂腹鱼，应立即停止该区域施工作业，报告</w:t>
            </w:r>
            <w:r>
              <w:rPr>
                <w:rFonts w:hint="default" w:ascii="Times New Roman" w:hAnsi="Times New Roman" w:eastAsia="宋体" w:cs="Times New Roman"/>
                <w:color w:val="000000" w:themeColor="text1"/>
                <w:spacing w:val="-2"/>
                <w:lang w:val="en-US" w:eastAsia="zh-CN"/>
                <w14:textFill>
                  <w14:solidFill>
                    <w14:schemeClr w14:val="tx1"/>
                  </w14:solidFill>
                </w14:textFill>
              </w:rPr>
              <w:t>渔业管理部门</w:t>
            </w:r>
            <w:r>
              <w:rPr>
                <w:rFonts w:hint="default" w:ascii="Times New Roman" w:hAnsi="Times New Roman" w:eastAsia="宋体" w:cs="Times New Roman"/>
                <w:color w:val="000000" w:themeColor="text1"/>
                <w:spacing w:val="-2"/>
                <w14:textFill>
                  <w14:solidFill>
                    <w14:schemeClr w14:val="tx1"/>
                  </w14:solidFill>
                </w14:textFill>
              </w:rPr>
              <w:t>，并采取临时救护措施（配备临时救护桶2个、增氧泵1台）。施工单位应在开工前与当地渔业主管部门建立联系机制，明确报告流程和救护责任人。</w:t>
            </w:r>
          </w:p>
          <w:p w14:paraId="65FB38A0">
            <w:pPr>
              <w:pStyle w:val="116"/>
              <w:ind w:firstLine="480"/>
              <w:rPr>
                <w:rFonts w:hint="default" w:ascii="Times New Roman" w:hAnsi="Times New Roman" w:eastAsia="宋体" w:cs="Times New Roman"/>
                <w:color w:val="000000" w:themeColor="text1"/>
                <w:spacing w:val="-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⑤密切关注天气预报，大雨来临前对施工场地内临时堆土（清废除土、表土等）采用防尘网+防水彩条布双层覆盖，四周用袋装土压脚，防止雨水冲刷造成水土流失入河；对施工场地内的沉淀池、隔油池提前进行清理，预留调蓄容积；大雨期间停止所有涉水及土方作业，安排专人巡查排水通道，确保场地积水不漫流进入河道；雨后及时检查围堰、边坡稳定性，清理冲刷沟槽，修复受损防护设施。</w:t>
            </w:r>
          </w:p>
          <w:p w14:paraId="5D9ECF6F">
            <w:pPr>
              <w:pStyle w:val="116"/>
              <w:ind w:firstLine="480"/>
              <w:rPr>
                <w:rFonts w:hint="default" w:ascii="Times New Roman" w:hAnsi="Times New Roman" w:eastAsia="宋体" w:cs="Times New Roman"/>
                <w:color w:val="000000" w:themeColor="text1"/>
                <w:spacing w:val="-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⑥施工机械统一停放于施工生产生活区内的硬化场地，下方铺设防渗托盘或防渗布，防止跑冒滴漏污染土壤及水体；严禁在河道、沟渠附近冲洗维修机械。建筑材料（水泥、砂石料等）集中堆放在原料堆场内，距河道岸线不少于30m，堆场底部铺设防渗布，四周设置截水沟，雨天采用防水篷布遮盖；备用柴油发电机燃料即买即用，不设储油罐，加油过程设置集油盘，防止滴漏。</w:t>
            </w:r>
          </w:p>
          <w:p w14:paraId="2879764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3"/>
                <w:sz w:val="24"/>
                <w:szCs w:val="24"/>
                <w14:textFill>
                  <w14:solidFill>
                    <w14:schemeClr w14:val="tx1"/>
                  </w14:solidFill>
                </w14:textFill>
              </w:rPr>
              <w:t>（4）土壤保护措施</w:t>
            </w:r>
          </w:p>
          <w:p w14:paraId="434E0D9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jc w:val="both"/>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施工过程中应加强施工管理，严格控制施工活动范围。开挖土方时，注意表土集中另行堆存，</w:t>
            </w:r>
            <w:r>
              <w:rPr>
                <w:rFonts w:hint="default" w:ascii="Times New Roman" w:hAnsi="Times New Roman" w:eastAsia="宋体" w:cs="Times New Roman"/>
                <w:color w:val="000000" w:themeColor="text1"/>
                <w:spacing w:val="-1"/>
                <w:kern w:val="2"/>
                <w:sz w:val="24"/>
                <w:szCs w:val="24"/>
                <w:lang w:val="en-US" w:eastAsia="zh-CN" w:bidi="ar-SA"/>
                <w14:textFill>
                  <w14:solidFill>
                    <w14:schemeClr w14:val="tx1"/>
                  </w14:solidFill>
                </w14:textFill>
              </w:rPr>
              <w:t>堆体表面采用防尘网（网目≥2000目/100cm²）全覆盖，四周用装土编织袋挡护，坡脚设置临时排水沟，定期洒水保持湿润，防止风蚀和水土流失。</w:t>
            </w:r>
            <w:r>
              <w:rPr>
                <w:rFonts w:hint="default" w:ascii="Times New Roman" w:hAnsi="Times New Roman" w:eastAsia="宋体" w:cs="Times New Roman"/>
                <w:color w:val="000000" w:themeColor="text1"/>
                <w:spacing w:val="2"/>
                <w:sz w:val="24"/>
                <w:szCs w:val="24"/>
                <w14:textFill>
                  <w14:solidFill>
                    <w14:schemeClr w14:val="tx1"/>
                  </w14:solidFill>
                </w14:textFill>
              </w:rPr>
              <w:t>在土方回填过程中，必须严格对表层土实行分层回填，表层土回填于上部，尽量减小因土壤回填活动对土壤养分造成的流失影响；尽量</w:t>
            </w:r>
            <w:r>
              <w:rPr>
                <w:rFonts w:hint="default" w:ascii="Times New Roman" w:hAnsi="Times New Roman" w:eastAsia="宋体" w:cs="Times New Roman"/>
                <w:color w:val="000000" w:themeColor="text1"/>
                <w:spacing w:val="-1"/>
                <w:sz w:val="24"/>
                <w:szCs w:val="24"/>
                <w14:textFill>
                  <w14:solidFill>
                    <w14:schemeClr w14:val="tx1"/>
                  </w14:solidFill>
                </w14:textFill>
              </w:rPr>
              <w:t>缩短土方开挖与回填的施工时间。</w:t>
            </w:r>
          </w:p>
          <w:p w14:paraId="6331BC9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（5）水土流失防治措施</w:t>
            </w:r>
          </w:p>
          <w:p w14:paraId="4DC6B6C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根据项目区水土流失现状及工程兴建引起的水土流失，针对本项目施工布置、施工特点，分别对项目区可能造成水土流失的区域（主体工程区、施工生产区与施工生活区、堆料区、施工道路、施工作业带等）进行水土保持措施设</w:t>
            </w:r>
            <w:r>
              <w:rPr>
                <w:rFonts w:hint="default" w:ascii="Times New Roman" w:hAnsi="Times New Roman" w:eastAsia="宋体" w:cs="Times New Roman"/>
                <w:color w:val="000000" w:themeColor="text1"/>
                <w:spacing w:val="-1"/>
                <w:sz w:val="24"/>
                <w:szCs w:val="24"/>
                <w14:textFill>
                  <w14:solidFill>
                    <w14:schemeClr w14:val="tx1"/>
                  </w14:solidFill>
                </w14:textFill>
              </w:rPr>
              <w:t>计，以避免由于工程建设而加剧水土流失、环境恶化。</w:t>
            </w:r>
          </w:p>
          <w:p w14:paraId="4EF96A0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4"/>
                <w:sz w:val="24"/>
                <w:szCs w:val="24"/>
                <w14:textFill>
                  <w14:solidFill>
                    <w14:schemeClr w14:val="tx1"/>
                  </w14:solidFill>
                </w14:textFill>
              </w:rPr>
              <w:t>1）防洪主体工程区</w:t>
            </w:r>
          </w:p>
          <w:p w14:paraId="4FC74F1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①工程措施</w:t>
            </w:r>
          </w:p>
          <w:p w14:paraId="7838093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jc w:val="both"/>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土地平整：在施工后期对防洪工程及临时工程管理范围内扰动的地表进行平整。土地平整施工时，前期利用推土机推平，将疏松扰动的地表推平并采取</w:t>
            </w:r>
            <w:r>
              <w:rPr>
                <w:rFonts w:hint="default" w:ascii="Times New Roman" w:hAnsi="Times New Roman" w:eastAsia="宋体" w:cs="Times New Roman"/>
                <w:color w:val="000000" w:themeColor="text1"/>
                <w:spacing w:val="-1"/>
                <w:sz w:val="24"/>
                <w:szCs w:val="24"/>
                <w14:textFill>
                  <w14:solidFill>
                    <w14:schemeClr w14:val="tx1"/>
                  </w14:solidFill>
                </w14:textFill>
              </w:rPr>
              <w:t>适量碾压措施，通过人工配合机械压实整平，减轻水土流失。</w:t>
            </w:r>
          </w:p>
          <w:p w14:paraId="1DD8385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②临时措施</w:t>
            </w:r>
          </w:p>
          <w:p w14:paraId="50C4D6A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洒水：为防止施工过程产生扬尘，施工中由于表层清废及开挖产生的临时弃土堆采取洒水措施，使堆土表面结皮，减少松散土壤水土流失，洒水时段为</w:t>
            </w:r>
            <w:r>
              <w:rPr>
                <w:rFonts w:hint="default" w:ascii="Times New Roman" w:hAnsi="Times New Roman" w:eastAsia="宋体" w:cs="Times New Roman"/>
                <w:color w:val="000000" w:themeColor="text1"/>
                <w:spacing w:val="-3"/>
                <w:sz w:val="24"/>
                <w:szCs w:val="24"/>
                <w14:textFill>
                  <w14:solidFill>
                    <w14:schemeClr w14:val="tx1"/>
                  </w14:solidFill>
                </w14:textFill>
              </w:rPr>
              <w:t>每天一次，由洒水车洒水。</w:t>
            </w:r>
          </w:p>
          <w:p w14:paraId="5FE249E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2）施工生产生活区防治措施</w:t>
            </w:r>
          </w:p>
          <w:p w14:paraId="7D31B07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①工程措施</w:t>
            </w:r>
          </w:p>
          <w:p w14:paraId="1E1F4AE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对施工生产生活区拆除结束后的土地平整措施，通过人工配合机械压实，</w:t>
            </w:r>
            <w:r>
              <w:rPr>
                <w:rFonts w:hint="default" w:ascii="Times New Roman" w:hAnsi="Times New Roman" w:eastAsia="宋体" w:cs="Times New Roman"/>
                <w:color w:val="000000" w:themeColor="text1"/>
                <w:spacing w:val="-1"/>
                <w:sz w:val="24"/>
                <w:szCs w:val="24"/>
                <w14:textFill>
                  <w14:solidFill>
                    <w14:schemeClr w14:val="tx1"/>
                  </w14:solidFill>
                </w14:textFill>
              </w:rPr>
              <w:t>使扰动表层形成压实体，减轻水土流失。</w:t>
            </w:r>
          </w:p>
          <w:p w14:paraId="7BC1454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②临时措施</w:t>
            </w:r>
          </w:p>
          <w:p w14:paraId="57A950D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施工过程中对临时施工区域采取洒水措施，洒水能有效降低扬尘，减少施</w:t>
            </w:r>
            <w:r>
              <w:rPr>
                <w:rFonts w:hint="default" w:ascii="Times New Roman" w:hAnsi="Times New Roman" w:eastAsia="宋体" w:cs="Times New Roman"/>
                <w:color w:val="000000" w:themeColor="text1"/>
                <w:spacing w:val="-3"/>
                <w:sz w:val="24"/>
                <w:szCs w:val="24"/>
                <w14:textFill>
                  <w14:solidFill>
                    <w14:schemeClr w14:val="tx1"/>
                  </w14:solidFill>
                </w14:textFill>
              </w:rPr>
              <w:t>工过程中因风蚀造成的水土流失。洒水时段</w:t>
            </w:r>
            <w:r>
              <w:rPr>
                <w:rFonts w:hint="default" w:ascii="Times New Roman" w:hAnsi="Times New Roman" w:eastAsia="宋体" w:cs="Times New Roman"/>
                <w:color w:val="000000" w:themeColor="text1"/>
                <w:spacing w:val="-4"/>
                <w:sz w:val="24"/>
                <w:szCs w:val="24"/>
                <w14:textFill>
                  <w14:solidFill>
                    <w14:schemeClr w14:val="tx1"/>
                  </w14:solidFill>
                </w14:textFill>
              </w:rPr>
              <w:t>为开工至施工结束，洒水时间</w:t>
            </w:r>
            <w:r>
              <w:rPr>
                <w:rFonts w:hint="default" w:ascii="Times New Roman" w:hAnsi="Times New Roman" w:eastAsia="宋体" w:cs="Times New Roman"/>
                <w:color w:val="000000" w:themeColor="text1"/>
                <w:spacing w:val="-4"/>
                <w:sz w:val="24"/>
                <w:szCs w:val="24"/>
                <w:lang w:val="en-US" w:eastAsia="zh-CN"/>
                <w14:textFill>
                  <w14:solidFill>
                    <w14:schemeClr w14:val="tx1"/>
                  </w14:solidFill>
                </w14:textFill>
              </w:rPr>
              <w:t>97天</w:t>
            </w:r>
            <w:r>
              <w:rPr>
                <w:rFonts w:hint="default" w:ascii="Times New Roman" w:hAnsi="Times New Roman" w:eastAsia="宋体" w:cs="Times New Roman"/>
                <w:color w:val="000000" w:themeColor="text1"/>
                <w:spacing w:val="-1"/>
                <w:sz w:val="24"/>
                <w:szCs w:val="24"/>
                <w14:textFill>
                  <w14:solidFill>
                    <w14:schemeClr w14:val="tx1"/>
                  </w14:solidFill>
                </w14:textFill>
              </w:rPr>
              <w:t>，洒水水源为</w:t>
            </w:r>
            <w:r>
              <w:rPr>
                <w:rFonts w:hint="default" w:ascii="Times New Roman" w:hAnsi="Times New Roman" w:eastAsia="宋体" w:cs="Times New Roman"/>
                <w:color w:val="000000" w:themeColor="text1"/>
                <w:spacing w:val="-1"/>
                <w:sz w:val="24"/>
                <w:szCs w:val="24"/>
                <w:lang w:eastAsia="zh-CN"/>
                <w14:textFill>
                  <w14:solidFill>
                    <w14:schemeClr w14:val="tx1"/>
                  </w14:solidFill>
                </w14:textFill>
              </w:rPr>
              <w:t>叶尔羌河</w:t>
            </w:r>
            <w:r>
              <w:rPr>
                <w:rFonts w:hint="default" w:ascii="Times New Roman" w:hAnsi="Times New Roman" w:eastAsia="宋体" w:cs="Times New Roman"/>
                <w:color w:val="000000" w:themeColor="text1"/>
                <w:spacing w:val="-1"/>
                <w:sz w:val="24"/>
                <w:szCs w:val="24"/>
                <w14:textFill>
                  <w14:solidFill>
                    <w14:schemeClr w14:val="tx1"/>
                  </w14:solidFill>
                </w14:textFill>
              </w:rPr>
              <w:t>河水。</w:t>
            </w:r>
          </w:p>
          <w:p w14:paraId="37D850E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3）堆料区</w:t>
            </w:r>
          </w:p>
          <w:p w14:paraId="69AA91B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本工程垫层所用砂石料和清基表土分区在堆料场区内堆放，堆放期间应采用防尘网对砂石料和剥离表土进行苫盖，并采用袋装土、砖块等重物对防尘网底边进行压盖，防止由于大风将防尘网刮起产生的水土流失。施工结束后采取</w:t>
            </w:r>
            <w:r>
              <w:rPr>
                <w:rFonts w:hint="default" w:ascii="Times New Roman" w:hAnsi="Times New Roman" w:eastAsia="宋体" w:cs="Times New Roman"/>
                <w:color w:val="000000" w:themeColor="text1"/>
                <w:sz w:val="24"/>
                <w:szCs w:val="24"/>
                <w14:textFill>
                  <w14:solidFill>
                    <w14:schemeClr w14:val="tx1"/>
                  </w14:solidFill>
                </w14:textFill>
              </w:rPr>
              <w:t>场地平整，并进行表土覆盖措施进行人工植被</w:t>
            </w:r>
            <w:r>
              <w:rPr>
                <w:rFonts w:hint="default" w:ascii="Times New Roman" w:hAnsi="Times New Roman" w:eastAsia="宋体" w:cs="Times New Roman"/>
                <w:color w:val="000000" w:themeColor="text1"/>
                <w:spacing w:val="-1"/>
                <w:sz w:val="24"/>
                <w:szCs w:val="24"/>
                <w14:textFill>
                  <w14:solidFill>
                    <w14:schemeClr w14:val="tx1"/>
                  </w14:solidFill>
                </w14:textFill>
              </w:rPr>
              <w:t>恢复，恢复原有地貌。</w:t>
            </w:r>
          </w:p>
          <w:p w14:paraId="40CB70C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4）施工道路</w:t>
            </w:r>
          </w:p>
          <w:p w14:paraId="4A1CBDC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为有效地抑制车辆及施工人员扰动地表引起的扬尘施工</w:t>
            </w:r>
            <w:r>
              <w:rPr>
                <w:rFonts w:hint="default" w:ascii="Times New Roman" w:hAnsi="Times New Roman" w:eastAsia="宋体" w:cs="Times New Roman"/>
                <w:color w:val="000000" w:themeColor="text1"/>
                <w:spacing w:val="2"/>
                <w:sz w:val="24"/>
                <w:szCs w:val="24"/>
                <w:lang w:eastAsia="zh-CN"/>
                <w14:textFill>
                  <w14:solidFill>
                    <w14:schemeClr w14:val="tx1"/>
                  </w14:solidFill>
                </w14:textFill>
              </w:rPr>
              <w:t>期间</w:t>
            </w:r>
            <w:r>
              <w:rPr>
                <w:rFonts w:hint="default" w:ascii="Times New Roman" w:hAnsi="Times New Roman" w:eastAsia="宋体" w:cs="Times New Roman"/>
                <w:color w:val="000000" w:themeColor="text1"/>
                <w:spacing w:val="2"/>
                <w:sz w:val="24"/>
                <w:szCs w:val="24"/>
                <w14:textFill>
                  <w14:solidFill>
                    <w14:schemeClr w14:val="tx1"/>
                  </w14:solidFill>
                </w14:textFill>
              </w:rPr>
              <w:t>对施工道路采取</w:t>
            </w:r>
            <w:r>
              <w:rPr>
                <w:rFonts w:hint="default" w:ascii="Times New Roman" w:hAnsi="Times New Roman" w:eastAsia="宋体" w:cs="Times New Roman"/>
                <w:color w:val="000000" w:themeColor="text1"/>
                <w:spacing w:val="-1"/>
                <w:sz w:val="24"/>
                <w:szCs w:val="24"/>
                <w14:textFill>
                  <w14:solidFill>
                    <w14:schemeClr w14:val="tx1"/>
                  </w14:solidFill>
                </w14:textFill>
              </w:rPr>
              <w:t>洒水抑尘的措施，有效地抑制施工车辆引起的扬尘。</w:t>
            </w:r>
          </w:p>
          <w:p w14:paraId="5A6200B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5）施工作业带</w:t>
            </w:r>
          </w:p>
          <w:p w14:paraId="1F8CF76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①植物措施</w:t>
            </w:r>
          </w:p>
          <w:p w14:paraId="2B2EDBA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jc w:val="both"/>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防洪工程完工后，对临时工程区域及施工作业带进行</w:t>
            </w:r>
            <w:r>
              <w:rPr>
                <w:rFonts w:hint="default" w:ascii="Times New Roman" w:hAnsi="Times New Roman" w:eastAsia="宋体" w:cs="Times New Roman"/>
                <w:color w:val="000000" w:themeColor="text1"/>
                <w:spacing w:val="1"/>
                <w:sz w:val="24"/>
                <w:szCs w:val="24"/>
                <w14:textFill>
                  <w14:solidFill>
                    <w14:schemeClr w14:val="tx1"/>
                  </w14:solidFill>
                </w14:textFill>
              </w:rPr>
              <w:t>撒播草籽绿化，草籽</w:t>
            </w:r>
            <w:r>
              <w:rPr>
                <w:rFonts w:hint="default" w:ascii="Times New Roman" w:hAnsi="Times New Roman" w:eastAsia="宋体" w:cs="Times New Roman"/>
                <w:color w:val="000000" w:themeColor="text1"/>
                <w:spacing w:val="2"/>
                <w:sz w:val="24"/>
                <w:szCs w:val="24"/>
                <w14:textFill>
                  <w14:solidFill>
                    <w14:schemeClr w14:val="tx1"/>
                  </w14:solidFill>
                </w14:textFill>
              </w:rPr>
              <w:t>品种选择与原地表植被相同的种类，恢复措施的时间为秋季，可充分利用冬季融雪后土壤湿润进行萌发，依靠天然降水与地下水能够正常的生长。播撒草籽通过根系对土壤的固着作用，以及植物枝叶和地被植物的有关作用能达到涵养</w:t>
            </w:r>
            <w:r>
              <w:rPr>
                <w:rFonts w:hint="default" w:ascii="Times New Roman" w:hAnsi="Times New Roman" w:eastAsia="宋体" w:cs="Times New Roman"/>
                <w:color w:val="000000" w:themeColor="text1"/>
                <w:sz w:val="24"/>
                <w:szCs w:val="24"/>
                <w14:textFill>
                  <w14:solidFill>
                    <w14:schemeClr w14:val="tx1"/>
                  </w14:solidFill>
                </w14:textFill>
              </w:rPr>
              <w:t>水源的目的，并能阻止或减少地表径流，降</w:t>
            </w:r>
            <w:r>
              <w:rPr>
                <w:rFonts w:hint="default" w:ascii="Times New Roman" w:hAnsi="Times New Roman" w:eastAsia="宋体" w:cs="Times New Roman"/>
                <w:color w:val="000000" w:themeColor="text1"/>
                <w:spacing w:val="-1"/>
                <w:sz w:val="24"/>
                <w:szCs w:val="24"/>
                <w14:textFill>
                  <w14:solidFill>
                    <w14:schemeClr w14:val="tx1"/>
                  </w14:solidFill>
                </w14:textFill>
              </w:rPr>
              <w:t>低和防止雨水冲刷地表。</w:t>
            </w:r>
          </w:p>
          <w:p w14:paraId="3F8D4EE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②管理措施</w:t>
            </w:r>
          </w:p>
          <w:p w14:paraId="76258F8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为减少工程建设过</w:t>
            </w:r>
            <w:r>
              <w:rPr>
                <w:rFonts w:hint="eastAsia" w:ascii="Times New Roman" w:hAnsi="Times New Roman" w:eastAsia="宋体" w:cs="Times New Roman"/>
                <w:color w:val="000000" w:themeColor="text1"/>
                <w:spacing w:val="2"/>
                <w:sz w:val="24"/>
                <w:szCs w:val="24"/>
                <w:lang w:eastAsia="zh-CN"/>
                <w14:textFill>
                  <w14:solidFill>
                    <w14:schemeClr w14:val="tx1"/>
                  </w14:solidFill>
                </w14:textFill>
              </w:rPr>
              <w:t>程中</w:t>
            </w:r>
            <w:r>
              <w:rPr>
                <w:rFonts w:hint="default" w:ascii="Times New Roman" w:hAnsi="Times New Roman" w:eastAsia="宋体" w:cs="Times New Roman"/>
                <w:color w:val="000000" w:themeColor="text1"/>
                <w:spacing w:val="2"/>
                <w:sz w:val="24"/>
                <w:szCs w:val="24"/>
                <w14:textFill>
                  <w14:solidFill>
                    <w14:schemeClr w14:val="tx1"/>
                  </w14:solidFill>
                </w14:textFill>
              </w:rPr>
              <w:t>产生的水土流失，除了具体的工程措施、植物措施和</w:t>
            </w:r>
            <w:r>
              <w:rPr>
                <w:rFonts w:hint="default" w:ascii="Times New Roman" w:hAnsi="Times New Roman" w:eastAsia="宋体" w:cs="Times New Roman"/>
                <w:color w:val="000000" w:themeColor="text1"/>
                <w:spacing w:val="-1"/>
                <w:sz w:val="24"/>
                <w:szCs w:val="24"/>
                <w14:textFill>
                  <w14:solidFill>
                    <w14:schemeClr w14:val="tx1"/>
                  </w14:solidFill>
                </w14:textFill>
              </w:rPr>
              <w:t>临时措施以外，还应加强工程施工阶段的管理措施：</w:t>
            </w:r>
          </w:p>
          <w:p w14:paraId="231D524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4"/>
                <w:sz w:val="24"/>
                <w:szCs w:val="24"/>
                <w14:textFill>
                  <w14:solidFill>
                    <w14:schemeClr w14:val="tx1"/>
                  </w14:solidFill>
                </w14:textFill>
              </w:rPr>
              <w:t>A、施工结束后，及时拆除、清理临时生产设施、围堰等各类施工迹地，平</w:t>
            </w:r>
            <w:r>
              <w:rPr>
                <w:rFonts w:hint="default" w:ascii="Times New Roman" w:hAnsi="Times New Roman" w:eastAsia="宋体" w:cs="Times New Roman"/>
                <w:color w:val="000000" w:themeColor="text1"/>
                <w:spacing w:val="2"/>
                <w:sz w:val="24"/>
                <w:szCs w:val="24"/>
                <w14:textFill>
                  <w14:solidFill>
                    <w14:schemeClr w14:val="tx1"/>
                  </w14:solidFill>
                </w14:textFill>
              </w:rPr>
              <w:t>整场地，将施工围堰土方及时回填于坡脚，使扰动过的地表与周围的景观相协</w:t>
            </w:r>
            <w:r>
              <w:rPr>
                <w:rFonts w:hint="default" w:ascii="Times New Roman" w:hAnsi="Times New Roman" w:eastAsia="宋体" w:cs="Times New Roman"/>
                <w:color w:val="000000" w:themeColor="text1"/>
                <w:spacing w:val="-2"/>
                <w:sz w:val="24"/>
                <w:szCs w:val="24"/>
                <w14:textFill>
                  <w14:solidFill>
                    <w14:schemeClr w14:val="tx1"/>
                  </w14:solidFill>
                </w14:textFill>
              </w:rPr>
              <w:t>调，使其恢复至原貌。</w:t>
            </w:r>
          </w:p>
          <w:p w14:paraId="32194F4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B、挖掘的土方合理堆放，及时回填，及时恢复挖方段的植被覆</w:t>
            </w:r>
            <w:r>
              <w:rPr>
                <w:rFonts w:hint="default" w:ascii="Times New Roman" w:hAnsi="Times New Roman" w:eastAsia="宋体" w:cs="Times New Roman"/>
                <w:color w:val="000000" w:themeColor="text1"/>
                <w:spacing w:val="-2"/>
                <w:sz w:val="24"/>
                <w:szCs w:val="24"/>
                <w14:textFill>
                  <w14:solidFill>
                    <w14:schemeClr w14:val="tx1"/>
                  </w14:solidFill>
                </w14:textFill>
              </w:rPr>
              <w:t>盖。</w:t>
            </w:r>
          </w:p>
          <w:p w14:paraId="2BD3B9C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4"/>
                <w:sz w:val="24"/>
                <w:szCs w:val="24"/>
                <w14:textFill>
                  <w14:solidFill>
                    <w14:schemeClr w14:val="tx1"/>
                  </w14:solidFill>
                </w14:textFill>
              </w:rPr>
              <w:t>C、为了保护项目区的生态，工程挖方、回填采取分段集中施工的原则，挖</w:t>
            </w:r>
            <w:r>
              <w:rPr>
                <w:rFonts w:hint="default" w:ascii="Times New Roman" w:hAnsi="Times New Roman" w:eastAsia="宋体" w:cs="Times New Roman"/>
                <w:color w:val="000000" w:themeColor="text1"/>
                <w:spacing w:val="2"/>
                <w:sz w:val="24"/>
                <w:szCs w:val="24"/>
                <w14:textFill>
                  <w14:solidFill>
                    <w14:schemeClr w14:val="tx1"/>
                  </w14:solidFill>
                </w14:textFill>
              </w:rPr>
              <w:t>方段表层土壤可进行异地移植或存放，及时移植到已施工完毕的地段进行覆盖</w:t>
            </w:r>
            <w:r>
              <w:rPr>
                <w:rFonts w:hint="default" w:ascii="Times New Roman" w:hAnsi="Times New Roman" w:eastAsia="宋体" w:cs="Times New Roman"/>
                <w:color w:val="000000" w:themeColor="text1"/>
                <w:spacing w:val="-1"/>
                <w:sz w:val="24"/>
                <w:szCs w:val="24"/>
                <w14:textFill>
                  <w14:solidFill>
                    <w14:schemeClr w14:val="tx1"/>
                  </w14:solidFill>
                </w14:textFill>
              </w:rPr>
              <w:t>恢复，极大地保持施工段景观的自然性。</w:t>
            </w:r>
          </w:p>
          <w:p w14:paraId="5D255AB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3"/>
                <w:sz w:val="24"/>
                <w:szCs w:val="24"/>
                <w14:textFill>
                  <w14:solidFill>
                    <w14:schemeClr w14:val="tx1"/>
                  </w14:solidFill>
                </w14:textFill>
              </w:rPr>
              <w:t>D、在施工场地出入口，</w:t>
            </w:r>
            <w:r>
              <w:rPr>
                <w:rFonts w:hint="eastAsia" w:ascii="Times New Roman" w:hAnsi="Times New Roman" w:eastAsia="宋体" w:cs="Times New Roman"/>
                <w:color w:val="000000" w:themeColor="text1"/>
                <w:spacing w:val="-3"/>
                <w:sz w:val="24"/>
                <w:szCs w:val="24"/>
                <w:lang w:eastAsia="zh-CN"/>
                <w14:textFill>
                  <w14:solidFill>
                    <w14:schemeClr w14:val="tx1"/>
                  </w14:solidFill>
                </w14:textFill>
              </w:rPr>
              <w:t>竖立</w:t>
            </w:r>
            <w:r>
              <w:rPr>
                <w:rFonts w:hint="default" w:ascii="Times New Roman" w:hAnsi="Times New Roman" w:eastAsia="宋体" w:cs="Times New Roman"/>
                <w:color w:val="000000" w:themeColor="text1"/>
                <w:spacing w:val="-3"/>
                <w:sz w:val="24"/>
                <w:szCs w:val="24"/>
                <w14:textFill>
                  <w14:solidFill>
                    <w14:schemeClr w14:val="tx1"/>
                  </w14:solidFill>
                </w14:textFill>
              </w:rPr>
              <w:t>保护植被和野生动物的警示牌，以提醒施工作业人员。</w:t>
            </w:r>
          </w:p>
          <w:p w14:paraId="446D711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3"/>
                <w:sz w:val="24"/>
                <w:szCs w:val="24"/>
                <w14:textFill>
                  <w14:solidFill>
                    <w14:schemeClr w14:val="tx1"/>
                  </w14:solidFill>
                </w14:textFill>
              </w:rPr>
              <w:t>E、严禁施工材料乱堆、乱放，要划定适宜的建筑材料临时堆放场所，以防</w:t>
            </w:r>
            <w:r>
              <w:rPr>
                <w:rFonts w:hint="default" w:ascii="Times New Roman" w:hAnsi="Times New Roman" w:eastAsia="宋体" w:cs="Times New Roman"/>
                <w:color w:val="000000" w:themeColor="text1"/>
                <w:spacing w:val="-1"/>
                <w:sz w:val="24"/>
                <w:szCs w:val="24"/>
                <w14:textFill>
                  <w14:solidFill>
                    <w14:schemeClr w14:val="tx1"/>
                  </w14:solidFill>
                </w14:textFill>
              </w:rPr>
              <w:t>对植被破坏范围的扩大。</w:t>
            </w:r>
          </w:p>
          <w:p w14:paraId="1A7BFF8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F、教育施工人员保护植被，不随意滥采乱挖区域周边资源植物，严禁将沿</w:t>
            </w:r>
            <w:r>
              <w:rPr>
                <w:rFonts w:hint="default" w:ascii="Times New Roman" w:hAnsi="Times New Roman" w:eastAsia="宋体" w:cs="Times New Roman"/>
                <w:color w:val="000000" w:themeColor="text1"/>
                <w:spacing w:val="-1"/>
                <w:sz w:val="24"/>
                <w:szCs w:val="24"/>
                <w14:textFill>
                  <w14:solidFill>
                    <w14:schemeClr w14:val="tx1"/>
                  </w14:solidFill>
                </w14:textFill>
              </w:rPr>
              <w:t>线的自然植被</w:t>
            </w:r>
            <w:r>
              <w:rPr>
                <w:rFonts w:hint="eastAsia" w:ascii="Times New Roman" w:hAnsi="Times New Roman" w:eastAsia="宋体" w:cs="Times New Roman"/>
                <w:color w:val="000000" w:themeColor="text1"/>
                <w:spacing w:val="-1"/>
                <w:sz w:val="24"/>
                <w:szCs w:val="24"/>
                <w:lang w:eastAsia="zh-CN"/>
                <w14:textFill>
                  <w14:solidFill>
                    <w14:schemeClr w14:val="tx1"/>
                  </w14:solidFill>
                </w14:textFill>
              </w:rPr>
              <w:t>做</w:t>
            </w:r>
            <w:r>
              <w:rPr>
                <w:rFonts w:hint="default" w:ascii="Times New Roman" w:hAnsi="Times New Roman" w:eastAsia="宋体" w:cs="Times New Roman"/>
                <w:color w:val="000000" w:themeColor="text1"/>
                <w:spacing w:val="-1"/>
                <w:sz w:val="24"/>
                <w:szCs w:val="24"/>
                <w14:textFill>
                  <w14:solidFill>
                    <w14:schemeClr w14:val="tx1"/>
                  </w14:solidFill>
                </w14:textFill>
              </w:rPr>
              <w:t>建材使用，加强对项目区周边植被的保护工作。</w:t>
            </w:r>
          </w:p>
          <w:p w14:paraId="0843F6C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3"/>
                <w:sz w:val="24"/>
                <w:szCs w:val="24"/>
                <w14:textFill>
                  <w14:solidFill>
                    <w14:schemeClr w14:val="tx1"/>
                  </w14:solidFill>
                </w14:textFill>
              </w:rPr>
              <w:t>G、施工结束后，要做好施工基地的恢复工作，使工程建设区的景观</w:t>
            </w:r>
            <w:r>
              <w:rPr>
                <w:rFonts w:hint="default" w:ascii="Times New Roman" w:hAnsi="Times New Roman" w:eastAsia="宋体" w:cs="Times New Roman"/>
                <w:color w:val="000000" w:themeColor="text1"/>
                <w:spacing w:val="-4"/>
                <w:sz w:val="24"/>
                <w:szCs w:val="24"/>
                <w14:textFill>
                  <w14:solidFill>
                    <w14:schemeClr w14:val="tx1"/>
                  </w14:solidFill>
                </w14:textFill>
              </w:rPr>
              <w:t>与周围</w:t>
            </w:r>
            <w:r>
              <w:rPr>
                <w:rFonts w:hint="default" w:ascii="Times New Roman" w:hAnsi="Times New Roman" w:eastAsia="宋体" w:cs="Times New Roman"/>
                <w:color w:val="000000" w:themeColor="text1"/>
                <w:spacing w:val="-2"/>
                <w:sz w:val="24"/>
                <w:szCs w:val="24"/>
                <w14:textFill>
                  <w14:solidFill>
                    <w14:schemeClr w14:val="tx1"/>
                  </w14:solidFill>
                </w14:textFill>
              </w:rPr>
              <w:t>环境相协调。</w:t>
            </w:r>
          </w:p>
          <w:p w14:paraId="105D575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3"/>
                <w:sz w:val="24"/>
                <w:szCs w:val="24"/>
                <w14:textFill>
                  <w14:solidFill>
                    <w14:schemeClr w14:val="tx1"/>
                  </w14:solidFill>
                </w14:textFill>
              </w:rPr>
              <w:t>H、建议施工队伍在施工的过程中准备一定数量防护物（塑料布、彩色篷布</w:t>
            </w:r>
            <w:r>
              <w:rPr>
                <w:rFonts w:hint="default" w:ascii="Times New Roman" w:hAnsi="Times New Roman" w:eastAsia="宋体" w:cs="Times New Roman"/>
                <w:color w:val="000000" w:themeColor="text1"/>
                <w:spacing w:val="2"/>
                <w:sz w:val="24"/>
                <w:szCs w:val="24"/>
                <w14:textFill>
                  <w14:solidFill>
                    <w14:schemeClr w14:val="tx1"/>
                  </w14:solidFill>
                </w14:textFill>
              </w:rPr>
              <w:t>等</w:t>
            </w:r>
            <w:r>
              <w:rPr>
                <w:rFonts w:hint="default" w:ascii="Times New Roman" w:hAnsi="Times New Roman" w:eastAsia="宋体" w:cs="Times New Roman"/>
                <w:color w:val="000000" w:themeColor="text1"/>
                <w:spacing w:val="8"/>
                <w:sz w:val="24"/>
                <w:szCs w:val="24"/>
                <w14:textFill>
                  <w14:solidFill>
                    <w14:schemeClr w14:val="tx1"/>
                  </w14:solidFill>
                </w14:textFill>
              </w:rPr>
              <w:t>），</w:t>
            </w:r>
            <w:r>
              <w:rPr>
                <w:rFonts w:hint="default" w:ascii="Times New Roman" w:hAnsi="Times New Roman" w:eastAsia="宋体" w:cs="Times New Roman"/>
                <w:color w:val="000000" w:themeColor="text1"/>
                <w:spacing w:val="2"/>
                <w:sz w:val="24"/>
                <w:szCs w:val="24"/>
                <w14:textFill>
                  <w14:solidFill>
                    <w14:schemeClr w14:val="tx1"/>
                  </w14:solidFill>
                </w14:textFill>
              </w:rPr>
              <w:t>在得知暴雨来临之前，将易受侵蚀的裸露地面</w:t>
            </w:r>
            <w:r>
              <w:rPr>
                <w:rFonts w:hint="default" w:ascii="Times New Roman" w:hAnsi="Times New Roman" w:eastAsia="宋体" w:cs="Times New Roman"/>
                <w:color w:val="000000" w:themeColor="text1"/>
                <w:spacing w:val="1"/>
                <w:sz w:val="24"/>
                <w:szCs w:val="24"/>
                <w14:textFill>
                  <w14:solidFill>
                    <w14:schemeClr w14:val="tx1"/>
                  </w14:solidFill>
                </w14:textFill>
              </w:rPr>
              <w:t>覆盖起来，以减少雨水对</w:t>
            </w:r>
            <w:r>
              <w:rPr>
                <w:rFonts w:hint="default" w:ascii="Times New Roman" w:hAnsi="Times New Roman" w:eastAsia="宋体" w:cs="Times New Roman"/>
                <w:color w:val="000000" w:themeColor="text1"/>
                <w:spacing w:val="-1"/>
                <w:sz w:val="24"/>
                <w:szCs w:val="24"/>
                <w14:textFill>
                  <w14:solidFill>
                    <w14:schemeClr w14:val="tx1"/>
                  </w14:solidFill>
                </w14:textFill>
              </w:rPr>
              <w:t>易受侵蚀的裸露地面的直接冲刷，降低水土流失。</w:t>
            </w:r>
          </w:p>
          <w:p w14:paraId="7D992BA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（6）沙化土地防治措施</w:t>
            </w:r>
          </w:p>
          <w:p w14:paraId="21B7165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1）强化生态环境保护意识，对施工人员进行环境保护知识教育。</w:t>
            </w:r>
          </w:p>
          <w:p w14:paraId="14402C2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6"/>
                <w:sz w:val="24"/>
                <w:szCs w:val="24"/>
                <w14:textFill>
                  <w14:solidFill>
                    <w14:schemeClr w14:val="tx1"/>
                  </w14:solidFill>
                </w14:textFill>
              </w:rPr>
              <w:t>2）采取尽量减少占地、控制施工范围、减少扰动面积、分层开挖分层回填、</w:t>
            </w:r>
            <w:r>
              <w:rPr>
                <w:rFonts w:hint="default" w:ascii="Times New Roman" w:hAnsi="Times New Roman" w:eastAsia="宋体" w:cs="Times New Roman"/>
                <w:color w:val="000000" w:themeColor="text1"/>
                <w:spacing w:val="-3"/>
                <w:sz w:val="24"/>
                <w:szCs w:val="24"/>
                <w14:textFill>
                  <w14:solidFill>
                    <w14:schemeClr w14:val="tx1"/>
                  </w14:solidFill>
                </w14:textFill>
              </w:rPr>
              <w:t>减少地表开挖裸露时间、避开雨季及大风天气施工、及时进行迹地恢复等措施；</w:t>
            </w:r>
          </w:p>
          <w:p w14:paraId="2B91DD1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3）严格按照设计的占地面积等要求开挖，弃土优先综合利用，施工结束后</w:t>
            </w:r>
            <w:r>
              <w:rPr>
                <w:rFonts w:hint="default" w:ascii="Times New Roman" w:hAnsi="Times New Roman" w:eastAsia="宋体" w:cs="Times New Roman"/>
                <w:color w:val="000000" w:themeColor="text1"/>
                <w:spacing w:val="-1"/>
                <w:sz w:val="24"/>
                <w:szCs w:val="24"/>
                <w14:textFill>
                  <w14:solidFill>
                    <w14:schemeClr w14:val="tx1"/>
                  </w14:solidFill>
                </w14:textFill>
              </w:rPr>
              <w:t>采用土地整治方法、绿化方法，减少水土流失；</w:t>
            </w:r>
          </w:p>
          <w:p w14:paraId="64CB663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4）对临时占地的开挖土方实行分层堆放，全部表</w:t>
            </w:r>
            <w:r>
              <w:rPr>
                <w:rFonts w:hint="default" w:ascii="Times New Roman" w:hAnsi="Times New Roman" w:eastAsia="宋体" w:cs="Times New Roman"/>
                <w:color w:val="000000" w:themeColor="text1"/>
                <w:spacing w:val="-2"/>
                <w:sz w:val="24"/>
                <w:szCs w:val="24"/>
                <w14:textFill>
                  <w14:solidFill>
                    <w14:schemeClr w14:val="tx1"/>
                  </w14:solidFill>
                </w14:textFill>
              </w:rPr>
              <w:t>土都应分开堆放并标注清楚，至少地表0.3m厚的土层应被视作表土。填</w:t>
            </w:r>
            <w:r>
              <w:rPr>
                <w:rFonts w:hint="default" w:ascii="Times New Roman" w:hAnsi="Times New Roman" w:eastAsia="宋体" w:cs="Times New Roman"/>
                <w:color w:val="000000" w:themeColor="text1"/>
                <w:spacing w:val="-3"/>
                <w:sz w:val="24"/>
                <w:szCs w:val="24"/>
                <w14:textFill>
                  <w14:solidFill>
                    <w14:schemeClr w14:val="tx1"/>
                  </w14:solidFill>
                </w14:textFill>
              </w:rPr>
              <w:t>埋时也应分层回填，尽可能保持</w:t>
            </w:r>
            <w:r>
              <w:rPr>
                <w:rFonts w:hint="default" w:ascii="Times New Roman" w:hAnsi="Times New Roman" w:eastAsia="宋体" w:cs="Times New Roman"/>
                <w:color w:val="000000" w:themeColor="text1"/>
                <w:spacing w:val="-1"/>
                <w:sz w:val="24"/>
                <w:szCs w:val="24"/>
                <w14:textFill>
                  <w14:solidFill>
                    <w14:schemeClr w14:val="tx1"/>
                  </w14:solidFill>
                </w14:textFill>
              </w:rPr>
              <w:t>原有地表植被的生长环境、土壤肥力，以便于日后植被恢复。</w:t>
            </w:r>
          </w:p>
          <w:p w14:paraId="1F17E1C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5）对完工的裸露地面要尽早平整，及时绿化场地，尽量减少大型机械施工，</w:t>
            </w:r>
            <w:r>
              <w:rPr>
                <w:rFonts w:hint="default" w:ascii="Times New Roman" w:hAnsi="Times New Roman" w:eastAsia="宋体" w:cs="Times New Roman"/>
                <w:color w:val="000000" w:themeColor="text1"/>
                <w:spacing w:val="-1"/>
                <w:sz w:val="24"/>
                <w:szCs w:val="24"/>
                <w14:textFill>
                  <w14:solidFill>
                    <w14:schemeClr w14:val="tx1"/>
                  </w14:solidFill>
                </w14:textFill>
              </w:rPr>
              <w:t>及时回填，进行碾压，缩短裸露时间，减少扬尘发生。</w:t>
            </w:r>
          </w:p>
          <w:p w14:paraId="12B0C3B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6）施工开挖土方堆存过程中使用防尘网，并定期洒水抑尘。</w:t>
            </w:r>
          </w:p>
          <w:p w14:paraId="0FF2CDF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7）施工结束后立即开展绿化复种工作，并保证存活率。8）严禁破坏占地范围外的植被，尤其等优良固沙植物。</w:t>
            </w:r>
          </w:p>
          <w:p w14:paraId="7D2993B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9）严禁在大风天气进行土方作业。粉状材料及临时土方等在堆场应采取覆</w:t>
            </w:r>
            <w:r>
              <w:rPr>
                <w:rFonts w:hint="default" w:ascii="Times New Roman" w:hAnsi="Times New Roman" w:eastAsia="宋体" w:cs="Times New Roman"/>
                <w:color w:val="000000" w:themeColor="text1"/>
                <w:spacing w:val="2"/>
                <w:sz w:val="24"/>
                <w:szCs w:val="24"/>
                <w14:textFill>
                  <w14:solidFill>
                    <w14:schemeClr w14:val="tx1"/>
                  </w14:solidFill>
                </w14:textFill>
              </w:rPr>
              <w:t>盖防尘布，逸散性材料运输采用篷布遮盖，减少施工扬尘产生量和起沙量。针对施工机械及运输车辆，提出如下措施：施工期间应划定施工活动范围，严格控制和管理运输车辆及重型机械的运行线路和范围，不得离开运输道路及随意</w:t>
            </w:r>
            <w:r>
              <w:rPr>
                <w:rFonts w:hint="default" w:ascii="Times New Roman" w:hAnsi="Times New Roman" w:eastAsia="宋体" w:cs="Times New Roman"/>
                <w:color w:val="000000" w:themeColor="text1"/>
                <w:spacing w:val="-1"/>
                <w:sz w:val="24"/>
                <w:szCs w:val="24"/>
                <w14:textFill>
                  <w14:solidFill>
                    <w14:schemeClr w14:val="tx1"/>
                  </w14:solidFill>
                </w14:textFill>
              </w:rPr>
              <w:t>驾驶，由专人负责，以防破坏土壤和植被，加剧土地荒漠化。</w:t>
            </w:r>
          </w:p>
          <w:p w14:paraId="6292D1B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10）植被恢复措施及其他措施，要求在建</w:t>
            </w:r>
            <w:r>
              <w:rPr>
                <w:rFonts w:hint="default" w:ascii="Times New Roman" w:hAnsi="Times New Roman" w:eastAsia="宋体" w:cs="Times New Roman"/>
                <w:color w:val="000000" w:themeColor="text1"/>
                <w:spacing w:val="1"/>
                <w:sz w:val="24"/>
                <w:szCs w:val="24"/>
                <w14:textFill>
                  <w14:solidFill>
                    <w14:schemeClr w14:val="tx1"/>
                  </w14:solidFill>
                </w14:textFill>
              </w:rPr>
              <w:t>设完成投入运行之前完成，严禁</w:t>
            </w:r>
            <w:r>
              <w:rPr>
                <w:rFonts w:hint="default" w:ascii="Times New Roman" w:hAnsi="Times New Roman" w:eastAsia="宋体" w:cs="Times New Roman"/>
                <w:color w:val="000000" w:themeColor="text1"/>
                <w:spacing w:val="-2"/>
                <w:sz w:val="24"/>
                <w:szCs w:val="24"/>
                <w14:textFill>
                  <w14:solidFill>
                    <w14:schemeClr w14:val="tx1"/>
                  </w14:solidFill>
                </w14:textFill>
              </w:rPr>
              <w:t>防沙治沙措施未完成即投入运行。</w:t>
            </w:r>
          </w:p>
          <w:p w14:paraId="7573F31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（7）景观生态保护措施</w:t>
            </w:r>
          </w:p>
          <w:p w14:paraId="3D40644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施工期应加强施工管理，施工材料应按要求堆放于</w:t>
            </w:r>
            <w:r>
              <w:rPr>
                <w:rFonts w:hint="default" w:ascii="Times New Roman" w:hAnsi="Times New Roman" w:eastAsia="宋体" w:cs="Times New Roman"/>
                <w:color w:val="000000" w:themeColor="text1"/>
                <w:spacing w:val="-1"/>
                <w:sz w:val="24"/>
                <w:szCs w:val="24"/>
                <w14:textFill>
                  <w14:solidFill>
                    <w14:schemeClr w14:val="tx1"/>
                  </w14:solidFill>
                </w14:textFill>
              </w:rPr>
              <w:t>施工生产区，禁止乱堆</w:t>
            </w:r>
            <w:r>
              <w:rPr>
                <w:rFonts w:hint="default" w:ascii="Times New Roman" w:hAnsi="Times New Roman" w:eastAsia="宋体" w:cs="Times New Roman"/>
                <w:color w:val="000000" w:themeColor="text1"/>
                <w:sz w:val="24"/>
                <w:szCs w:val="24"/>
                <w14:textFill>
                  <w14:solidFill>
                    <w14:schemeClr w14:val="tx1"/>
                  </w14:solidFill>
                </w14:textFill>
              </w:rPr>
              <w:t>乱放；施工弃土集中堆放，施工结束后用于河道</w:t>
            </w:r>
            <w:r>
              <w:rPr>
                <w:rFonts w:hint="default" w:ascii="Times New Roman" w:hAnsi="Times New Roman" w:eastAsia="宋体" w:cs="Times New Roman"/>
                <w:color w:val="000000" w:themeColor="text1"/>
                <w:spacing w:val="-1"/>
                <w:sz w:val="24"/>
                <w:szCs w:val="24"/>
                <w14:textFill>
                  <w14:solidFill>
                    <w14:schemeClr w14:val="tx1"/>
                  </w14:solidFill>
                </w14:textFill>
              </w:rPr>
              <w:t>低洼处或护岸顶道路平整。</w:t>
            </w:r>
          </w:p>
          <w:p w14:paraId="66F837C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pacing w:val="-2"/>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（8）临时占地生态恢复和减缓措施</w:t>
            </w:r>
          </w:p>
          <w:p w14:paraId="74B1EC3D">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临时占地在施工过程中应遵守以下措施：</w:t>
            </w:r>
          </w:p>
          <w:p w14:paraId="7B173B5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3"/>
                <w:sz w:val="24"/>
                <w:szCs w:val="24"/>
                <w14:textFill>
                  <w14:solidFill>
                    <w14:schemeClr w14:val="tx1"/>
                  </w14:solidFill>
                </w14:textFill>
              </w:rPr>
              <w:t>1）开工前对施工临时设施的规划要进行严格的审查，以达到既少占土地，</w:t>
            </w:r>
            <w:r>
              <w:rPr>
                <w:rFonts w:hint="default" w:ascii="Times New Roman" w:hAnsi="Times New Roman" w:eastAsia="宋体" w:cs="Times New Roman"/>
                <w:color w:val="000000" w:themeColor="text1"/>
                <w:spacing w:val="-2"/>
                <w:sz w:val="24"/>
                <w:szCs w:val="24"/>
                <w14:textFill>
                  <w14:solidFill>
                    <w14:schemeClr w14:val="tx1"/>
                  </w14:solidFill>
                </w14:textFill>
              </w:rPr>
              <w:t>又方便施工的目的。</w:t>
            </w:r>
          </w:p>
          <w:p w14:paraId="20AA710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2）各类施工应严格控制在设计范围内，在施工时要严格</w:t>
            </w:r>
            <w:r>
              <w:rPr>
                <w:rFonts w:hint="default" w:ascii="Times New Roman" w:hAnsi="Times New Roman" w:eastAsia="宋体" w:cs="Times New Roman"/>
                <w:color w:val="000000" w:themeColor="text1"/>
                <w:spacing w:val="-1"/>
                <w:sz w:val="24"/>
                <w:szCs w:val="24"/>
                <w14:textFill>
                  <w14:solidFill>
                    <w14:schemeClr w14:val="tx1"/>
                  </w14:solidFill>
                </w14:textFill>
              </w:rPr>
              <w:t>控制施工范围。</w:t>
            </w:r>
          </w:p>
          <w:p w14:paraId="6473657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3）施工结束后，施工临时区域一律平整土地，清除用地范围内的一切固体</w:t>
            </w:r>
            <w:r>
              <w:rPr>
                <w:rFonts w:hint="default" w:ascii="Times New Roman" w:hAnsi="Times New Roman" w:eastAsia="宋体" w:cs="Times New Roman"/>
                <w:color w:val="000000" w:themeColor="text1"/>
                <w:spacing w:val="-1"/>
                <w:sz w:val="24"/>
                <w:szCs w:val="24"/>
                <w14:textFill>
                  <w14:solidFill>
                    <w14:schemeClr w14:val="tx1"/>
                  </w14:solidFill>
                </w14:textFill>
              </w:rPr>
              <w:t>废弃物；恢复地貌原状，不得随意倾倒废料。</w:t>
            </w:r>
          </w:p>
          <w:p w14:paraId="3B3B624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pacing w:val="-2"/>
                <w:sz w:val="24"/>
                <w:szCs w:val="24"/>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w:t>
            </w:r>
            <w:r>
              <w:rPr>
                <w:rFonts w:hint="default" w:ascii="Times New Roman" w:hAnsi="Times New Roman" w:eastAsia="宋体" w:cs="Times New Roman"/>
                <w:color w:val="000000" w:themeColor="text1"/>
                <w:spacing w:val="-2"/>
                <w:sz w:val="24"/>
                <w:szCs w:val="24"/>
                <w:lang w:val="en-US" w:eastAsia="zh-CN"/>
                <w14:textFill>
                  <w14:solidFill>
                    <w14:schemeClr w14:val="tx1"/>
                  </w14:solidFill>
                </w14:textFill>
              </w:rPr>
              <w:t>9</w:t>
            </w:r>
            <w:r>
              <w:rPr>
                <w:rFonts w:hint="default" w:ascii="Times New Roman" w:hAnsi="Times New Roman" w:eastAsia="宋体" w:cs="Times New Roman"/>
                <w:color w:val="000000" w:themeColor="text1"/>
                <w:spacing w:val="-2"/>
                <w:sz w:val="24"/>
                <w:szCs w:val="24"/>
                <w14:textFill>
                  <w14:solidFill>
                    <w14:schemeClr w14:val="tx1"/>
                  </w14:solidFill>
                </w14:textFill>
              </w:rPr>
              <w:t>）</w:t>
            </w:r>
            <w:r>
              <w:rPr>
                <w:rFonts w:hint="default" w:ascii="Times New Roman" w:hAnsi="Times New Roman" w:eastAsia="宋体" w:cs="Times New Roman"/>
                <w:color w:val="000000" w:themeColor="text1"/>
                <w:spacing w:val="-2"/>
                <w:sz w:val="24"/>
                <w:szCs w:val="24"/>
                <w:lang w:val="en-US" w:eastAsia="zh-CN"/>
                <w14:textFill>
                  <w14:solidFill>
                    <w14:schemeClr w14:val="tx1"/>
                  </w14:solidFill>
                </w14:textFill>
              </w:rPr>
              <w:t>取（弃）土场</w:t>
            </w:r>
            <w:r>
              <w:rPr>
                <w:rFonts w:hint="default" w:ascii="Times New Roman" w:hAnsi="Times New Roman" w:eastAsia="宋体" w:cs="Times New Roman"/>
                <w:color w:val="000000" w:themeColor="text1"/>
                <w:spacing w:val="-2"/>
                <w:sz w:val="24"/>
                <w:szCs w:val="24"/>
                <w14:textFill>
                  <w14:solidFill>
                    <w14:schemeClr w14:val="tx1"/>
                  </w14:solidFill>
                </w14:textFill>
              </w:rPr>
              <w:t>占地生态恢复和减缓措施</w:t>
            </w:r>
          </w:p>
          <w:p w14:paraId="0295663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2" w:firstLineChars="200"/>
              <w:textAlignment w:val="auto"/>
              <w:rPr>
                <w:rFonts w:hint="default" w:ascii="Times New Roman" w:hAnsi="Times New Roman" w:eastAsia="宋体" w:cs="Times New Roman"/>
                <w:color w:val="000000" w:themeColor="text1"/>
                <w:spacing w:val="-2"/>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pacing w:val="-2"/>
                <w:sz w:val="24"/>
                <w:szCs w:val="24"/>
                <w14:textFill>
                  <w14:solidFill>
                    <w14:schemeClr w14:val="tx1"/>
                  </w14:solidFill>
                </w14:textFill>
              </w:rPr>
              <w:t>施工结束后，将堆存的清废除土回填至取土坑，随后进行场地平整、表土回覆（厚度≥30cm），并播撒乡土草种（15g/m²）恢复植被，确保恢复后植被覆盖度不低于周边同类未扰动区域。</w:t>
            </w:r>
          </w:p>
          <w:p w14:paraId="2F4FACD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76"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pacing w:val="-1"/>
                <w:sz w:val="24"/>
                <w:szCs w:val="24"/>
                <w14:textFill>
                  <w14:solidFill>
                    <w14:schemeClr w14:val="tx1"/>
                  </w14:solidFill>
                </w14:textFill>
              </w:rPr>
              <w:t>临时工程是为工程建设服务的，使用结束后恢复至原状，临时用地在施工</w:t>
            </w:r>
            <w:r>
              <w:rPr>
                <w:rFonts w:hint="default" w:ascii="Times New Roman" w:hAnsi="Times New Roman" w:eastAsia="宋体" w:cs="Times New Roman"/>
                <w:color w:val="000000" w:themeColor="text1"/>
                <w:sz w:val="24"/>
                <w:szCs w:val="24"/>
                <w14:textFill>
                  <w14:solidFill>
                    <w14:schemeClr w14:val="tx1"/>
                  </w14:solidFill>
                </w14:textFill>
              </w:rPr>
              <w:t>结束后将拆除临时建筑物，产生的建筑垃圾统一清运，</w:t>
            </w:r>
            <w:r>
              <w:rPr>
                <w:rFonts w:hint="default" w:ascii="Times New Roman" w:hAnsi="Times New Roman" w:eastAsia="宋体" w:cs="Times New Roman"/>
                <w:color w:val="000000" w:themeColor="text1"/>
                <w:spacing w:val="-1"/>
                <w:sz w:val="24"/>
                <w:szCs w:val="24"/>
                <w14:textFill>
                  <w14:solidFill>
                    <w14:schemeClr w14:val="tx1"/>
                  </w14:solidFill>
                </w14:textFill>
              </w:rPr>
              <w:t>清理平整后进行生态恢</w:t>
            </w:r>
            <w:r>
              <w:rPr>
                <w:rFonts w:hint="default" w:ascii="Times New Roman" w:hAnsi="Times New Roman" w:eastAsia="宋体" w:cs="Times New Roman"/>
                <w:color w:val="000000" w:themeColor="text1"/>
                <w:sz w:val="24"/>
                <w:szCs w:val="24"/>
                <w14:textFill>
                  <w14:solidFill>
                    <w14:schemeClr w14:val="tx1"/>
                  </w14:solidFill>
                </w14:textFill>
              </w:rPr>
              <w:t>复，因此这类占地对环境的影响是暂时性的。建设单位</w:t>
            </w:r>
            <w:r>
              <w:rPr>
                <w:rFonts w:hint="default" w:ascii="Times New Roman" w:hAnsi="Times New Roman" w:eastAsia="宋体" w:cs="Times New Roman"/>
                <w:color w:val="000000" w:themeColor="text1"/>
                <w:spacing w:val="-1"/>
                <w:sz w:val="24"/>
                <w:szCs w:val="24"/>
                <w14:textFill>
                  <w14:solidFill>
                    <w14:schemeClr w14:val="tx1"/>
                  </w14:solidFill>
                </w14:textFill>
              </w:rPr>
              <w:t>和施工单位应重视临时</w:t>
            </w:r>
            <w:r>
              <w:rPr>
                <w:rFonts w:hint="default" w:ascii="Times New Roman" w:hAnsi="Times New Roman" w:eastAsia="宋体" w:cs="Times New Roman"/>
                <w:color w:val="000000" w:themeColor="text1"/>
                <w:sz w:val="24"/>
                <w:szCs w:val="24"/>
                <w14:textFill>
                  <w14:solidFill>
                    <w14:schemeClr w14:val="tx1"/>
                  </w14:solidFill>
                </w14:textFill>
              </w:rPr>
              <w:t>施工用地在工程结束前的清理和植被恢复工作，减少临</w:t>
            </w:r>
            <w:r>
              <w:rPr>
                <w:rFonts w:hint="default" w:ascii="Times New Roman" w:hAnsi="Times New Roman" w:eastAsia="宋体" w:cs="Times New Roman"/>
                <w:color w:val="000000" w:themeColor="text1"/>
                <w:spacing w:val="-1"/>
                <w:sz w:val="24"/>
                <w:szCs w:val="24"/>
                <w14:textFill>
                  <w14:solidFill>
                    <w14:schemeClr w14:val="tx1"/>
                  </w14:solidFill>
                </w14:textFill>
              </w:rPr>
              <w:t>时占地对生态的影响。</w:t>
            </w:r>
          </w:p>
          <w:p w14:paraId="07E4329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对于临时占地破坏区，施工结束后应按照国务院《土地</w:t>
            </w:r>
            <w:r>
              <w:rPr>
                <w:rFonts w:hint="default" w:ascii="Times New Roman" w:hAnsi="Times New Roman" w:eastAsia="宋体" w:cs="Times New Roman"/>
                <w:color w:val="000000" w:themeColor="text1"/>
                <w:spacing w:val="-1"/>
                <w:sz w:val="24"/>
                <w:szCs w:val="24"/>
                <w14:textFill>
                  <w14:solidFill>
                    <w14:schemeClr w14:val="tx1"/>
                  </w14:solidFill>
                </w14:textFill>
              </w:rPr>
              <w:t>复垦规定》进行土地复</w:t>
            </w:r>
            <w:r>
              <w:rPr>
                <w:rFonts w:hint="default" w:ascii="Times New Roman" w:hAnsi="Times New Roman" w:eastAsia="宋体" w:cs="Times New Roman"/>
                <w:color w:val="000000" w:themeColor="text1"/>
                <w:sz w:val="24"/>
                <w:szCs w:val="24"/>
                <w14:textFill>
                  <w14:solidFill>
                    <w14:schemeClr w14:val="tx1"/>
                  </w14:solidFill>
                </w14:textFill>
              </w:rPr>
              <w:t>垦和植被重建工作，凡受到施工车辆、机械破坏的地方均</w:t>
            </w:r>
            <w:r>
              <w:rPr>
                <w:rFonts w:hint="default" w:ascii="Times New Roman" w:hAnsi="Times New Roman" w:eastAsia="宋体" w:cs="Times New Roman"/>
                <w:color w:val="000000" w:themeColor="text1"/>
                <w:spacing w:val="-1"/>
                <w:sz w:val="24"/>
                <w:szCs w:val="24"/>
                <w14:textFill>
                  <w14:solidFill>
                    <w14:schemeClr w14:val="tx1"/>
                  </w14:solidFill>
                </w14:textFill>
              </w:rPr>
              <w:t>要进行土地平整、耕</w:t>
            </w:r>
            <w:r>
              <w:rPr>
                <w:rFonts w:hint="default" w:ascii="Times New Roman" w:hAnsi="Times New Roman" w:eastAsia="宋体" w:cs="Times New Roman"/>
                <w:color w:val="000000" w:themeColor="text1"/>
                <w:sz w:val="24"/>
                <w:szCs w:val="24"/>
                <w14:textFill>
                  <w14:solidFill>
                    <w14:schemeClr w14:val="tx1"/>
                  </w14:solidFill>
                </w14:textFill>
              </w:rPr>
              <w:t>翻疏松（要求深翻表土30～40cm</w:t>
            </w:r>
            <w:r>
              <w:rPr>
                <w:rFonts w:hint="default" w:ascii="Times New Roman" w:hAnsi="Times New Roman" w:eastAsia="宋体" w:cs="Times New Roman"/>
                <w:color w:val="000000" w:themeColor="text1"/>
                <w:spacing w:val="9"/>
                <w:sz w:val="24"/>
                <w:szCs w:val="24"/>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原地不能恢复的，要采取异地恢复。确保</w:t>
            </w:r>
            <w:r>
              <w:rPr>
                <w:rFonts w:hint="default" w:ascii="Times New Roman" w:hAnsi="Times New Roman" w:eastAsia="宋体" w:cs="Times New Roman"/>
                <w:color w:val="000000" w:themeColor="text1"/>
                <w:spacing w:val="-1"/>
                <w:sz w:val="24"/>
                <w:szCs w:val="24"/>
                <w14:textFill>
                  <w14:solidFill>
                    <w14:schemeClr w14:val="tx1"/>
                  </w14:solidFill>
                </w14:textFill>
              </w:rPr>
              <w:t>等面积、等生物量及时恢复。</w:t>
            </w:r>
          </w:p>
          <w:p w14:paraId="0E9A37D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妥善处理施工</w:t>
            </w:r>
            <w:r>
              <w:rPr>
                <w:rFonts w:hint="eastAsia" w:ascii="Times New Roman" w:hAnsi="Times New Roman" w:eastAsia="宋体" w:cs="Times New Roman"/>
                <w:color w:val="000000" w:themeColor="text1"/>
                <w:sz w:val="24"/>
                <w:szCs w:val="24"/>
                <w:lang w:eastAsia="zh-CN"/>
                <w14:textFill>
                  <w14:solidFill>
                    <w14:schemeClr w14:val="tx1"/>
                  </w14:solidFill>
                </w14:textFill>
              </w:rPr>
              <w:t>期间</w:t>
            </w:r>
            <w:r>
              <w:rPr>
                <w:rFonts w:hint="default" w:ascii="Times New Roman" w:hAnsi="Times New Roman" w:eastAsia="宋体" w:cs="Times New Roman"/>
                <w:color w:val="000000" w:themeColor="text1"/>
                <w:sz w:val="24"/>
                <w:szCs w:val="24"/>
                <w14:textFill>
                  <w14:solidFill>
                    <w14:schemeClr w14:val="tx1"/>
                  </w14:solidFill>
                </w14:textFill>
              </w:rPr>
              <w:t>产生的各类污染物、生活垃</w:t>
            </w:r>
            <w:r>
              <w:rPr>
                <w:rFonts w:hint="default" w:ascii="Times New Roman" w:hAnsi="Times New Roman" w:eastAsia="宋体" w:cs="Times New Roman"/>
                <w:color w:val="000000" w:themeColor="text1"/>
                <w:spacing w:val="-1"/>
                <w:sz w:val="24"/>
                <w:szCs w:val="24"/>
                <w14:textFill>
                  <w14:solidFill>
                    <w14:schemeClr w14:val="tx1"/>
                  </w14:solidFill>
                </w14:textFill>
              </w:rPr>
              <w:t>圾等，进行统一集中处理，不</w:t>
            </w:r>
            <w:r>
              <w:rPr>
                <w:rFonts w:hint="default" w:ascii="Times New Roman" w:hAnsi="Times New Roman" w:eastAsia="宋体" w:cs="Times New Roman"/>
                <w:color w:val="000000" w:themeColor="text1"/>
                <w:sz w:val="24"/>
                <w:szCs w:val="24"/>
                <w14:textFill>
                  <w14:solidFill>
                    <w14:schemeClr w14:val="tx1"/>
                  </w14:solidFill>
                </w14:textFill>
              </w:rPr>
              <w:t>得随意弃置。在基础开挖过程中，避免在大风天气</w:t>
            </w:r>
            <w:r>
              <w:rPr>
                <w:rFonts w:hint="default" w:ascii="Times New Roman" w:hAnsi="Times New Roman" w:eastAsia="宋体" w:cs="Times New Roman"/>
                <w:color w:val="000000" w:themeColor="text1"/>
                <w:spacing w:val="-1"/>
                <w:sz w:val="24"/>
                <w:szCs w:val="24"/>
                <w14:textFill>
                  <w14:solidFill>
                    <w14:schemeClr w14:val="tx1"/>
                  </w14:solidFill>
                </w14:textFill>
              </w:rPr>
              <w:t>以及暴雨天气进行作业，对</w:t>
            </w:r>
            <w:r>
              <w:rPr>
                <w:rFonts w:hint="default" w:ascii="Times New Roman" w:hAnsi="Times New Roman" w:eastAsia="宋体" w:cs="Times New Roman"/>
                <w:color w:val="000000" w:themeColor="text1"/>
                <w:sz w:val="24"/>
                <w:szCs w:val="24"/>
                <w14:textFill>
                  <w14:solidFill>
                    <w14:schemeClr w14:val="tx1"/>
                  </w14:solidFill>
                </w14:textFill>
              </w:rPr>
              <w:t>于场地破坏区，施工完成后，应及时平整场地，并</w:t>
            </w:r>
            <w:r>
              <w:rPr>
                <w:rFonts w:hint="default" w:ascii="Times New Roman" w:hAnsi="Times New Roman" w:eastAsia="宋体" w:cs="Times New Roman"/>
                <w:color w:val="000000" w:themeColor="text1"/>
                <w:spacing w:val="-1"/>
                <w:sz w:val="24"/>
                <w:szCs w:val="24"/>
                <w14:textFill>
                  <w14:solidFill>
                    <w14:schemeClr w14:val="tx1"/>
                  </w14:solidFill>
                </w14:textFill>
              </w:rPr>
              <w:t>种植适宜的植物，以防止发</w:t>
            </w:r>
            <w:r>
              <w:rPr>
                <w:rFonts w:hint="default" w:ascii="Times New Roman" w:hAnsi="Times New Roman" w:eastAsia="宋体" w:cs="Times New Roman"/>
                <w:color w:val="000000" w:themeColor="text1"/>
                <w:spacing w:val="-2"/>
                <w:sz w:val="24"/>
                <w:szCs w:val="24"/>
                <w14:textFill>
                  <w14:solidFill>
                    <w14:schemeClr w14:val="tx1"/>
                  </w14:solidFill>
                </w14:textFill>
              </w:rPr>
              <w:t>生新的土壤侵蚀。</w:t>
            </w:r>
          </w:p>
          <w:p w14:paraId="2458004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2施工期大气污染防治措施</w:t>
            </w:r>
          </w:p>
          <w:p w14:paraId="1DF07C1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（1）洒水抑尘</w:t>
            </w:r>
          </w:p>
          <w:p w14:paraId="5606D20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运输车辆实施密闭运输，不带泥上路，严禁抛洒甩漏，在规定时间、规定线路行驶，施工期间对施工段</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w:t>
            </w:r>
            <w:r>
              <w:rPr>
                <w:rFonts w:hint="default" w:ascii="Times New Roman" w:hAnsi="Times New Roman" w:eastAsia="宋体" w:cs="Times New Roman"/>
                <w:color w:val="000000" w:themeColor="text1"/>
                <w:spacing w:val="-7"/>
                <w:sz w:val="24"/>
                <w:szCs w:val="24"/>
                <w:lang w:val="en-US" w:eastAsia="zh-CN"/>
                <w14:textFill>
                  <w14:solidFill>
                    <w14:schemeClr w14:val="tx1"/>
                  </w14:solidFill>
                </w14:textFill>
              </w:rPr>
              <w:t>含取弃土场</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w:t>
            </w:r>
            <w:r>
              <w:rPr>
                <w:rFonts w:hint="default" w:ascii="Times New Roman" w:hAnsi="Times New Roman" w:eastAsia="宋体" w:cs="Times New Roman"/>
                <w:color w:val="000000" w:themeColor="text1"/>
                <w:spacing w:val="-7"/>
                <w:sz w:val="24"/>
                <w:szCs w:val="24"/>
                <w14:textFill>
                  <w14:solidFill>
                    <w14:schemeClr w14:val="tx1"/>
                  </w14:solidFill>
                </w14:textFill>
              </w:rPr>
              <w:t>每天洒水4-5次，洒水面积应覆盖施工区域所有干燥裸露面，可使扬尘减少70%以上，并可将TSP污染距离缩小到50m的范围内；土方作业时采取洒水降尘措施，可缩短起尘操作时间；气象预报风速达到5级以上时，未采取防尘措施的，不进行土方回填及其他可能产生扬尘污染的施工作业。清扫前应当进行洒水、喷雾，每日不少于2次。</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拆除扬尘采用雾炮湿法作业</w:t>
            </w:r>
            <w:r>
              <w:rPr>
                <w:rFonts w:hint="default" w:ascii="Times New Roman" w:hAnsi="Times New Roman" w:eastAsia="宋体" w:cs="Times New Roman"/>
                <w:color w:val="000000" w:themeColor="text1"/>
                <w:spacing w:val="-7"/>
                <w:sz w:val="24"/>
                <w:szCs w:val="24"/>
                <w14:textFill>
                  <w14:solidFill>
                    <w14:schemeClr w14:val="tx1"/>
                  </w14:solidFill>
                </w14:textFill>
              </w:rPr>
              <w:t>，</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四级以上大风停止拆除作业。</w:t>
            </w:r>
          </w:p>
          <w:p w14:paraId="113E731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（2）堆场遮盖</w:t>
            </w:r>
          </w:p>
          <w:p w14:paraId="008A9EF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1）施工现场各类施工材料有序进料，原则上不堆存超过一周的施工用料量，尽量减少施工材料堆放时间和堆存量，加快物料的周转速度。施工材料堆放设置标牌，实行分类堆放。施工材料堆放整齐有序，严格在河道范围内施工，易产生扬尘的施工材料应采取篷布遮盖措施。</w:t>
            </w:r>
          </w:p>
          <w:p w14:paraId="43F6C08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2）对施工场地的所有堆场采取篷布遮盖措施，特别是容易扬尘的堆料场，并定期洒水抑尘（不少于每天3次）。</w:t>
            </w:r>
          </w:p>
          <w:p w14:paraId="69EC34F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（3）限制车速</w:t>
            </w:r>
          </w:p>
          <w:p w14:paraId="054E789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施工车辆在进出施工场地后，减速行驶以减少施工场地扬尘，行驶车速不大于5km/h。</w:t>
            </w:r>
          </w:p>
          <w:p w14:paraId="486EFC5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（4）运输遮盖</w:t>
            </w:r>
          </w:p>
          <w:p w14:paraId="0923475D">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运输车辆在运输土方、砂石等微粒径材料时要进行严格的篷布遮盖才能上路，车辆装载的物料、垃圾、渣土高度不得超过车辆槽帮上沿，车斗用苫布遮蔽或者采用密闭车斗，苫布边缘至少要遮住槽帮上沿以下15cm，避免渣土掉落引起扬尘；运输车辆进出施工场地低速行驶，场地内运输通道及时清扫、洒水，减少道路扬尘；同时运输车辆从施工路段进入主干路时要适当对车辆进行清洁，在除泥干净后，方可驶出施工路段。</w:t>
            </w:r>
          </w:p>
          <w:p w14:paraId="7440A69B">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（5）施工机械、车辆尾气污染防治措施</w:t>
            </w:r>
          </w:p>
          <w:p w14:paraId="2CF2801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施工机械和车辆尾气的主要因子为CO、NOX、THC等，排放量较小，属于间歇性排放，本次环评提出以下措施：1）施工现场应合理布置运输车辆行驶路线，配合有关部门搞好施工期周围道路的交通组织，保证行驶速度，减少怠速时间，以减少机动车尾气的排放。</w:t>
            </w:r>
          </w:p>
          <w:p w14:paraId="2736A01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2）加强对施工机械、运输车辆的维修保养；禁止施工机械超负荷工作和运输车辆超载；不得使用劣质燃料。</w:t>
            </w:r>
          </w:p>
          <w:p w14:paraId="32A8FA7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3）施工车辆经过沿线居民敏感点路段应减速慢行，并对居民敏感点路段加强洒水，降低运输车辆道路扬尘对沿线居民的环境影响。</w:t>
            </w:r>
          </w:p>
          <w:p w14:paraId="727079B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4）施工中选择排气污染物稳定且达到国家规定排放标准的柴油发电机和施工机械，使用符合国家标准的油，使之处于良好运行状态。加强对发电机和施工机械的科学管理，合理安排运行时间，发挥其最大效率。</w:t>
            </w:r>
          </w:p>
          <w:p w14:paraId="72D9FD8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综上所述，在采取以上措施并严格按照措施执行的前提下，本项目施工大气污染物对施工区周围大气环境影响不大，且随施工结束而消除。</w:t>
            </w:r>
          </w:p>
          <w:p w14:paraId="5BEA659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3施工期水污染防治措施</w:t>
            </w:r>
          </w:p>
          <w:p w14:paraId="0CDAEA9D">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（1）本项目施工选择避开</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叶尔羌河</w:t>
            </w:r>
            <w:r>
              <w:rPr>
                <w:rFonts w:hint="default" w:ascii="Times New Roman" w:hAnsi="Times New Roman" w:eastAsia="宋体" w:cs="Times New Roman"/>
                <w:color w:val="000000" w:themeColor="text1"/>
                <w:spacing w:val="-7"/>
                <w:sz w:val="24"/>
                <w:szCs w:val="24"/>
                <w14:textFill>
                  <w14:solidFill>
                    <w14:schemeClr w14:val="tx1"/>
                  </w14:solidFill>
                </w14:textFill>
              </w:rPr>
              <w:t>主汛期进行，涉水施工段施工过程中设临时围堰导流，采取分段导流方式，防止河水对涉水施工段对水环境的影响。</w:t>
            </w:r>
          </w:p>
          <w:p w14:paraId="518E315D">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（2）施工区位于河道内侧，施工期加强施工管理，避免废水、粉尘及施工材料等进入河道，影响</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叶尔羌河</w:t>
            </w:r>
            <w:r>
              <w:rPr>
                <w:rFonts w:hint="default" w:ascii="Times New Roman" w:hAnsi="Times New Roman" w:eastAsia="宋体" w:cs="Times New Roman"/>
                <w:color w:val="000000" w:themeColor="text1"/>
                <w:spacing w:val="-7"/>
                <w:sz w:val="24"/>
                <w:szCs w:val="24"/>
                <w14:textFill>
                  <w14:solidFill>
                    <w14:schemeClr w14:val="tx1"/>
                  </w14:solidFill>
                </w14:textFill>
              </w:rPr>
              <w:t>河水水质。</w:t>
            </w:r>
          </w:p>
          <w:p w14:paraId="517C11A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（3）施工结束后，及时对工程沿线、施工场地和临时施工便道固体残留物进行清理，避免沿线垃圾进入工程区</w:t>
            </w:r>
            <w:r>
              <w:rPr>
                <w:rFonts w:hint="eastAsia" w:ascii="Times New Roman" w:hAnsi="Times New Roman" w:eastAsia="宋体" w:cs="Times New Roman"/>
                <w:color w:val="000000" w:themeColor="text1"/>
                <w:spacing w:val="-7"/>
                <w:sz w:val="24"/>
                <w:szCs w:val="24"/>
                <w:lang w:eastAsia="zh-CN"/>
                <w14:textFill>
                  <w14:solidFill>
                    <w14:schemeClr w14:val="tx1"/>
                  </w14:solidFill>
                </w14:textFill>
              </w:rPr>
              <w:t>域和</w:t>
            </w:r>
            <w:r>
              <w:rPr>
                <w:rFonts w:hint="default" w:ascii="Times New Roman" w:hAnsi="Times New Roman" w:eastAsia="宋体" w:cs="Times New Roman"/>
                <w:color w:val="000000" w:themeColor="text1"/>
                <w:spacing w:val="-7"/>
                <w:sz w:val="24"/>
                <w:szCs w:val="24"/>
                <w14:textFill>
                  <w14:solidFill>
                    <w14:schemeClr w14:val="tx1"/>
                  </w14:solidFill>
                </w14:textFill>
              </w:rPr>
              <w:t>河道。</w:t>
            </w:r>
          </w:p>
          <w:p w14:paraId="1E4D010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（4）施工期间严禁将废水排入河道，导致污染地表水水质。</w:t>
            </w:r>
          </w:p>
          <w:p w14:paraId="68FDD79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（5）禁止在项目区域大修施工机械、车辆，冲洗车辆、机械应远离河道，冲洗废水及时收集进入沉淀池处理，以防止车辆及机械设备产生含油废水对项目区及周边造成的影响。</w:t>
            </w:r>
          </w:p>
          <w:p w14:paraId="3DE5FD9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6）施工结束后及时对临时围堰进行拆除，围堰拆除物拆除后及时进行清运，及时恢复河道的通行区域，恢复效果达到施工前的河道水环境现状。禁止将围堰拆除物丢入河道中，以免引起河道的水质污染和阻水现象。</w:t>
            </w:r>
          </w:p>
          <w:p w14:paraId="5B55196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（7）施工场地洒落的物料及时清扫，为防止临时堆放的散料被雨水冲刷造成流失，施工材料不宜堆放在河流水体附近，应选择远离河道的合适地点并备有临时遮挡的篷布，防止大风暴雨冲刷而进入水体。</w:t>
            </w:r>
          </w:p>
          <w:p w14:paraId="1BC0FD9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（8）施工场地加强管理，保持场地平整，土方石堆放坡面应平整并遮挡</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w:t>
            </w:r>
            <w:r>
              <w:rPr>
                <w:rFonts w:hint="default" w:ascii="Times New Roman" w:hAnsi="Times New Roman" w:eastAsia="宋体" w:cs="Times New Roman"/>
                <w:color w:val="000000" w:themeColor="text1"/>
                <w:spacing w:val="-7"/>
                <w:sz w:val="24"/>
                <w:szCs w:val="24"/>
                <w14:textFill>
                  <w14:solidFill>
                    <w14:schemeClr w14:val="tx1"/>
                  </w14:solidFill>
                </w14:textFill>
              </w:rPr>
              <w:t>防止土方石进入河道。</w:t>
            </w:r>
          </w:p>
          <w:p w14:paraId="5649541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（9）生活污水采用防渗化粪池简单处理后，定期拉运至</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莎车县</w:t>
            </w:r>
            <w:r>
              <w:rPr>
                <w:rFonts w:hint="default" w:ascii="Times New Roman" w:hAnsi="Times New Roman" w:eastAsia="宋体" w:cs="Times New Roman"/>
                <w:color w:val="000000" w:themeColor="text1"/>
                <w:spacing w:val="-7"/>
                <w:sz w:val="24"/>
                <w:szCs w:val="24"/>
                <w14:textFill>
                  <w14:solidFill>
                    <w14:schemeClr w14:val="tx1"/>
                  </w14:solidFill>
                </w14:textFill>
              </w:rPr>
              <w:t>污水处理厂集中处理，不外排。</w:t>
            </w:r>
          </w:p>
          <w:p w14:paraId="03C96DD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4施工期噪声污染防治措施</w:t>
            </w:r>
          </w:p>
          <w:p w14:paraId="17F9C09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根据本项目施工阶段的产噪特点，提出如下噪声防治措施：</w:t>
            </w:r>
          </w:p>
          <w:p w14:paraId="2FBCCD7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（1）施工单</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位在</w:t>
            </w:r>
            <w:r>
              <w:rPr>
                <w:rFonts w:hint="default" w:ascii="Times New Roman" w:hAnsi="Times New Roman" w:eastAsia="宋体" w:cs="Times New Roman"/>
                <w:color w:val="000000" w:themeColor="text1"/>
                <w:spacing w:val="-7"/>
                <w:sz w:val="24"/>
                <w:szCs w:val="24"/>
                <w14:textFill>
                  <w14:solidFill>
                    <w14:schemeClr w14:val="tx1"/>
                  </w14:solidFill>
                </w14:textFill>
              </w:rPr>
              <w:t>施工过程中尽量避免在同一地点安排大量动力机械设备施工，以减缓局部叠加声级过高的风险；各高噪声机械尽量置于地块较中间的位置作业。</w:t>
            </w:r>
          </w:p>
          <w:p w14:paraId="5B46ED9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（2）土石方等施工过</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程中</w:t>
            </w:r>
            <w:r>
              <w:rPr>
                <w:rFonts w:hint="default" w:ascii="Times New Roman" w:hAnsi="Times New Roman" w:eastAsia="宋体" w:cs="Times New Roman"/>
                <w:color w:val="000000" w:themeColor="text1"/>
                <w:spacing w:val="-7"/>
                <w:sz w:val="24"/>
                <w:szCs w:val="24"/>
                <w14:textFill>
                  <w14:solidFill>
                    <w14:schemeClr w14:val="tx1"/>
                  </w14:solidFill>
                </w14:textFill>
              </w:rPr>
              <w:t>应采用低噪声、低振动的设备，对施工设备进行定期维修保养，避免因设备性能减退而使噪声增强的现象发生。</w:t>
            </w:r>
          </w:p>
          <w:p w14:paraId="7F45AF6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（3）加强施工车辆管理，运输车辆采用低声级喇叭。</w:t>
            </w:r>
          </w:p>
          <w:p w14:paraId="638CF78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（4）施工中除采用低噪声的施工机械外，施工时间、时段、施工进度、施工原材料购进时间应精心安排、系统规划、规范施工。合理安排施工工序，尽量缩短施工周期。</w:t>
            </w:r>
          </w:p>
          <w:p w14:paraId="1059BBD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5）严格安排施工作业时间，高噪声设备施工尽量安排在非休息日昼间进行；如因施工需要必须连续作业的强噪声施工，应首先征得当地环保、城管等主管部门同意，同时做好周边群众解释工作，避免发生扰民纠纷。</w:t>
            </w:r>
          </w:p>
          <w:p w14:paraId="7698B83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（6）加强场内施工道路养护，特别是应保持施工临时道路路面平整、清洁。</w:t>
            </w:r>
          </w:p>
          <w:p w14:paraId="66905AD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（7）合理安排车辆运输时间，运输车辆经过沿线居民点较多的区域时，应减速行驶，禁止鸣笛。</w:t>
            </w:r>
          </w:p>
          <w:p w14:paraId="30544BF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本项目在采取以上措施后，施工噪声对周边环境影响将降到最低。</w:t>
            </w:r>
          </w:p>
          <w:p w14:paraId="0A587B2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5施工期固体废物防治措施</w:t>
            </w:r>
          </w:p>
          <w:p w14:paraId="76CA971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针对项目施工期固体废物种类及特点，提出如下防治措施：</w:t>
            </w:r>
          </w:p>
          <w:p w14:paraId="2BC21D8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1）合理安排施工时序；做好剥离表层土保护工作，分类堆放；挖方就近暂时堆放于堤防一侧，做好临时防护措施；施工期开挖产生的挖方、土方清废回用于坡脚回填及堤坝填筑，剩余弃渣用于低洼处及两侧河堤道路平整。</w:t>
            </w:r>
          </w:p>
          <w:p w14:paraId="2D15FFB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（2）项目区生活垃圾禁止随意丢弃，设垃圾桶分类集中收集后，定期清运至附近生活垃圾填埋场填埋处置。</w:t>
            </w:r>
          </w:p>
          <w:p w14:paraId="4BC414B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（3）建筑垃圾处置要求</w:t>
            </w:r>
          </w:p>
          <w:p w14:paraId="1805853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依据《建筑垃圾污染控制技术规范》（HJ1462-2026）</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w:t>
            </w:r>
            <w:r>
              <w:rPr>
                <w:rFonts w:hint="default" w:ascii="Times New Roman" w:hAnsi="Times New Roman" w:eastAsia="宋体" w:cs="Times New Roman"/>
                <w:color w:val="000000" w:themeColor="text1"/>
                <w:spacing w:val="-7"/>
                <w:sz w:val="24"/>
                <w:szCs w:val="24"/>
                <w14:textFill>
                  <w14:solidFill>
                    <w14:schemeClr w14:val="tx1"/>
                  </w14:solidFill>
                </w14:textFill>
              </w:rPr>
              <w:br w:type="textWrapping"/>
            </w:r>
            <w:r>
              <w:rPr>
                <w:rFonts w:hint="default" w:ascii="Times New Roman" w:hAnsi="Times New Roman" w:eastAsia="宋体" w:cs="Times New Roman"/>
                <w:color w:val="000000" w:themeColor="text1"/>
                <w:spacing w:val="-7"/>
                <w:sz w:val="24"/>
                <w:szCs w:val="24"/>
                <w14:textFill>
                  <w14:solidFill>
                    <w14:schemeClr w14:val="tx1"/>
                  </w14:solidFill>
                </w14:textFill>
              </w:rPr>
              <w:t>①分类与存放：建筑垃圾按工程垃圾、装修垃圾、拆除垃圾分类收集。施工现场设固定存放点（位于K140+800施工生产生活区内，占地50m²），不同类别分区堆放，设置标识牌。存放点地面硬化，设排水沟、沉淀池，采取防尘网覆盖及洒水降尘措施。</w:t>
            </w:r>
          </w:p>
          <w:p w14:paraId="16C542D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②资源化利用：废金属（钢筋、铁件等）、废木材、废塑料等可回收物分拣后交废品回收站；废混凝土块、碎砖瓦等无机非金属类，优先用于临时道路基层填筑或场区平整，剩余部分运至莎车县建筑垃圾填埋场。资源化利用率不低于30%。</w:t>
            </w:r>
          </w:p>
          <w:p w14:paraId="16C2DEE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③运输管理：建筑垃圾运输车辆应采用密闭式自卸车，装载高度不超过车厢上沿，篷布密闭覆盖（边缘遮盖≥15cm）。运输路线经莎车县住建局备案，按规定时间（每日9:00-19:00）和规定路线行驶。运输前填写《建筑垃圾处置核准单》。</w:t>
            </w:r>
          </w:p>
          <w:p w14:paraId="626DEE4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④台账管理：施工单位应建立建筑垃圾管理台账，记录垃圾类别、产生量、处置去向、运输单位、接收单位等信息，台账保存不少于5年。</w:t>
            </w:r>
          </w:p>
          <w:p w14:paraId="1DA4694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⑤禁止行为：严禁将建筑垃圾混入生活垃圾；严禁在河道、沟渠、农田内倾倒、堆放建筑垃圾；严禁私自焚烧建筑垃圾。</w:t>
            </w:r>
          </w:p>
          <w:p w14:paraId="1C064AB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（4）车辆运输散体物料和废物时，必须密闭、覆盖，不得沿途漏撒；运载土方的车辆必须在规定的时间内，按指定路段行驶。</w:t>
            </w:r>
          </w:p>
          <w:p w14:paraId="0931B32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（5）施工场地禁止进行车辆及机械设备的大型维修，如需进行大型车辆机械维修，依托周边乡镇内维修厂维修，以避免项目区废机油及含油废物产生。</w:t>
            </w:r>
          </w:p>
          <w:p w14:paraId="66C5C0A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（6）施工单位应在施工前5日向住建管理部门申报工程垃圾处置计划，如实填报垃圾和弃土的种类、数量、运输路线及处置场地等事项，并与有关管理部门签订环境卫生责任书。</w:t>
            </w:r>
          </w:p>
          <w:p w14:paraId="041E31C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7）施工部门应当持渣土管理部门核发的处置证明，向运输单位办理建筑垃圾、工程弃土托运手续。运输车辆在运输工程弃土、建筑垃圾时应随车携带处置证明，接受渣土管理部门的检查，运输路线应按渣土管理部门会同公安、交通管理部门规定的线路运输。</w:t>
            </w:r>
          </w:p>
          <w:p w14:paraId="43AB0CB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（8）在工程完工后1个月内，应当将施工场地的剩余垃圾处置干净，不得占用道路或其他类型土地来堆放建筑垃圾，文明施工，施工垃圾统一收集、统一处置，不得随意丢弃。</w:t>
            </w:r>
          </w:p>
          <w:p w14:paraId="1E96BDA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6施工期</w:t>
            </w:r>
            <w:r>
              <w:rPr>
                <w:rFonts w:hint="default" w:ascii="Times New Roman" w:hAnsi="Times New Roman" w:eastAsia="宋体" w:cs="Times New Roman"/>
                <w:b/>
                <w:bCs/>
                <w:color w:val="000000" w:themeColor="text1"/>
                <w:spacing w:val="-7"/>
                <w:sz w:val="24"/>
                <w:szCs w:val="24"/>
                <w:lang w:val="en-US" w:eastAsia="zh-CN"/>
                <w14:textFill>
                  <w14:solidFill>
                    <w14:schemeClr w14:val="tx1"/>
                  </w14:solidFill>
                </w14:textFill>
              </w:rPr>
              <w:t>占地</w:t>
            </w:r>
            <w:r>
              <w:rPr>
                <w:rFonts w:hint="default" w:ascii="Times New Roman" w:hAnsi="Times New Roman" w:eastAsia="宋体" w:cs="Times New Roman"/>
                <w:b/>
                <w:bCs/>
                <w:color w:val="000000" w:themeColor="text1"/>
                <w:spacing w:val="-7"/>
                <w:sz w:val="24"/>
                <w:szCs w:val="24"/>
                <w14:textFill>
                  <w14:solidFill>
                    <w14:schemeClr w14:val="tx1"/>
                  </w14:solidFill>
                </w14:textFill>
              </w:rPr>
              <w:t>补偿措施</w:t>
            </w:r>
          </w:p>
          <w:p w14:paraId="5121E98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sz w:val="24"/>
                <w:szCs w:val="24"/>
                <w:shd w:val="clear" w:fill="FFFFFF"/>
                <w14:textFill>
                  <w14:solidFill>
                    <w14:schemeClr w14:val="tx1"/>
                  </w14:solidFill>
                </w14:textFill>
              </w:rPr>
              <w:t>本工程征地补偿总费用为1035.40万元，其中农村部分征地补偿费602.72万元，主要涉及永久占地（含耕地、草地）和临时占地（含耕地、</w:t>
            </w:r>
            <w:r>
              <w:rPr>
                <w:rFonts w:hint="default" w:ascii="Times New Roman" w:hAnsi="Times New Roman" w:eastAsia="宋体" w:cs="Times New Roman"/>
                <w:b w:val="0"/>
                <w:bCs w:val="0"/>
                <w:i w:val="0"/>
                <w:iCs w:val="0"/>
                <w:caps w:val="0"/>
                <w:color w:val="000000" w:themeColor="text1"/>
                <w:spacing w:val="0"/>
                <w:sz w:val="24"/>
                <w:szCs w:val="24"/>
                <w:shd w:val="clear" w:fill="FFFFFF"/>
                <w:lang w:val="en-US" w:eastAsia="zh-CN"/>
                <w14:textFill>
                  <w14:solidFill>
                    <w14:schemeClr w14:val="tx1"/>
                  </w14:solidFill>
                </w14:textFill>
              </w:rPr>
              <w:t>林地、</w:t>
            </w:r>
            <w:r>
              <w:rPr>
                <w:rFonts w:hint="default" w:ascii="Times New Roman" w:hAnsi="Times New Roman" w:eastAsia="宋体" w:cs="Times New Roman"/>
                <w:b w:val="0"/>
                <w:bCs w:val="0"/>
                <w:i w:val="0"/>
                <w:iCs w:val="0"/>
                <w:caps w:val="0"/>
                <w:color w:val="000000" w:themeColor="text1"/>
                <w:spacing w:val="0"/>
                <w:sz w:val="24"/>
                <w:szCs w:val="24"/>
                <w:shd w:val="clear" w:fill="FFFFFF"/>
                <w14:textFill>
                  <w14:solidFill>
                    <w14:schemeClr w14:val="tx1"/>
                  </w14:solidFill>
                </w14:textFill>
              </w:rPr>
              <w:t>草地），并按莎车县和麦盖提县的区片综合地价及调节系数进行补偿；林地专项补偿194.81万元（含林地补偿费、安置补助费、林木补偿费及森林植被恢复费），草原专项补偿12.08万元（其中莎车县10.81万元、麦盖提县1.27万元），另需缴纳耕地开垦费62.47万元等税费。本工程不涉及生产安置人口和搬迁安置人口，无需移民搬迁。</w:t>
            </w:r>
          </w:p>
          <w:p w14:paraId="732E65D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7混凝土现场搅拌及原料储存环保措施</w:t>
            </w:r>
          </w:p>
          <w:p w14:paraId="79E5E52E">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①两处</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混凝土拌和</w:t>
            </w:r>
            <w:r>
              <w:rPr>
                <w:rFonts w:hint="default" w:ascii="Times New Roman" w:hAnsi="Times New Roman" w:eastAsia="宋体" w:cs="Times New Roman"/>
                <w:color w:val="000000" w:themeColor="text1"/>
                <w:spacing w:val="-7"/>
                <w:sz w:val="24"/>
                <w:szCs w:val="24"/>
                <w14:textFill>
                  <w14:solidFill>
                    <w14:schemeClr w14:val="tx1"/>
                  </w14:solidFill>
                </w14:textFill>
              </w:rPr>
              <w:t>站区各设沉淀池一座，搅拌废水经沉淀池沉淀后上清液回用于混凝土搅拌或用于施工现场洒水降尘，定期清理沉淀池，不外排。</w:t>
            </w:r>
          </w:p>
          <w:p w14:paraId="0EABD20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②设置专职维护人员担负搅拌站的环保职责，管理现场施工作业人员，禁止将废料、废水乱堆乱排。</w:t>
            </w:r>
          </w:p>
          <w:p w14:paraId="34B34C6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③定期清洗和维护设备，避免设备堵塞和失效。</w:t>
            </w:r>
          </w:p>
          <w:p w14:paraId="0E5D288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color w:val="000000" w:themeColor="text1"/>
                <w:spacing w:val="-7"/>
                <w:sz w:val="24"/>
                <w:szCs w:val="24"/>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④混凝土原料储存位于搅拌机就近，通过输送皮带进入混凝土搅拌机，输送皮带进行洒水处理，增加每日洒水次数。</w:t>
            </w:r>
          </w:p>
          <w:p w14:paraId="7DECD5C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bCs/>
                <w:color w:val="000000" w:themeColor="text1"/>
                <w:spacing w:val="-7"/>
                <w:sz w:val="24"/>
                <w:szCs w:val="24"/>
                <w:lang w:eastAsia="zh-CN"/>
                <w14:textFill>
                  <w14:solidFill>
                    <w14:schemeClr w14:val="tx1"/>
                  </w14:solidFill>
                </w14:textFill>
              </w:rPr>
            </w:pPr>
            <w:r>
              <w:rPr>
                <w:rFonts w:hint="default" w:ascii="Times New Roman" w:hAnsi="Times New Roman" w:eastAsia="宋体" w:cs="Times New Roman"/>
                <w:color w:val="000000" w:themeColor="text1"/>
                <w:spacing w:val="-7"/>
                <w:sz w:val="24"/>
                <w:szCs w:val="24"/>
                <w14:textFill>
                  <w14:solidFill>
                    <w14:schemeClr w14:val="tx1"/>
                  </w14:solidFill>
                </w14:textFill>
              </w:rPr>
              <w:t>⑤混凝土搅拌区采用搭建工棚，搅拌机为半封闭式设备，</w:t>
            </w:r>
            <w:r>
              <w:rPr>
                <w:rFonts w:hint="default" w:ascii="Times New Roman" w:hAnsi="Times New Roman" w:eastAsia="宋体" w:cs="Times New Roman"/>
                <w:color w:val="000000" w:themeColor="text1"/>
                <w:spacing w:val="-7"/>
                <w:sz w:val="24"/>
                <w:szCs w:val="24"/>
                <w:lang w:eastAsia="zh-CN"/>
                <w14:textFill>
                  <w14:solidFill>
                    <w14:schemeClr w14:val="tx1"/>
                  </w14:solidFill>
                </w14:textFill>
              </w:rPr>
              <w:t>混凝土拌和</w:t>
            </w:r>
            <w:r>
              <w:rPr>
                <w:rFonts w:hint="default" w:ascii="Times New Roman" w:hAnsi="Times New Roman" w:eastAsia="宋体" w:cs="Times New Roman"/>
                <w:color w:val="000000" w:themeColor="text1"/>
                <w:spacing w:val="-7"/>
                <w:sz w:val="24"/>
                <w:szCs w:val="24"/>
                <w14:textFill>
                  <w14:solidFill>
                    <w14:schemeClr w14:val="tx1"/>
                  </w14:solidFill>
                </w14:textFill>
              </w:rPr>
              <w:t>站定期进行洒水降尘。</w:t>
            </w:r>
          </w:p>
        </w:tc>
      </w:tr>
    </w:tbl>
    <w:p w14:paraId="17991334">
      <w:pPr>
        <w:rPr>
          <w:rFonts w:hint="default" w:ascii="Times New Roman" w:hAnsi="Times New Roman" w:eastAsia="宋体" w:cs="Times New Roman"/>
          <w:color w:val="000000" w:themeColor="text1"/>
          <w14:textFill>
            <w14:solidFill>
              <w14:schemeClr w14:val="tx1"/>
            </w14:solidFill>
          </w14:textFill>
        </w:rPr>
        <w:sectPr>
          <w:pgSz w:w="11907" w:h="16840"/>
          <w:pgMar w:top="1440" w:right="1797" w:bottom="1440" w:left="1797" w:header="851" w:footer="1077" w:gutter="0"/>
          <w:pgBorders>
            <w:top w:val="none" w:sz="0" w:space="0"/>
            <w:left w:val="none" w:sz="0" w:space="0"/>
            <w:bottom w:val="none" w:sz="0" w:space="0"/>
            <w:right w:val="none" w:sz="0" w:space="0"/>
          </w:pgBorders>
          <w:pgNumType w:fmt="numberInDash"/>
          <w:cols w:space="720" w:num="1"/>
          <w:docGrid w:linePitch="312" w:charSpace="0"/>
        </w:sectPr>
      </w:pPr>
    </w:p>
    <w:p w14:paraId="5EF7475A">
      <w:pPr>
        <w:pStyle w:val="116"/>
        <w:spacing w:line="240" w:lineRule="auto"/>
        <w:ind w:left="0" w:leftChars="0" w:firstLine="0" w:firstLineChars="0"/>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表5-1生态保护措施实施一览表</w:t>
      </w:r>
    </w:p>
    <w:tbl>
      <w:tblPr>
        <w:tblStyle w:val="3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2"/>
        <w:gridCol w:w="1063"/>
        <w:gridCol w:w="2226"/>
        <w:gridCol w:w="2749"/>
        <w:gridCol w:w="1317"/>
        <w:gridCol w:w="1084"/>
        <w:gridCol w:w="712"/>
        <w:gridCol w:w="2356"/>
        <w:gridCol w:w="1957"/>
      </w:tblGrid>
      <w:tr w14:paraId="269BD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52A2B98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序号</w:t>
            </w:r>
          </w:p>
        </w:tc>
        <w:tc>
          <w:tcPr>
            <w:tcW w:w="1063" w:type="dxa"/>
            <w:vAlign w:val="center"/>
          </w:tcPr>
          <w:p w14:paraId="72439DD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类别</w:t>
            </w:r>
          </w:p>
        </w:tc>
        <w:tc>
          <w:tcPr>
            <w:tcW w:w="2226" w:type="dxa"/>
            <w:vAlign w:val="center"/>
          </w:tcPr>
          <w:p w14:paraId="418A27C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内容</w:t>
            </w:r>
          </w:p>
        </w:tc>
        <w:tc>
          <w:tcPr>
            <w:tcW w:w="2749" w:type="dxa"/>
            <w:vAlign w:val="center"/>
          </w:tcPr>
          <w:p w14:paraId="0EB93F3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规模及工艺</w:t>
            </w:r>
          </w:p>
        </w:tc>
        <w:tc>
          <w:tcPr>
            <w:tcW w:w="1317" w:type="dxa"/>
            <w:vAlign w:val="center"/>
          </w:tcPr>
          <w:p w14:paraId="5794F3B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实施部位</w:t>
            </w:r>
          </w:p>
        </w:tc>
        <w:tc>
          <w:tcPr>
            <w:tcW w:w="1084" w:type="dxa"/>
            <w:vAlign w:val="center"/>
          </w:tcPr>
          <w:p w14:paraId="5F5E26F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实施时间</w:t>
            </w:r>
          </w:p>
        </w:tc>
        <w:tc>
          <w:tcPr>
            <w:tcW w:w="712" w:type="dxa"/>
            <w:vAlign w:val="center"/>
          </w:tcPr>
          <w:p w14:paraId="2FE450D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责任主体</w:t>
            </w:r>
          </w:p>
        </w:tc>
        <w:tc>
          <w:tcPr>
            <w:tcW w:w="2356" w:type="dxa"/>
            <w:vAlign w:val="center"/>
          </w:tcPr>
          <w:p w14:paraId="5822E1D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实施保障</w:t>
            </w:r>
          </w:p>
        </w:tc>
        <w:tc>
          <w:tcPr>
            <w:tcW w:w="1957" w:type="dxa"/>
            <w:vAlign w:val="center"/>
          </w:tcPr>
          <w:p w14:paraId="25FF006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实施效果</w:t>
            </w:r>
          </w:p>
        </w:tc>
      </w:tr>
      <w:tr w14:paraId="0E3ED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50535E3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w:t>
            </w:r>
          </w:p>
        </w:tc>
        <w:tc>
          <w:tcPr>
            <w:tcW w:w="1063" w:type="dxa"/>
            <w:vAlign w:val="center"/>
          </w:tcPr>
          <w:p w14:paraId="4130CB9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水生生态保护（鱼类）</w:t>
            </w:r>
          </w:p>
        </w:tc>
        <w:tc>
          <w:tcPr>
            <w:tcW w:w="2226" w:type="dxa"/>
            <w:vAlign w:val="center"/>
          </w:tcPr>
          <w:p w14:paraId="3C542DD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施工期避开塔里木裂腹鱼繁殖期（5月1日～7月31日），涉水施工（围堰填筑、拆除、基坑开挖、降水井施工等）安排在枯水期（9月15日～次年4月30日）；②设置鱼类保护警示牌；③施工废水零排放，防止污染水体；④如发现受伤或搁浅的保护鱼类，立即报告并救护。</w:t>
            </w:r>
          </w:p>
        </w:tc>
        <w:tc>
          <w:tcPr>
            <w:tcW w:w="2749" w:type="dxa"/>
            <w:vAlign w:val="center"/>
          </w:tcPr>
          <w:p w14:paraId="7F04F12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施工进度调整：涉水施工全部避开5-7月；②警示牌：2块，尺寸1.0m×0.8m，内容“保护塔里木裂腹鱼，禁止捕杀”；③救护：配备临时救护桶（2个，50L）、增氧泵1台，与莎车县农业农村局（渔业科）建立联系机制。</w:t>
            </w:r>
          </w:p>
        </w:tc>
        <w:tc>
          <w:tcPr>
            <w:tcW w:w="1317" w:type="dxa"/>
            <w:vAlign w:val="center"/>
          </w:tcPr>
          <w:p w14:paraId="6D7C531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全河段施工区域，尤其是围堰段（K137+680～K143+360）、退水口（K142+650）</w:t>
            </w:r>
          </w:p>
        </w:tc>
        <w:tc>
          <w:tcPr>
            <w:tcW w:w="1084" w:type="dxa"/>
            <w:vAlign w:val="center"/>
          </w:tcPr>
          <w:p w14:paraId="09EEDC3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施工全过程，重点在繁殖期前完成涉水施工或暂停</w:t>
            </w:r>
          </w:p>
        </w:tc>
        <w:tc>
          <w:tcPr>
            <w:tcW w:w="712" w:type="dxa"/>
            <w:vAlign w:val="center"/>
          </w:tcPr>
          <w:p w14:paraId="698C0E2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施工单位（现场环保员）</w:t>
            </w:r>
          </w:p>
        </w:tc>
        <w:tc>
          <w:tcPr>
            <w:tcW w:w="2356" w:type="dxa"/>
            <w:vAlign w:val="center"/>
          </w:tcPr>
          <w:p w14:paraId="378D9B6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①将避让期要求写入施工合同，违反按合同罚款；②施工前对全员进行保护鱼类培训；③监理每日巡查，记录施工时段和涉水作业情况。</w:t>
            </w:r>
          </w:p>
        </w:tc>
        <w:tc>
          <w:tcPr>
            <w:tcW w:w="1957" w:type="dxa"/>
            <w:vAlign w:val="center"/>
          </w:tcPr>
          <w:p w14:paraId="448E0FE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涉水施工对鱼类繁殖的干扰降至最低；施工期间无捕杀事件；塔里木裂腹鱼种群不受影响。</w:t>
            </w:r>
          </w:p>
        </w:tc>
      </w:tr>
      <w:tr w14:paraId="4DCD9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6689177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w:t>
            </w:r>
          </w:p>
        </w:tc>
        <w:tc>
          <w:tcPr>
            <w:tcW w:w="1063" w:type="dxa"/>
            <w:vAlign w:val="center"/>
          </w:tcPr>
          <w:p w14:paraId="443E5A9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陆生植物保护</w:t>
            </w:r>
          </w:p>
        </w:tc>
        <w:tc>
          <w:tcPr>
            <w:tcW w:w="2226" w:type="dxa"/>
            <w:vAlign w:val="center"/>
          </w:tcPr>
          <w:p w14:paraId="0977939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①严格控制施工占地，不得随意扩大；②表土剥离（30cm）单独堆存，用于后期恢复；③施工材料堆放区避开植被良好区；④施工结束后临时占地全部植被恢复。</w:t>
            </w:r>
          </w:p>
        </w:tc>
        <w:tc>
          <w:tcPr>
            <w:tcW w:w="2749" w:type="dxa"/>
            <w:vAlign w:val="center"/>
          </w:tcPr>
          <w:p w14:paraId="714404F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施工作业带宽度：护岸区≤30.5m，临时道路≤7m；②表土剥离面积约22.461hm²（临时占地），剥离量约6.74万m³，堆存于临时堆土场（1.2hm²），防尘网覆盖；③植被恢复：撒播草籽（披碱草、冰草混播）面积约21.4hm²，补植灌木（红柳、怪柳）约3000株。</w:t>
            </w:r>
          </w:p>
        </w:tc>
        <w:tc>
          <w:tcPr>
            <w:tcW w:w="1317" w:type="dxa"/>
            <w:vAlign w:val="center"/>
          </w:tcPr>
          <w:p w14:paraId="72FDC49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全线施工区、临时占地（临时堆土场、取弃土场、施工便道、施工生产生活区等）</w:t>
            </w:r>
          </w:p>
        </w:tc>
        <w:tc>
          <w:tcPr>
            <w:tcW w:w="1084" w:type="dxa"/>
            <w:vAlign w:val="center"/>
          </w:tcPr>
          <w:p w14:paraId="5BC21F4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施工前剥离表土；施工结束后30日内完成恢复</w:t>
            </w:r>
          </w:p>
        </w:tc>
        <w:tc>
          <w:tcPr>
            <w:tcW w:w="712" w:type="dxa"/>
            <w:vAlign w:val="center"/>
          </w:tcPr>
          <w:p w14:paraId="31EBDE6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施工单位（绿化班组）</w:t>
            </w:r>
          </w:p>
        </w:tc>
        <w:tc>
          <w:tcPr>
            <w:tcW w:w="2356" w:type="dxa"/>
            <w:vAlign w:val="center"/>
          </w:tcPr>
          <w:p w14:paraId="5DF57FC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①恢复方案经监理审核；②资金列入环保投资；③恢复期2年，每年春季补播；④与林草部门签订植被恢复监管协议。</w:t>
            </w:r>
          </w:p>
        </w:tc>
        <w:tc>
          <w:tcPr>
            <w:tcW w:w="1957" w:type="dxa"/>
            <w:vAlign w:val="center"/>
          </w:tcPr>
          <w:p w14:paraId="2784F8E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临时占地植被覆盖度≥周边同类未扰动区域（≥30%）；灌木成活率≥85%；无裸露地表。</w:t>
            </w:r>
          </w:p>
        </w:tc>
      </w:tr>
      <w:tr w14:paraId="6F4CC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27384BF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p>
        </w:tc>
        <w:tc>
          <w:tcPr>
            <w:tcW w:w="1063" w:type="dxa"/>
            <w:vAlign w:val="center"/>
          </w:tcPr>
          <w:p w14:paraId="1CA2FFB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陆生动物保护</w:t>
            </w:r>
          </w:p>
        </w:tc>
        <w:tc>
          <w:tcPr>
            <w:tcW w:w="2226" w:type="dxa"/>
            <w:vAlign w:val="center"/>
          </w:tcPr>
          <w:p w14:paraId="207D114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①禁止捕猎、惊吓野生动物；②夜间不施工（减少灯光和噪声）；③施工车辆限速行驶（≤20km/h），避免碾压；④设置野生动物警示牌。</w:t>
            </w:r>
          </w:p>
        </w:tc>
        <w:tc>
          <w:tcPr>
            <w:tcW w:w="2749" w:type="dxa"/>
            <w:vAlign w:val="center"/>
          </w:tcPr>
          <w:p w14:paraId="7A93C7A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①施工时间：昼间（8:00-20:00），夜间及午间（14:00-16:00）禁止高噪声作业；②限速标志：沿施工便道每500m设1个，共12个；③警示牌：4块（内容“保护野生动物，禁止捕猎”）。</w:t>
            </w:r>
          </w:p>
        </w:tc>
        <w:tc>
          <w:tcPr>
            <w:tcW w:w="1317" w:type="dxa"/>
            <w:vAlign w:val="center"/>
          </w:tcPr>
          <w:p w14:paraId="5830E7D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全线施工区、临时道路、取弃土场</w:t>
            </w:r>
          </w:p>
        </w:tc>
        <w:tc>
          <w:tcPr>
            <w:tcW w:w="1084" w:type="dxa"/>
            <w:vAlign w:val="center"/>
          </w:tcPr>
          <w:p w14:paraId="7716523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施工全过程</w:t>
            </w:r>
          </w:p>
        </w:tc>
        <w:tc>
          <w:tcPr>
            <w:tcW w:w="712" w:type="dxa"/>
            <w:vAlign w:val="center"/>
          </w:tcPr>
          <w:p w14:paraId="45B30D6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施工单位（安全环保部）</w:t>
            </w:r>
          </w:p>
        </w:tc>
        <w:tc>
          <w:tcPr>
            <w:tcW w:w="2356" w:type="dxa"/>
            <w:vAlign w:val="center"/>
          </w:tcPr>
          <w:p w14:paraId="0D7FB92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①施工人员岗前培训（野生动物保护法规）；②发现野生动物幼体或巢穴立即报告，暂停施工并采取避让；③监理随机抽查。</w:t>
            </w:r>
          </w:p>
        </w:tc>
        <w:tc>
          <w:tcPr>
            <w:tcW w:w="1957" w:type="dxa"/>
            <w:vAlign w:val="center"/>
          </w:tcPr>
          <w:p w14:paraId="72092A9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无捕杀、碾压野生动物事件；施工对动物惊扰降至最低，施工结束后动物返回。</w:t>
            </w:r>
          </w:p>
        </w:tc>
      </w:tr>
      <w:tr w14:paraId="5A652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08FDD5CB">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p>
        </w:tc>
        <w:tc>
          <w:tcPr>
            <w:tcW w:w="1063" w:type="dxa"/>
            <w:vAlign w:val="center"/>
          </w:tcPr>
          <w:p w14:paraId="737C48E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水土流失防治</w:t>
            </w:r>
          </w:p>
        </w:tc>
        <w:tc>
          <w:tcPr>
            <w:tcW w:w="2226" w:type="dxa"/>
            <w:vAlign w:val="center"/>
          </w:tcPr>
          <w:p w14:paraId="2E89560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①临时堆土（清废土、表土）防尘网覆盖、洒水；②围堰施工结束后拆除，土料平摊至河床低洼处；③施工便道硬化排水；④临时占地平整、植被恢复。</w:t>
            </w:r>
          </w:p>
        </w:tc>
        <w:tc>
          <w:tcPr>
            <w:tcW w:w="2749" w:type="dxa"/>
            <w:vAlign w:val="center"/>
          </w:tcPr>
          <w:p w14:paraId="0BAEA19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防尘网（2000目）覆盖面积约1.5hm²，洒水车2辆，每日洒水≥3次；②围堰拆除：土料9.3万m³平摊，塑膜及袋装土（约2.5t）运至垃圾处理点；③施工便道：单侧排水沟（宽0.3m，深0.3m），总长6.22km；④土地平整：推土机（74kW）平整面积约22.461hm²。</w:t>
            </w:r>
          </w:p>
        </w:tc>
        <w:tc>
          <w:tcPr>
            <w:tcW w:w="1317" w:type="dxa"/>
            <w:vAlign w:val="center"/>
          </w:tcPr>
          <w:p w14:paraId="3408C3A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临时堆土场、围堰区、施工便道、取弃土场</w:t>
            </w:r>
          </w:p>
        </w:tc>
        <w:tc>
          <w:tcPr>
            <w:tcW w:w="1084" w:type="dxa"/>
            <w:vAlign w:val="center"/>
          </w:tcPr>
          <w:p w14:paraId="72ABA9F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施工期间及施工结束后</w:t>
            </w:r>
          </w:p>
        </w:tc>
        <w:tc>
          <w:tcPr>
            <w:tcW w:w="712" w:type="dxa"/>
            <w:vAlign w:val="center"/>
          </w:tcPr>
          <w:p w14:paraId="6516B17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施工单位</w:t>
            </w:r>
          </w:p>
        </w:tc>
        <w:tc>
          <w:tcPr>
            <w:tcW w:w="2356" w:type="dxa"/>
            <w:vAlign w:val="center"/>
          </w:tcPr>
          <w:p w14:paraId="33D0018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①水土保持措施列入施工组织设计；②监理旁站验收；③雨季前完成临时防护。</w:t>
            </w:r>
          </w:p>
        </w:tc>
        <w:tc>
          <w:tcPr>
            <w:tcW w:w="1957" w:type="dxa"/>
            <w:vAlign w:val="center"/>
          </w:tcPr>
          <w:p w14:paraId="64CE143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施工期水土流失控制率≥95%；施工结束后土壤侵蚀模数恢复至背景值（≤1500t/km²·a）。</w:t>
            </w:r>
          </w:p>
        </w:tc>
      </w:tr>
      <w:tr w14:paraId="5EAC9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42230A2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p>
        </w:tc>
        <w:tc>
          <w:tcPr>
            <w:tcW w:w="1063" w:type="dxa"/>
            <w:vAlign w:val="center"/>
          </w:tcPr>
          <w:p w14:paraId="281D38A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土地沙化防治</w:t>
            </w:r>
          </w:p>
        </w:tc>
        <w:tc>
          <w:tcPr>
            <w:tcW w:w="2226" w:type="dxa"/>
            <w:vAlign w:val="center"/>
          </w:tcPr>
          <w:p w14:paraId="0AFF19A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①严格控制施工扰动范围，避免破坏地表结皮；②表土剥离后及时回覆，避免裸露；③施工结束后及时植被恢复；④大风天气（≥4级）停止土方作业。</w:t>
            </w:r>
          </w:p>
        </w:tc>
        <w:tc>
          <w:tcPr>
            <w:tcW w:w="2749" w:type="dxa"/>
            <w:vAlign w:val="center"/>
          </w:tcPr>
          <w:p w14:paraId="235456A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施工占地范围彩旗围护（总长约8km）；②表土剥离后堆存于临时堆土场（防尘网+洒水），堆高≤3m，边坡1:1.5；③取弃土场（3.06hm²）回填后立即平整、播撒耐盐草种（盐穗木、盐节木）；④气象预警：与当地气象局联动，大风天停工。</w:t>
            </w:r>
          </w:p>
        </w:tc>
        <w:tc>
          <w:tcPr>
            <w:tcW w:w="1317" w:type="dxa"/>
            <w:vAlign w:val="center"/>
          </w:tcPr>
          <w:p w14:paraId="43E9868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取弃土场、临时堆土场、施工便道等沙化敏感区</w:t>
            </w:r>
          </w:p>
        </w:tc>
        <w:tc>
          <w:tcPr>
            <w:tcW w:w="1084" w:type="dxa"/>
            <w:vAlign w:val="center"/>
          </w:tcPr>
          <w:p w14:paraId="3538FF0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施工全过程及结束后</w:t>
            </w:r>
          </w:p>
        </w:tc>
        <w:tc>
          <w:tcPr>
            <w:tcW w:w="712" w:type="dxa"/>
            <w:vAlign w:val="center"/>
          </w:tcPr>
          <w:p w14:paraId="76072F1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施工单位</w:t>
            </w:r>
          </w:p>
        </w:tc>
        <w:tc>
          <w:tcPr>
            <w:tcW w:w="2356" w:type="dxa"/>
            <w:vAlign w:val="center"/>
          </w:tcPr>
          <w:p w14:paraId="27642A9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①防沙治沙措施列入施工合同；②监理每日检查覆盖和洒水情况；③恢复期管护2年。</w:t>
            </w:r>
          </w:p>
        </w:tc>
        <w:tc>
          <w:tcPr>
            <w:tcW w:w="1957" w:type="dxa"/>
            <w:vAlign w:val="center"/>
          </w:tcPr>
          <w:p w14:paraId="2432862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施工扰动区域沙化不加剧；取弃土场恢复后植被覆盖度≥25%，地表结皮逐步恢复。</w:t>
            </w:r>
          </w:p>
        </w:tc>
      </w:tr>
      <w:tr w14:paraId="053E7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705E425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p>
        </w:tc>
        <w:tc>
          <w:tcPr>
            <w:tcW w:w="1063" w:type="dxa"/>
            <w:vAlign w:val="center"/>
          </w:tcPr>
          <w:p w14:paraId="6471284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临时占地生态恢复</w:t>
            </w:r>
          </w:p>
        </w:tc>
        <w:tc>
          <w:tcPr>
            <w:tcW w:w="2226" w:type="dxa"/>
            <w:vAlign w:val="center"/>
          </w:tcPr>
          <w:p w14:paraId="40E2231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①拆除所有临时设施（围堰、沉淀池、硬化地面、工棚等）；②清理建筑垃圾；③表土回覆；④土地平整；⑤撒播草籽、补植灌木。</w:t>
            </w:r>
          </w:p>
        </w:tc>
        <w:tc>
          <w:tcPr>
            <w:tcW w:w="2749" w:type="dxa"/>
            <w:vAlign w:val="center"/>
          </w:tcPr>
          <w:p w14:paraId="624C858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拆除工程量：围堰土方9.3万m³（平摊河床），混凝土构件约30m³（运至建筑垃圾填埋场），彩板房500m²（回收）；②表土回覆面积22.461hm²，回覆厚度30cm；③撒播草籽：披碱草+冰草，每平方米15g；④补植灌木：红柳、怪柳，株行距2m×2m，共约3000株。</w:t>
            </w:r>
          </w:p>
        </w:tc>
        <w:tc>
          <w:tcPr>
            <w:tcW w:w="1317" w:type="dxa"/>
            <w:vAlign w:val="center"/>
          </w:tcPr>
          <w:p w14:paraId="3298FBD1">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全部临时占地（施工生产生活区、原料堆场、临时堆土场、施工便道、围堰区、降水井区等）</w:t>
            </w:r>
          </w:p>
        </w:tc>
        <w:tc>
          <w:tcPr>
            <w:tcW w:w="1084" w:type="dxa"/>
            <w:vAlign w:val="center"/>
          </w:tcPr>
          <w:p w14:paraId="79530AF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施工结束后30日内</w:t>
            </w:r>
          </w:p>
        </w:tc>
        <w:tc>
          <w:tcPr>
            <w:tcW w:w="712" w:type="dxa"/>
            <w:vAlign w:val="center"/>
          </w:tcPr>
          <w:p w14:paraId="5808B3C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施工单位</w:t>
            </w:r>
          </w:p>
        </w:tc>
        <w:tc>
          <w:tcPr>
            <w:tcW w:w="2356" w:type="dxa"/>
            <w:vAlign w:val="center"/>
          </w:tcPr>
          <w:p w14:paraId="2ABF322E">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①恢复方案经监理和生态环境部门审核；②资金专项使用；③验收前进行生态恢复效果评估（植被覆盖度、物种多样性）。</w:t>
            </w:r>
          </w:p>
        </w:tc>
        <w:tc>
          <w:tcPr>
            <w:tcW w:w="1957" w:type="dxa"/>
            <w:vAlign w:val="center"/>
          </w:tcPr>
          <w:p w14:paraId="32E31D7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临时占地恢复为原地类（草地/耕地）；植被覆盖度≥周边同类区域水平；无建筑垃圾残留；恢复期后自然演替良好。</w:t>
            </w:r>
          </w:p>
        </w:tc>
      </w:tr>
      <w:tr w14:paraId="3DB8F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3A0E795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7</w:t>
            </w:r>
          </w:p>
        </w:tc>
        <w:tc>
          <w:tcPr>
            <w:tcW w:w="1063" w:type="dxa"/>
            <w:vAlign w:val="center"/>
          </w:tcPr>
          <w:p w14:paraId="2D0035F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施工期环境风险防控（油品泄漏）</w:t>
            </w:r>
          </w:p>
        </w:tc>
        <w:tc>
          <w:tcPr>
            <w:tcW w:w="2226" w:type="dxa"/>
            <w:vAlign w:val="center"/>
          </w:tcPr>
          <w:p w14:paraId="6CADFA9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①柴油发电机油箱总容量0.12t，即用即买，不设储油罐；②配备吸油毡、围油栏；③制定油品泄漏应急预案；④加强设备巡查，防止跑冒滴漏。</w:t>
            </w:r>
          </w:p>
        </w:tc>
        <w:tc>
          <w:tcPr>
            <w:tcW w:w="2749" w:type="dxa"/>
            <w:vAlign w:val="center"/>
          </w:tcPr>
          <w:p w14:paraId="4411B338">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①吸油毡：2箱（每箱10m²），围油栏：50m；②应急桶：2个（200L）；③应急预案：1份（报喀什地区生态环境局莎车县分局备案）；④巡查：每日1次，记录在案。</w:t>
            </w:r>
          </w:p>
        </w:tc>
        <w:tc>
          <w:tcPr>
            <w:tcW w:w="1317" w:type="dxa"/>
            <w:vAlign w:val="center"/>
          </w:tcPr>
          <w:p w14:paraId="7118D80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柴油发电机放置点（施工生产生活区）、机械停放场</w:t>
            </w:r>
          </w:p>
        </w:tc>
        <w:tc>
          <w:tcPr>
            <w:tcW w:w="1084" w:type="dxa"/>
            <w:vAlign w:val="center"/>
          </w:tcPr>
          <w:p w14:paraId="68F55F6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施工全过程</w:t>
            </w:r>
          </w:p>
        </w:tc>
        <w:tc>
          <w:tcPr>
            <w:tcW w:w="712" w:type="dxa"/>
            <w:vAlign w:val="center"/>
          </w:tcPr>
          <w:p w14:paraId="6586D2F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施工单位（安全环保部）</w:t>
            </w:r>
          </w:p>
        </w:tc>
        <w:tc>
          <w:tcPr>
            <w:tcW w:w="2356" w:type="dxa"/>
            <w:vAlign w:val="center"/>
          </w:tcPr>
          <w:p w14:paraId="6F431C53">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①应急物资采购列入环保投资；②预案演练每半年1次。</w:t>
            </w:r>
          </w:p>
        </w:tc>
        <w:tc>
          <w:tcPr>
            <w:tcW w:w="1957" w:type="dxa"/>
            <w:vAlign w:val="center"/>
          </w:tcPr>
          <w:p w14:paraId="223BC50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通过落实防范措施，可有效降低油品泄漏环境事件的发生概率，确保一旦泄漏可立即控制，不进入土壤和水体；一旦泄漏可立即控制，不进入土壤和水体。</w:t>
            </w:r>
          </w:p>
        </w:tc>
      </w:tr>
      <w:tr w14:paraId="71904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2F73200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w:t>
            </w:r>
          </w:p>
        </w:tc>
        <w:tc>
          <w:tcPr>
            <w:tcW w:w="1063" w:type="dxa"/>
            <w:vAlign w:val="center"/>
          </w:tcPr>
          <w:p w14:paraId="43400C8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运营期生态监测与维护</w:t>
            </w:r>
          </w:p>
        </w:tc>
        <w:tc>
          <w:tcPr>
            <w:tcW w:w="2226" w:type="dxa"/>
            <w:vAlign w:val="center"/>
          </w:tcPr>
          <w:p w14:paraId="34CB2ED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①运行后前两年每年秋季对临时占地植被恢复情况进行监测；②护岸工程维护，防止二次水土流失；③保护鱼类监测（若有发现）。</w:t>
            </w:r>
          </w:p>
        </w:tc>
        <w:tc>
          <w:tcPr>
            <w:tcW w:w="2749" w:type="dxa"/>
            <w:vAlign w:val="center"/>
          </w:tcPr>
          <w:p w14:paraId="7D3AD31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①植被监测：设固定样方10个（2m×2m），记录植被种类、覆盖度、存活率；②护岸维护：每年汛前检查，修复损坏部位；③鱼类监测：委托专业机构每2年1次（定性调查）。</w:t>
            </w:r>
          </w:p>
        </w:tc>
        <w:tc>
          <w:tcPr>
            <w:tcW w:w="1317" w:type="dxa"/>
            <w:vAlign w:val="center"/>
          </w:tcPr>
          <w:p w14:paraId="294566A4">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临时占地恢复区、护岸全线、评价河段</w:t>
            </w:r>
          </w:p>
        </w:tc>
        <w:tc>
          <w:tcPr>
            <w:tcW w:w="1084" w:type="dxa"/>
            <w:vAlign w:val="center"/>
          </w:tcPr>
          <w:p w14:paraId="46B18EF6">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运营期第1-2年（植被）；运营期长期（护岸）；每2年（鱼类）</w:t>
            </w:r>
          </w:p>
        </w:tc>
        <w:tc>
          <w:tcPr>
            <w:tcW w:w="712" w:type="dxa"/>
            <w:vAlign w:val="center"/>
          </w:tcPr>
          <w:p w14:paraId="74BF2D9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建设单位（莎车县水管总站）</w:t>
            </w:r>
          </w:p>
        </w:tc>
        <w:tc>
          <w:tcPr>
            <w:tcW w:w="2356" w:type="dxa"/>
            <w:vAlign w:val="center"/>
          </w:tcPr>
          <w:p w14:paraId="4ECAAC5C">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①监测费用列入运营管理预算；②签订监测协议；③建立生态维护台账。</w:t>
            </w:r>
          </w:p>
        </w:tc>
        <w:tc>
          <w:tcPr>
            <w:tcW w:w="1957" w:type="dxa"/>
            <w:vAlign w:val="center"/>
          </w:tcPr>
          <w:p w14:paraId="3462B79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植被恢复效果达到要求（覆盖度≥30%）；护岸稳定，水土流失不加剧；保护鱼类种群无明显下降。</w:t>
            </w:r>
          </w:p>
        </w:tc>
      </w:tr>
    </w:tbl>
    <w:p w14:paraId="41CE4000">
      <w:pPr>
        <w:pStyle w:val="33"/>
        <w:rPr>
          <w:rFonts w:hint="default" w:ascii="Times New Roman" w:hAnsi="Times New Roman" w:eastAsia="宋体" w:cs="Times New Roman"/>
          <w:color w:val="000000" w:themeColor="text1"/>
          <w14:textFill>
            <w14:solidFill>
              <w14:schemeClr w14:val="tx1"/>
            </w14:solidFill>
          </w14:textFill>
        </w:rPr>
        <w:sectPr>
          <w:pgSz w:w="16840" w:h="11907" w:orient="landscape"/>
          <w:pgMar w:top="1797" w:right="1440" w:bottom="1797" w:left="1440" w:header="851" w:footer="1077" w:gutter="0"/>
          <w:pgBorders>
            <w:top w:val="none" w:sz="0" w:space="0"/>
            <w:left w:val="none" w:sz="0" w:space="0"/>
            <w:bottom w:val="none" w:sz="0" w:space="0"/>
            <w:right w:val="none" w:sz="0" w:space="0"/>
          </w:pgBorders>
          <w:pgNumType w:fmt="numberInDash"/>
          <w:cols w:space="720" w:num="1"/>
          <w:docGrid w:linePitch="312" w:charSpace="0"/>
        </w:sectPr>
      </w:pPr>
    </w:p>
    <w:p w14:paraId="099BFA6E">
      <w:pPr>
        <w:pStyle w:val="33"/>
        <w:rPr>
          <w:rFonts w:hint="default" w:ascii="Times New Roman" w:hAnsi="Times New Roman" w:eastAsia="宋体" w:cs="Times New Roman"/>
          <w:color w:val="000000" w:themeColor="text1"/>
          <w14:textFill>
            <w14:solidFill>
              <w14:schemeClr w14:val="tx1"/>
            </w14:solidFill>
          </w14:textFill>
        </w:rPr>
      </w:pPr>
    </w:p>
    <w:tbl>
      <w:tblPr>
        <w:tblStyle w:val="35"/>
        <w:tblW w:w="5456" w:type="pct"/>
        <w:tblInd w:w="-41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5"/>
        <w:gridCol w:w="8602"/>
      </w:tblGrid>
      <w:tr w14:paraId="5F24F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5" w:type="dxa"/>
            <w:vAlign w:val="center"/>
          </w:tcPr>
          <w:p w14:paraId="21CB042E">
            <w:pPr>
              <w:adjustRightInd w:val="0"/>
              <w:snapToGrid w:val="0"/>
              <w:jc w:val="center"/>
              <w:rPr>
                <w:rFonts w:hint="default" w:ascii="Times New Roman" w:hAnsi="Times New Roman" w:eastAsia="宋体" w:cs="Times New Roman"/>
                <w:color w:val="000000" w:themeColor="text1"/>
                <w:vertAlign w:val="baseline"/>
                <w14:textFill>
                  <w14:solidFill>
                    <w14:schemeClr w14:val="tx1"/>
                  </w14:solidFill>
                </w14:textFill>
              </w:rPr>
            </w:pPr>
            <w:r>
              <w:rPr>
                <w:rFonts w:hint="default" w:ascii="Times New Roman" w:hAnsi="Times New Roman" w:eastAsia="宋体" w:cs="Times New Roman"/>
                <w:bCs/>
                <w:color w:val="000000" w:themeColor="text1"/>
                <w:sz w:val="24"/>
                <w14:textFill>
                  <w14:solidFill>
                    <w14:schemeClr w14:val="tx1"/>
                  </w14:solidFill>
                </w14:textFill>
              </w:rPr>
              <w:t>运营期生态环境保护措施</w:t>
            </w:r>
          </w:p>
        </w:tc>
        <w:tc>
          <w:tcPr>
            <w:tcW w:w="8602" w:type="dxa"/>
            <w:vAlign w:val="top"/>
          </w:tcPr>
          <w:p w14:paraId="77992141">
            <w:pPr>
              <w:rPr>
                <w:rFonts w:hint="default" w:ascii="Times New Roman" w:hAnsi="Times New Roman" w:eastAsia="宋体" w:cs="Times New Roman"/>
                <w:color w:val="000000" w:themeColor="text1"/>
                <w:sz w:val="24"/>
                <w:szCs w:val="24"/>
                <w14:textFill>
                  <w14:solidFill>
                    <w14:schemeClr w14:val="tx1"/>
                  </w14:solidFill>
                </w14:textFill>
              </w:rPr>
            </w:pPr>
          </w:p>
          <w:p w14:paraId="1F8B36C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本项目为防洪工程，属非污染型项目，项目本身不会排放水、气、声、固废等污染物。项目建成后，有利于提高当地的防洪排涝能力，更有利于防止水土流失，岸上雨水径流中夹带的污染物不宜直接排入河道。为防治洪水，防御、减轻洪涝灾害，保障行洪安全，应采取以下保护措施：</w:t>
            </w:r>
          </w:p>
          <w:p w14:paraId="0C817A5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（1）工程建成运行后，按照“早发现、早报告、早处置”的原则，加强对防洪工程等存在安全隐患的部位，进行重点巡查进行监控，做好风险分析，对可能发生的突发事件进行监测和预警。</w:t>
            </w:r>
          </w:p>
          <w:p w14:paraId="15F230D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（2）进行经常和特殊情况下的巡检和观测工作，制定值班和巡视制度、防汛抢险应急预案、突发事件应急预案。</w:t>
            </w:r>
          </w:p>
          <w:p w14:paraId="4F6823F3">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（3）对查出的重大工程问题，要及时抢修，对查出的安全隐患须限期处置。</w:t>
            </w:r>
          </w:p>
          <w:p w14:paraId="211F10F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（4）加强对河道管理范围的保护，禁止任何单位和个人损坏堤防及观察、交通等设施。</w:t>
            </w:r>
          </w:p>
          <w:p w14:paraId="39FCB2C9">
            <w:pPr>
              <w:pStyle w:val="149"/>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52" w:firstLineChars="200"/>
              <w:textAlignment w:val="auto"/>
              <w:rPr>
                <w:rFonts w:hint="default" w:ascii="Times New Roman" w:hAnsi="Times New Roman" w:eastAsia="宋体" w:cs="Times New Roman"/>
                <w:color w:val="000000" w:themeColor="text1"/>
                <w:vertAlign w:val="baseline"/>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（5）汛前和防汛期间，加强雨情与水情监测，加强对防洪工程的巡视，及时组织力量抢险、加固防洪堤。</w:t>
            </w:r>
          </w:p>
        </w:tc>
      </w:tr>
      <w:tr w14:paraId="7D777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5" w:type="dxa"/>
            <w:vAlign w:val="center"/>
          </w:tcPr>
          <w:p w14:paraId="7E21A432">
            <w:pPr>
              <w:adjustRightInd w:val="0"/>
              <w:snapToGrid w:val="0"/>
              <w:jc w:val="center"/>
              <w:rPr>
                <w:rFonts w:hint="default" w:ascii="Times New Roman" w:hAnsi="Times New Roman" w:eastAsia="宋体" w:cs="Times New Roman"/>
                <w:color w:val="000000" w:themeColor="text1"/>
                <w:vertAlign w:val="baseline"/>
                <w14:textFill>
                  <w14:solidFill>
                    <w14:schemeClr w14:val="tx1"/>
                  </w14:solidFill>
                </w14:textFill>
              </w:rPr>
            </w:pPr>
            <w:r>
              <w:rPr>
                <w:rFonts w:hint="default" w:ascii="Times New Roman" w:hAnsi="Times New Roman" w:eastAsia="宋体" w:cs="Times New Roman"/>
                <w:bCs/>
                <w:color w:val="000000" w:themeColor="text1"/>
                <w:sz w:val="24"/>
                <w14:textFill>
                  <w14:solidFill>
                    <w14:schemeClr w14:val="tx1"/>
                  </w14:solidFill>
                </w14:textFill>
              </w:rPr>
              <w:t>其他</w:t>
            </w:r>
          </w:p>
        </w:tc>
        <w:tc>
          <w:tcPr>
            <w:tcW w:w="8602" w:type="dxa"/>
            <w:vAlign w:val="top"/>
          </w:tcPr>
          <w:p w14:paraId="6351B04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1环境管理要求</w:t>
            </w:r>
          </w:p>
          <w:p w14:paraId="77141E7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环境管理就是指工程在施工期、营运期时全面执行和遵守国家、省、市有关环境保护法律、法规、政策和标准，接受地方环境保护主管部门的环境监督，调整和制定环境保护规划和目标，力争把不利影响减小到最低，加强项目环境管理，协调解决实现目标过程中的具体问题，及时调整工程运行方式和环境保护措施，以取得更好的综合环境效益，最终达到保护环境的目的。建设项目环境管理是工程管理的重要组成部分，是工程环境保护工作能够有效实施的关键。为了实现本工程经济、社会、生态效益的协调发展，落实各项环保措施，结合工程特点及环境现状，筹建期、施工期和运营期的环境管理主要内容分别是：</w:t>
            </w:r>
          </w:p>
          <w:p w14:paraId="4EB963B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1.1筹建期</w:t>
            </w:r>
          </w:p>
          <w:p w14:paraId="486315F2">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（1）审核环境影响评价成果，并确保环评报告中有关环保措施纳入工程设计文件。</w:t>
            </w:r>
          </w:p>
          <w:p w14:paraId="4C3C1FA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（2）确保环境保护条款列入招标文件及合同文件。</w:t>
            </w:r>
          </w:p>
          <w:p w14:paraId="267EFEA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（3）根据工程特点，</w:t>
            </w:r>
            <w:r>
              <w:rPr>
                <w:rFonts w:hint="default" w:ascii="Times New Roman" w:hAnsi="Times New Roman" w:eastAsia="宋体" w:cs="Times New Roman"/>
                <w:b w:val="0"/>
                <w:bCs w:val="0"/>
                <w:color w:val="000000" w:themeColor="text1"/>
                <w:spacing w:val="-7"/>
                <w:sz w:val="24"/>
                <w:szCs w:val="24"/>
                <w:lang w:eastAsia="zh-CN"/>
                <w14:textFill>
                  <w14:solidFill>
                    <w14:schemeClr w14:val="tx1"/>
                  </w14:solidFill>
                </w14:textFill>
              </w:rPr>
              <w:t>制定</w:t>
            </w: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完善的工程环境保护规章制度与管理方法，编制工程影响区环境保护实施规划。</w:t>
            </w:r>
          </w:p>
          <w:p w14:paraId="315C345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（4）筹建环境管理机构，并对环境管理人员进行培训。</w:t>
            </w:r>
          </w:p>
          <w:p w14:paraId="65E4519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1.2施工期</w:t>
            </w:r>
          </w:p>
          <w:p w14:paraId="2FDB183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（1）贯彻执行国家有关环境保护方针、政策及法规条例。</w:t>
            </w:r>
          </w:p>
          <w:p w14:paraId="41A9B35A">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（2）施工单位要有专人负责场地的环保工作，检查、落实有关防治扬尘、噪声措施。</w:t>
            </w:r>
          </w:p>
          <w:p w14:paraId="3FA256A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（3）组织实施工程环境保护规划，并监督、检查环境保护措施的执行情况和环保经费的使用情况，保证各项环保措施能按环保“三同时”的原则执行。</w:t>
            </w:r>
          </w:p>
          <w:p w14:paraId="6AEED74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（4）协调处理工程引起的环境污染事故和环境纠纷。</w:t>
            </w:r>
          </w:p>
          <w:p w14:paraId="62BACA7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5）当地保护行政主管部门对所辖行政区域内环境污染防治实施统一监督管理。施工单位必须在开工15日前向施工现场所在地区环境保护行政主管部门提出申报，经批准后方可施工，施工期间应积极配合生态环境部门检查工作。</w:t>
            </w:r>
          </w:p>
          <w:p w14:paraId="71DCFEB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（6）加强环境保护的宣传教育和技术培训，提高人们的环境保护意识和参与意识，工程环境管理人员的技术水平。</w:t>
            </w:r>
          </w:p>
          <w:p w14:paraId="309577B5">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w:t>
            </w:r>
            <w:r>
              <w:rPr>
                <w:rFonts w:hint="default" w:ascii="Times New Roman" w:hAnsi="Times New Roman" w:eastAsia="宋体" w:cs="Times New Roman"/>
                <w:b w:val="0"/>
                <w:bCs w:val="0"/>
                <w:color w:val="000000" w:themeColor="text1"/>
                <w:spacing w:val="-7"/>
                <w:sz w:val="24"/>
                <w:szCs w:val="24"/>
                <w:lang w:val="en-US" w:eastAsia="zh-CN"/>
                <w14:textFill>
                  <w14:solidFill>
                    <w14:schemeClr w14:val="tx1"/>
                  </w14:solidFill>
                </w14:textFill>
              </w:rPr>
              <w:t>7</w:t>
            </w: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施工期应由建设单位委托具有相应资质的监理单位，采取旁站、巡视与平行检验相结合的方式，重点对塔里木裂腹鱼繁殖期避让、表土剥离及植被恢复、废水废气噪声治理、固废处置和环境风险应急物资配备等关键环节实施全过程环境监理。监理单位须建立每日巡查记录和问题整改闭环制度，所有监理资料归档保存，作为竣工环保验收的重要依据。</w:t>
            </w:r>
          </w:p>
          <w:p w14:paraId="5E292271">
            <w:pPr>
              <w:ind w:firstLine="310" w:firstLineChars="147"/>
              <w:jc w:val="center"/>
              <w:rPr>
                <w:rFonts w:hint="default" w:ascii="Times New Roman" w:hAnsi="Times New Roman" w:eastAsia="宋体" w:cs="Times New Roman"/>
                <w:b/>
                <w:color w:val="000000" w:themeColor="text1"/>
                <w:szCs w:val="21"/>
                <w:lang w:bidi="ar"/>
                <w14:textFill>
                  <w14:solidFill>
                    <w14:schemeClr w14:val="tx1"/>
                  </w14:solidFill>
                </w14:textFill>
              </w:rPr>
            </w:pPr>
            <w:r>
              <w:rPr>
                <w:rFonts w:hint="default" w:ascii="Times New Roman" w:hAnsi="Times New Roman" w:eastAsia="宋体" w:cs="Times New Roman"/>
                <w:b/>
                <w:color w:val="000000" w:themeColor="text1"/>
                <w:szCs w:val="21"/>
                <w:lang w:bidi="ar"/>
                <w14:textFill>
                  <w14:solidFill>
                    <w14:schemeClr w14:val="tx1"/>
                  </w14:solidFill>
                </w14:textFill>
              </w:rPr>
              <w:t>表</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5-1</w:t>
            </w:r>
            <w:r>
              <w:rPr>
                <w:rFonts w:hint="default" w:ascii="Times New Roman" w:hAnsi="Times New Roman" w:eastAsia="宋体" w:cs="Times New Roman"/>
                <w:b/>
                <w:color w:val="000000" w:themeColor="text1"/>
                <w:szCs w:val="21"/>
                <w:lang w:bidi="ar"/>
                <w14:textFill>
                  <w14:solidFill>
                    <w14:schemeClr w14:val="tx1"/>
                  </w14:solidFill>
                </w14:textFill>
              </w:rPr>
              <w:t>施工单位环境管理要求</w:t>
            </w:r>
          </w:p>
          <w:tbl>
            <w:tblPr>
              <w:tblStyle w:val="100"/>
              <w:tblW w:w="8327" w:type="dxa"/>
              <w:tblInd w:w="11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99"/>
              <w:gridCol w:w="1257"/>
              <w:gridCol w:w="2720"/>
              <w:gridCol w:w="3451"/>
            </w:tblGrid>
            <w:tr w14:paraId="6D5AF8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99" w:type="dxa"/>
                  <w:tcBorders>
                    <w:tl2br w:val="nil"/>
                    <w:tr2bl w:val="nil"/>
                  </w:tcBorders>
                  <w:vAlign w:val="center"/>
                </w:tcPr>
                <w:p w14:paraId="6EBF9325">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项目</w:t>
                  </w:r>
                </w:p>
              </w:tc>
              <w:tc>
                <w:tcPr>
                  <w:tcW w:w="1257" w:type="dxa"/>
                  <w:tcBorders>
                    <w:tl2br w:val="nil"/>
                    <w:tr2bl w:val="nil"/>
                  </w:tcBorders>
                  <w:vAlign w:val="center"/>
                </w:tcPr>
                <w:p w14:paraId="2241237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管理项目</w:t>
                  </w:r>
                </w:p>
              </w:tc>
              <w:tc>
                <w:tcPr>
                  <w:tcW w:w="2720" w:type="dxa"/>
                  <w:tcBorders>
                    <w:tl2br w:val="nil"/>
                    <w:tr2bl w:val="nil"/>
                  </w:tcBorders>
                  <w:vAlign w:val="center"/>
                </w:tcPr>
                <w:p w14:paraId="51A4B176">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管理内容</w:t>
                  </w:r>
                </w:p>
              </w:tc>
              <w:tc>
                <w:tcPr>
                  <w:tcW w:w="3451" w:type="dxa"/>
                  <w:tcBorders>
                    <w:tl2br w:val="nil"/>
                    <w:tr2bl w:val="nil"/>
                  </w:tcBorders>
                  <w:vAlign w:val="center"/>
                </w:tcPr>
                <w:p w14:paraId="181F1D42">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管理措施</w:t>
                  </w:r>
                </w:p>
              </w:tc>
            </w:tr>
            <w:tr w14:paraId="38BA6A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99" w:type="dxa"/>
                  <w:vMerge w:val="restart"/>
                  <w:tcBorders>
                    <w:tl2br w:val="nil"/>
                    <w:tr2bl w:val="nil"/>
                  </w:tcBorders>
                  <w:vAlign w:val="center"/>
                </w:tcPr>
                <w:p w14:paraId="074D421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环境空气</w:t>
                  </w:r>
                </w:p>
              </w:tc>
              <w:tc>
                <w:tcPr>
                  <w:tcW w:w="1257" w:type="dxa"/>
                  <w:tcBorders>
                    <w:tl2br w:val="nil"/>
                    <w:tr2bl w:val="nil"/>
                  </w:tcBorders>
                  <w:vAlign w:val="center"/>
                </w:tcPr>
                <w:p w14:paraId="429EE5B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施工场地</w:t>
                  </w:r>
                </w:p>
              </w:tc>
              <w:tc>
                <w:tcPr>
                  <w:tcW w:w="2720" w:type="dxa"/>
                  <w:tcBorders>
                    <w:tl2br w:val="nil"/>
                    <w:tr2bl w:val="nil"/>
                  </w:tcBorders>
                  <w:vAlign w:val="center"/>
                </w:tcPr>
                <w:p w14:paraId="6F1EEA25">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依规执行标有项目施工基本信息全部遮盖，无遗漏</w:t>
                  </w:r>
                </w:p>
              </w:tc>
              <w:tc>
                <w:tcPr>
                  <w:tcW w:w="3451" w:type="dxa"/>
                  <w:tcBorders>
                    <w:tl2br w:val="nil"/>
                    <w:tr2bl w:val="nil"/>
                  </w:tcBorders>
                  <w:vAlign w:val="center"/>
                </w:tcPr>
                <w:p w14:paraId="70F31E36">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大风、重污染天气，禁止施工；</w:t>
                  </w:r>
                </w:p>
                <w:p w14:paraId="09233478">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设置施工标志牌；易产尘运输</w:t>
                  </w:r>
                </w:p>
                <w:p w14:paraId="68BCB1F5">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车辆进行遮盖</w:t>
                  </w:r>
                </w:p>
              </w:tc>
            </w:tr>
            <w:tr w14:paraId="1B0A7A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99" w:type="dxa"/>
                  <w:vMerge w:val="continue"/>
                  <w:tcBorders>
                    <w:tl2br w:val="nil"/>
                    <w:tr2bl w:val="nil"/>
                  </w:tcBorders>
                  <w:vAlign w:val="center"/>
                </w:tcPr>
                <w:p w14:paraId="7E1A82DC">
                  <w:pPr>
                    <w:pStyle w:val="114"/>
                    <w:jc w:val="center"/>
                    <w:rPr>
                      <w:rFonts w:hint="default" w:ascii="Times New Roman" w:hAnsi="Times New Roman" w:eastAsia="宋体" w:cs="Times New Roman"/>
                      <w:color w:val="000000" w:themeColor="text1"/>
                      <w14:textFill>
                        <w14:solidFill>
                          <w14:schemeClr w14:val="tx1"/>
                        </w14:solidFill>
                      </w14:textFill>
                    </w:rPr>
                  </w:pPr>
                </w:p>
              </w:tc>
              <w:tc>
                <w:tcPr>
                  <w:tcW w:w="1257" w:type="dxa"/>
                  <w:tcBorders>
                    <w:tl2br w:val="nil"/>
                    <w:tr2bl w:val="nil"/>
                  </w:tcBorders>
                  <w:vAlign w:val="center"/>
                </w:tcPr>
                <w:p w14:paraId="33B97C2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基础开挖</w:t>
                  </w:r>
                </w:p>
              </w:tc>
              <w:tc>
                <w:tcPr>
                  <w:tcW w:w="2720" w:type="dxa"/>
                  <w:tcBorders>
                    <w:tl2br w:val="nil"/>
                    <w:tr2bl w:val="nil"/>
                  </w:tcBorders>
                  <w:vAlign w:val="center"/>
                </w:tcPr>
                <w:p w14:paraId="055C920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土方合理处置，强化环境管理，减少施工扬尘</w:t>
                  </w:r>
                </w:p>
              </w:tc>
              <w:tc>
                <w:tcPr>
                  <w:tcW w:w="3451" w:type="dxa"/>
                  <w:tcBorders>
                    <w:tl2br w:val="nil"/>
                    <w:tr2bl w:val="nil"/>
                  </w:tcBorders>
                  <w:vAlign w:val="center"/>
                </w:tcPr>
                <w:p w14:paraId="44BE52D0">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施工期开挖产生的挖方基础回填、坝体填筑，废弃土方用于低洼处及两侧河堤道路平整；临时堆场防尘网覆盖</w:t>
                  </w:r>
                </w:p>
              </w:tc>
            </w:tr>
            <w:tr w14:paraId="5E9462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99" w:type="dxa"/>
                  <w:vMerge w:val="continue"/>
                  <w:tcBorders>
                    <w:tl2br w:val="nil"/>
                    <w:tr2bl w:val="nil"/>
                  </w:tcBorders>
                  <w:vAlign w:val="center"/>
                </w:tcPr>
                <w:p w14:paraId="7D2656D1">
                  <w:pPr>
                    <w:pStyle w:val="114"/>
                    <w:jc w:val="center"/>
                    <w:rPr>
                      <w:rFonts w:hint="default" w:ascii="Times New Roman" w:hAnsi="Times New Roman" w:eastAsia="宋体" w:cs="Times New Roman"/>
                      <w:color w:val="000000" w:themeColor="text1"/>
                      <w14:textFill>
                        <w14:solidFill>
                          <w14:schemeClr w14:val="tx1"/>
                        </w14:solidFill>
                      </w14:textFill>
                    </w:rPr>
                  </w:pPr>
                </w:p>
              </w:tc>
              <w:tc>
                <w:tcPr>
                  <w:tcW w:w="1257" w:type="dxa"/>
                  <w:tcBorders>
                    <w:tl2br w:val="nil"/>
                    <w:tr2bl w:val="nil"/>
                  </w:tcBorders>
                  <w:vAlign w:val="center"/>
                </w:tcPr>
                <w:p w14:paraId="5F7B288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运输车辆</w:t>
                  </w:r>
                </w:p>
              </w:tc>
              <w:tc>
                <w:tcPr>
                  <w:tcW w:w="2720" w:type="dxa"/>
                  <w:tcBorders>
                    <w:tl2br w:val="nil"/>
                    <w:tr2bl w:val="nil"/>
                  </w:tcBorders>
                  <w:vAlign w:val="center"/>
                </w:tcPr>
                <w:p w14:paraId="54D0B15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无篷布车辆不得运输土方扬尘控制不力，追究领导责任</w:t>
                  </w:r>
                </w:p>
              </w:tc>
              <w:tc>
                <w:tcPr>
                  <w:tcW w:w="3451" w:type="dxa"/>
                  <w:tcBorders>
                    <w:tl2br w:val="nil"/>
                    <w:tr2bl w:val="nil"/>
                  </w:tcBorders>
                  <w:vAlign w:val="center"/>
                </w:tcPr>
                <w:p w14:paraId="6A537270">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运输土方车辆加盖篷布</w:t>
                  </w:r>
                </w:p>
              </w:tc>
            </w:tr>
            <w:tr w14:paraId="18C797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99" w:type="dxa"/>
                  <w:vMerge w:val="continue"/>
                  <w:tcBorders>
                    <w:tl2br w:val="nil"/>
                    <w:tr2bl w:val="nil"/>
                  </w:tcBorders>
                  <w:vAlign w:val="center"/>
                </w:tcPr>
                <w:p w14:paraId="17EEA978">
                  <w:pPr>
                    <w:pStyle w:val="114"/>
                    <w:jc w:val="center"/>
                    <w:rPr>
                      <w:rFonts w:hint="default" w:ascii="Times New Roman" w:hAnsi="Times New Roman" w:eastAsia="宋体" w:cs="Times New Roman"/>
                      <w:color w:val="000000" w:themeColor="text1"/>
                      <w14:textFill>
                        <w14:solidFill>
                          <w14:schemeClr w14:val="tx1"/>
                        </w14:solidFill>
                      </w14:textFill>
                    </w:rPr>
                  </w:pPr>
                </w:p>
              </w:tc>
              <w:tc>
                <w:tcPr>
                  <w:tcW w:w="1257" w:type="dxa"/>
                  <w:tcBorders>
                    <w:tl2br w:val="nil"/>
                    <w:tr2bl w:val="nil"/>
                  </w:tcBorders>
                  <w:vAlign w:val="center"/>
                </w:tcPr>
                <w:p w14:paraId="63BD29D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施工道路</w:t>
                  </w:r>
                </w:p>
              </w:tc>
              <w:tc>
                <w:tcPr>
                  <w:tcW w:w="2720" w:type="dxa"/>
                  <w:tcBorders>
                    <w:tl2br w:val="nil"/>
                    <w:tr2bl w:val="nil"/>
                  </w:tcBorders>
                  <w:vAlign w:val="center"/>
                </w:tcPr>
                <w:p w14:paraId="773120FE">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道路地面洒水，防止扬尘</w:t>
                  </w:r>
                </w:p>
              </w:tc>
              <w:tc>
                <w:tcPr>
                  <w:tcW w:w="3451" w:type="dxa"/>
                  <w:tcBorders>
                    <w:tl2br w:val="nil"/>
                    <w:tr2bl w:val="nil"/>
                  </w:tcBorders>
                  <w:vAlign w:val="center"/>
                </w:tcPr>
                <w:p w14:paraId="6EBBB8EC">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道路地面定时洒水降尘</w:t>
                  </w:r>
                </w:p>
              </w:tc>
            </w:tr>
            <w:tr w14:paraId="046FBA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99" w:type="dxa"/>
                  <w:tcBorders>
                    <w:tl2br w:val="nil"/>
                    <w:tr2bl w:val="nil"/>
                  </w:tcBorders>
                  <w:vAlign w:val="center"/>
                </w:tcPr>
                <w:p w14:paraId="6FE86988">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声环境</w:t>
                  </w:r>
                </w:p>
              </w:tc>
              <w:tc>
                <w:tcPr>
                  <w:tcW w:w="1257" w:type="dxa"/>
                  <w:tcBorders>
                    <w:tl2br w:val="nil"/>
                    <w:tr2bl w:val="nil"/>
                  </w:tcBorders>
                  <w:vAlign w:val="center"/>
                </w:tcPr>
                <w:p w14:paraId="79DCA373">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施工噪声</w:t>
                  </w:r>
                </w:p>
              </w:tc>
              <w:tc>
                <w:tcPr>
                  <w:tcW w:w="2720" w:type="dxa"/>
                  <w:tcBorders>
                    <w:tl2br w:val="nil"/>
                    <w:tr2bl w:val="nil"/>
                  </w:tcBorders>
                  <w:vAlign w:val="center"/>
                </w:tcPr>
                <w:p w14:paraId="1B7688C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施工场界噪声符合《</w:t>
                  </w:r>
                  <w:r>
                    <w:rPr>
                      <w:rFonts w:hint="default" w:ascii="Times New Roman" w:hAnsi="Times New Roman" w:eastAsia="宋体" w:cs="Times New Roman"/>
                      <w:color w:val="000000" w:themeColor="text1"/>
                      <w:lang w:eastAsia="zh-CN"/>
                      <w14:textFill>
                        <w14:solidFill>
                          <w14:schemeClr w14:val="tx1"/>
                        </w14:solidFill>
                      </w14:textFill>
                    </w:rPr>
                    <w:t>建筑施工噪声排放标准</w:t>
                  </w:r>
                  <w:r>
                    <w:rPr>
                      <w:rFonts w:hint="default" w:ascii="Times New Roman" w:hAnsi="Times New Roman" w:eastAsia="宋体" w:cs="Times New Roman"/>
                      <w:color w:val="000000" w:themeColor="text1"/>
                      <w14:textFill>
                        <w14:solidFill>
                          <w14:schemeClr w14:val="tx1"/>
                        </w14:solidFill>
                      </w14:textFill>
                    </w:rPr>
                    <w:t>》（GB12523-20</w:t>
                  </w:r>
                  <w:r>
                    <w:rPr>
                      <w:rFonts w:hint="default" w:ascii="Times New Roman" w:hAnsi="Times New Roman" w:eastAsia="宋体" w:cs="Times New Roman"/>
                      <w:color w:val="000000" w:themeColor="text1"/>
                      <w:lang w:val="en-US" w:eastAsia="zh-CN"/>
                      <w14:textFill>
                        <w14:solidFill>
                          <w14:schemeClr w14:val="tx1"/>
                        </w14:solidFill>
                      </w14:textFill>
                    </w:rPr>
                    <w:t>25</w:t>
                  </w:r>
                  <w:r>
                    <w:rPr>
                      <w:rFonts w:hint="default" w:ascii="Times New Roman" w:hAnsi="Times New Roman" w:eastAsia="宋体" w:cs="Times New Roman"/>
                      <w:color w:val="000000" w:themeColor="text1"/>
                      <w14:textFill>
                        <w14:solidFill>
                          <w14:schemeClr w14:val="tx1"/>
                        </w14:solidFill>
                      </w14:textFill>
                    </w:rPr>
                    <w:t>）</w:t>
                  </w:r>
                </w:p>
              </w:tc>
              <w:tc>
                <w:tcPr>
                  <w:tcW w:w="3451" w:type="dxa"/>
                  <w:tcBorders>
                    <w:tl2br w:val="nil"/>
                    <w:tr2bl w:val="nil"/>
                  </w:tcBorders>
                  <w:vAlign w:val="center"/>
                </w:tcPr>
                <w:p w14:paraId="787BBC2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选用噪声低、效率高的机械设</w:t>
                  </w:r>
                </w:p>
                <w:p w14:paraId="6568769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备；敏感点路段运输车辆禁止</w:t>
                  </w:r>
                </w:p>
                <w:p w14:paraId="3A80DFA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鸣笛</w:t>
                  </w:r>
                </w:p>
              </w:tc>
            </w:tr>
            <w:tr w14:paraId="652C0B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99" w:type="dxa"/>
                  <w:tcBorders>
                    <w:tl2br w:val="nil"/>
                    <w:tr2bl w:val="nil"/>
                  </w:tcBorders>
                  <w:vAlign w:val="center"/>
                </w:tcPr>
                <w:p w14:paraId="12D468AE">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水环境</w:t>
                  </w:r>
                </w:p>
              </w:tc>
              <w:tc>
                <w:tcPr>
                  <w:tcW w:w="1257" w:type="dxa"/>
                  <w:tcBorders>
                    <w:tl2br w:val="nil"/>
                    <w:tr2bl w:val="nil"/>
                  </w:tcBorders>
                  <w:vAlign w:val="center"/>
                </w:tcPr>
                <w:p w14:paraId="51C9DFA7">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施工场地</w:t>
                  </w:r>
                </w:p>
              </w:tc>
              <w:tc>
                <w:tcPr>
                  <w:tcW w:w="2720" w:type="dxa"/>
                  <w:tcBorders>
                    <w:tl2br w:val="nil"/>
                    <w:tr2bl w:val="nil"/>
                  </w:tcBorders>
                  <w:vAlign w:val="center"/>
                </w:tcPr>
                <w:p w14:paraId="726A4DF3">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生产废水经沉淀池处理后回用于施工场地洒水降尘与混凝土搅拌用水；生活污水经防渗化粪池处理后，定期拉运至</w:t>
                  </w:r>
                  <w:r>
                    <w:rPr>
                      <w:rFonts w:hint="default" w:ascii="Times New Roman" w:hAnsi="Times New Roman" w:eastAsia="宋体" w:cs="Times New Roman"/>
                      <w:color w:val="000000" w:themeColor="text1"/>
                      <w:lang w:eastAsia="zh-CN"/>
                      <w14:textFill>
                        <w14:solidFill>
                          <w14:schemeClr w14:val="tx1"/>
                        </w14:solidFill>
                      </w14:textFill>
                    </w:rPr>
                    <w:t>莎车县</w:t>
                  </w:r>
                  <w:r>
                    <w:rPr>
                      <w:rFonts w:hint="default" w:ascii="Times New Roman" w:hAnsi="Times New Roman" w:eastAsia="宋体" w:cs="Times New Roman"/>
                      <w:color w:val="000000" w:themeColor="text1"/>
                      <w14:textFill>
                        <w14:solidFill>
                          <w14:schemeClr w14:val="tx1"/>
                        </w14:solidFill>
                      </w14:textFill>
                    </w:rPr>
                    <w:t>污水处理厂集中处理，不外排</w:t>
                  </w:r>
                </w:p>
              </w:tc>
              <w:tc>
                <w:tcPr>
                  <w:tcW w:w="3451" w:type="dxa"/>
                  <w:tcBorders>
                    <w:tl2br w:val="nil"/>
                    <w:tr2bl w:val="nil"/>
                  </w:tcBorders>
                  <w:vAlign w:val="center"/>
                </w:tcPr>
                <w:p w14:paraId="1224DE90">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禁止在项目区域大修施工机</w:t>
                  </w:r>
                </w:p>
                <w:p w14:paraId="0899A74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械、车辆，冲洗车辆、机械远</w:t>
                  </w:r>
                </w:p>
                <w:p w14:paraId="0C41127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离河道，冲洗废水收集进入沉</w:t>
                  </w:r>
                </w:p>
                <w:p w14:paraId="77D90BB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淀池处理。</w:t>
                  </w:r>
                </w:p>
              </w:tc>
            </w:tr>
            <w:tr w14:paraId="336D06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99" w:type="dxa"/>
                  <w:tcBorders>
                    <w:tl2br w:val="nil"/>
                    <w:tr2bl w:val="nil"/>
                  </w:tcBorders>
                  <w:vAlign w:val="center"/>
                </w:tcPr>
                <w:p w14:paraId="5902685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固废处置</w:t>
                  </w:r>
                </w:p>
              </w:tc>
              <w:tc>
                <w:tcPr>
                  <w:tcW w:w="1257" w:type="dxa"/>
                  <w:tcBorders>
                    <w:tl2br w:val="nil"/>
                    <w:tr2bl w:val="nil"/>
                  </w:tcBorders>
                  <w:vAlign w:val="center"/>
                </w:tcPr>
                <w:p w14:paraId="02D39B7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施工期固废</w:t>
                  </w:r>
                </w:p>
              </w:tc>
              <w:tc>
                <w:tcPr>
                  <w:tcW w:w="2720" w:type="dxa"/>
                  <w:tcBorders>
                    <w:tl2br w:val="nil"/>
                    <w:tr2bl w:val="nil"/>
                  </w:tcBorders>
                  <w:vAlign w:val="center"/>
                </w:tcPr>
                <w:p w14:paraId="6CE6B638">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施工期产生的弃渣、生活垃圾、</w:t>
                  </w:r>
                </w:p>
                <w:p w14:paraId="73B3D762">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建筑垃圾</w:t>
                  </w:r>
                </w:p>
              </w:tc>
              <w:tc>
                <w:tcPr>
                  <w:tcW w:w="3451" w:type="dxa"/>
                  <w:tcBorders>
                    <w:tl2br w:val="nil"/>
                    <w:tr2bl w:val="nil"/>
                  </w:tcBorders>
                  <w:vAlign w:val="center"/>
                </w:tcPr>
                <w:p w14:paraId="54AABFAB">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废弃土方用于低洼处及两侧河堤道路平整；生活垃圾设垃圾桶集中收集后定期清运至</w:t>
                  </w:r>
                  <w:r>
                    <w:rPr>
                      <w:rFonts w:hint="default" w:ascii="Times New Roman" w:hAnsi="Times New Roman" w:eastAsia="宋体" w:cs="Times New Roman"/>
                      <w:color w:val="000000" w:themeColor="text1"/>
                      <w:lang w:eastAsia="zh-CN"/>
                      <w14:textFill>
                        <w14:solidFill>
                          <w14:schemeClr w14:val="tx1"/>
                        </w14:solidFill>
                      </w14:textFill>
                    </w:rPr>
                    <w:t>莎车县</w:t>
                  </w:r>
                  <w:r>
                    <w:rPr>
                      <w:rFonts w:hint="default" w:ascii="Times New Roman" w:hAnsi="Times New Roman" w:eastAsia="宋体" w:cs="Times New Roman"/>
                      <w:color w:val="000000" w:themeColor="text1"/>
                      <w14:textFill>
                        <w14:solidFill>
                          <w14:schemeClr w14:val="tx1"/>
                        </w14:solidFill>
                      </w14:textFill>
                    </w:rPr>
                    <w:t>生活垃圾填埋场填埋处置；建筑垃圾拉运至</w:t>
                  </w:r>
                  <w:r>
                    <w:rPr>
                      <w:rFonts w:hint="default" w:ascii="Times New Roman" w:hAnsi="Times New Roman" w:eastAsia="宋体" w:cs="Times New Roman"/>
                      <w:color w:val="000000" w:themeColor="text1"/>
                      <w:lang w:eastAsia="zh-CN"/>
                      <w14:textFill>
                        <w14:solidFill>
                          <w14:schemeClr w14:val="tx1"/>
                        </w14:solidFill>
                      </w14:textFill>
                    </w:rPr>
                    <w:t>莎车县</w:t>
                  </w:r>
                  <w:r>
                    <w:rPr>
                      <w:rFonts w:hint="default" w:ascii="Times New Roman" w:hAnsi="Times New Roman" w:eastAsia="宋体" w:cs="Times New Roman"/>
                      <w:color w:val="000000" w:themeColor="text1"/>
                      <w14:textFill>
                        <w14:solidFill>
                          <w14:schemeClr w14:val="tx1"/>
                        </w14:solidFill>
                      </w14:textFill>
                    </w:rPr>
                    <w:t>建筑垃圾填埋场填埋处置。</w:t>
                  </w:r>
                </w:p>
              </w:tc>
            </w:tr>
            <w:tr w14:paraId="2D1CCE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99" w:type="dxa"/>
                  <w:tcBorders>
                    <w:tl2br w:val="nil"/>
                    <w:tr2bl w:val="nil"/>
                  </w:tcBorders>
                  <w:vAlign w:val="center"/>
                </w:tcPr>
                <w:p w14:paraId="37D6217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生态环境</w:t>
                  </w:r>
                </w:p>
              </w:tc>
              <w:tc>
                <w:tcPr>
                  <w:tcW w:w="1257" w:type="dxa"/>
                  <w:tcBorders>
                    <w:tl2br w:val="nil"/>
                    <w:tr2bl w:val="nil"/>
                  </w:tcBorders>
                  <w:vAlign w:val="center"/>
                </w:tcPr>
                <w:p w14:paraId="38EE00EE">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地表破坏面</w:t>
                  </w:r>
                </w:p>
              </w:tc>
              <w:tc>
                <w:tcPr>
                  <w:tcW w:w="2720" w:type="dxa"/>
                  <w:tcBorders>
                    <w:tl2br w:val="nil"/>
                    <w:tr2bl w:val="nil"/>
                  </w:tcBorders>
                  <w:vAlign w:val="center"/>
                </w:tcPr>
                <w:p w14:paraId="3BC4577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施工完成后及时对区域地表进行清理、平整及植被恢复</w:t>
                  </w:r>
                </w:p>
              </w:tc>
              <w:tc>
                <w:tcPr>
                  <w:tcW w:w="3451" w:type="dxa"/>
                  <w:tcBorders>
                    <w:tl2br w:val="nil"/>
                    <w:tr2bl w:val="nil"/>
                  </w:tcBorders>
                  <w:vAlign w:val="center"/>
                </w:tcPr>
                <w:p w14:paraId="00287B33">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项目建设工程中，严格控制作业面积，分层开挖，施工结束后对开挖区域进行回填，并及时进行清理、平整工作，对裸露地表进行植被恢复措施。</w:t>
                  </w:r>
                </w:p>
              </w:tc>
            </w:tr>
          </w:tbl>
          <w:p w14:paraId="2A97B5E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当地有关部门如政府、环保、环卫等部门应对其进行监督，监督内容主要有：</w:t>
            </w:r>
          </w:p>
          <w:p w14:paraId="7DBE96F8">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（1）建筑垃圾及弃土、临时土石方、建筑材料、管材的堆放、装卸、运输及处置是否按环保要求进行；</w:t>
            </w:r>
          </w:p>
          <w:p w14:paraId="6E096547">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（2）施工场地噪声是否采取措施进行控制；</w:t>
            </w:r>
          </w:p>
          <w:p w14:paraId="1629D316">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（3）施工场地扬尘是否按规定进行处理；</w:t>
            </w:r>
          </w:p>
          <w:p w14:paraId="3834ED8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（4）施工场地清洗废水是否按要求进行处理。</w:t>
            </w:r>
          </w:p>
          <w:p w14:paraId="1E28A05C">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1.3运营期</w:t>
            </w:r>
          </w:p>
          <w:p w14:paraId="472F5719">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运行期环境管理内容主要是通过对各项环境因子的监测，掌握其变化情况及影响范围，及时发现潜在的环境问题，提出治理对策措施并予以实施。</w:t>
            </w:r>
          </w:p>
          <w:p w14:paraId="24CFF024">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（1）设置管理人员，并制定值班和巡视制度、防汛抢险应急预案、突发事件应急预案。</w:t>
            </w:r>
          </w:p>
          <w:p w14:paraId="7F3E4D9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（2）建立工程环境保护技术档案。编制水环境、生态环境、水土保持监测结果及调查表，对调查的监测资料进行汇总、分析整理，及时提出环境保护建议、措施。</w:t>
            </w:r>
          </w:p>
          <w:p w14:paraId="2FB7FC81">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4" w:firstLineChars="200"/>
              <w:textAlignment w:val="auto"/>
              <w:rPr>
                <w:rFonts w:hint="default" w:ascii="Times New Roman" w:hAnsi="Times New Roman" w:eastAsia="宋体" w:cs="Times New Roman"/>
                <w:b/>
                <w:bCs/>
                <w:color w:val="000000" w:themeColor="text1"/>
                <w:spacing w:val="-7"/>
                <w:sz w:val="24"/>
                <w:szCs w:val="24"/>
                <w14:textFill>
                  <w14:solidFill>
                    <w14:schemeClr w14:val="tx1"/>
                  </w14:solidFill>
                </w14:textFill>
              </w:rPr>
            </w:pPr>
            <w:r>
              <w:rPr>
                <w:rFonts w:hint="default" w:ascii="Times New Roman" w:hAnsi="Times New Roman" w:eastAsia="宋体" w:cs="Times New Roman"/>
                <w:b/>
                <w:bCs/>
                <w:color w:val="000000" w:themeColor="text1"/>
                <w:spacing w:val="-7"/>
                <w:sz w:val="24"/>
                <w:szCs w:val="24"/>
                <w14:textFill>
                  <w14:solidFill>
                    <w14:schemeClr w14:val="tx1"/>
                  </w14:solidFill>
                </w14:textFill>
              </w:rPr>
              <w:t>2环境监测计划</w:t>
            </w:r>
          </w:p>
          <w:p w14:paraId="6F27862F">
            <w:pPr>
              <w:spacing w:line="360" w:lineRule="auto"/>
              <w:ind w:firstLine="482" w:firstLineChars="200"/>
              <w:jc w:val="left"/>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2.1生态监测计划</w:t>
            </w:r>
          </w:p>
          <w:p w14:paraId="0C6CF3A5">
            <w:pPr>
              <w:spacing w:line="360" w:lineRule="auto"/>
              <w:ind w:firstLine="480" w:firstLineChars="200"/>
              <w:jc w:val="left"/>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根据《建设项目环境影响报告表编制技术指南（生态影响类）（试行）》，</w:t>
            </w:r>
            <w:r>
              <w:rPr>
                <w:rFonts w:hint="default" w:ascii="Times New Roman" w:hAnsi="Times New Roman" w:eastAsia="宋体" w:cs="Times New Roman"/>
                <w:color w:val="000000" w:themeColor="text1"/>
                <w:sz w:val="24"/>
                <w:szCs w:val="24"/>
                <w:highlight w:val="none"/>
                <w14:textFill>
                  <w14:solidFill>
                    <w14:schemeClr w14:val="tx1"/>
                  </w14:solidFill>
                </w14:textFill>
              </w:rPr>
              <w:t>本工程环境监测计划主要为生态方面的监测，企业委托有资质的监测单位进行监测，并将监测报告存档。</w:t>
            </w:r>
          </w:p>
          <w:p w14:paraId="44393B8C">
            <w:pPr>
              <w:spacing w:line="360" w:lineRule="auto"/>
              <w:ind w:firstLine="464" w:firstLineChars="200"/>
              <w:jc w:val="left"/>
              <w:rPr>
                <w:rFonts w:hint="default" w:ascii="Times New Roman" w:hAnsi="Times New Roman" w:eastAsia="宋体" w:cs="Times New Roman"/>
                <w:color w:val="000000" w:themeColor="text1"/>
                <w:spacing w:val="-4"/>
                <w:sz w:val="24"/>
                <w:highlight w:val="none"/>
                <w14:textFill>
                  <w14:solidFill>
                    <w14:schemeClr w14:val="tx1"/>
                  </w14:solidFill>
                </w14:textFill>
              </w:rPr>
            </w:pPr>
            <w:r>
              <w:rPr>
                <w:rFonts w:hint="default" w:ascii="Times New Roman" w:hAnsi="Times New Roman" w:eastAsia="宋体" w:cs="Times New Roman"/>
                <w:color w:val="000000" w:themeColor="text1"/>
                <w:spacing w:val="-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4"/>
                <w:sz w:val="24"/>
                <w:highlight w:val="none"/>
                <w14:textFill>
                  <w14:solidFill>
                    <w14:schemeClr w14:val="tx1"/>
                  </w14:solidFill>
                </w14:textFill>
              </w:rPr>
              <w:t>1</w:t>
            </w:r>
            <w:r>
              <w:rPr>
                <w:rFonts w:hint="default" w:ascii="Times New Roman" w:hAnsi="Times New Roman" w:eastAsia="宋体" w:cs="Times New Roman"/>
                <w:color w:val="000000" w:themeColor="text1"/>
                <w:spacing w:val="-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4"/>
                <w:sz w:val="24"/>
                <w:highlight w:val="none"/>
                <w14:textFill>
                  <w14:solidFill>
                    <w14:schemeClr w14:val="tx1"/>
                  </w14:solidFill>
                </w14:textFill>
              </w:rPr>
              <w:t>监测时间</w:t>
            </w:r>
          </w:p>
          <w:p w14:paraId="3F737EE6">
            <w:pPr>
              <w:spacing w:line="360" w:lineRule="auto"/>
              <w:ind w:firstLine="464" w:firstLineChars="200"/>
              <w:jc w:val="left"/>
              <w:rPr>
                <w:rFonts w:hint="default" w:ascii="Times New Roman" w:hAnsi="Times New Roman" w:eastAsia="宋体" w:cs="Times New Roman"/>
                <w:color w:val="000000" w:themeColor="text1"/>
                <w:spacing w:val="-4"/>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4"/>
                <w:sz w:val="24"/>
                <w:highlight w:val="none"/>
                <w:lang w:val="en-US" w:eastAsia="zh-CN"/>
                <w14:textFill>
                  <w14:solidFill>
                    <w14:schemeClr w14:val="tx1"/>
                  </w14:solidFill>
                </w14:textFill>
              </w:rPr>
              <w:t>运行后前两年，一年一次</w:t>
            </w:r>
          </w:p>
          <w:p w14:paraId="3EDDA124">
            <w:pPr>
              <w:spacing w:line="360" w:lineRule="auto"/>
              <w:ind w:firstLine="464" w:firstLineChars="200"/>
              <w:jc w:val="left"/>
              <w:rPr>
                <w:rFonts w:hint="default" w:ascii="Times New Roman" w:hAnsi="Times New Roman" w:eastAsia="宋体" w:cs="Times New Roman"/>
                <w:color w:val="000000" w:themeColor="text1"/>
                <w:spacing w:val="-4"/>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4"/>
                <w:sz w:val="24"/>
                <w:highlight w:val="none"/>
                <w:lang w:eastAsia="zh-CN"/>
                <w14:textFill>
                  <w14:solidFill>
                    <w14:schemeClr w14:val="tx1"/>
                  </w14:solidFill>
                </w14:textFill>
              </w:rPr>
              <w:t>（2）监测范围</w:t>
            </w:r>
            <w:r>
              <w:rPr>
                <w:rFonts w:hint="default" w:ascii="Times New Roman" w:hAnsi="Times New Roman" w:eastAsia="宋体" w:cs="Times New Roman"/>
                <w:color w:val="000000" w:themeColor="text1"/>
                <w:spacing w:val="-4"/>
                <w:sz w:val="24"/>
                <w:highlight w:val="none"/>
                <w:lang w:val="en-US" w:eastAsia="zh-CN"/>
                <w14:textFill>
                  <w14:solidFill>
                    <w14:schemeClr w14:val="tx1"/>
                  </w14:solidFill>
                </w14:textFill>
              </w:rPr>
              <w:t>及监测点位</w:t>
            </w:r>
          </w:p>
          <w:p w14:paraId="7817F699">
            <w:pPr>
              <w:spacing w:line="360" w:lineRule="auto"/>
              <w:ind w:firstLine="464" w:firstLineChars="200"/>
              <w:jc w:val="left"/>
              <w:rPr>
                <w:rFonts w:hint="default" w:ascii="Times New Roman" w:hAnsi="Times New Roman" w:eastAsia="宋体" w:cs="Times New Roman"/>
                <w:color w:val="000000" w:themeColor="text1"/>
                <w:spacing w:val="-4"/>
                <w:sz w:val="24"/>
                <w:lang w:val="en-US" w:eastAsia="zh-CN"/>
                <w14:textFill>
                  <w14:solidFill>
                    <w14:schemeClr w14:val="tx1"/>
                  </w14:solidFill>
                </w14:textFill>
              </w:rPr>
            </w:pPr>
            <w:r>
              <w:rPr>
                <w:rFonts w:hint="default" w:ascii="Times New Roman" w:hAnsi="Times New Roman" w:eastAsia="宋体" w:cs="Times New Roman"/>
                <w:color w:val="000000" w:themeColor="text1"/>
                <w:spacing w:val="-4"/>
                <w:sz w:val="24"/>
                <w:highlight w:val="none"/>
                <w:lang w:val="en-US" w:eastAsia="zh-CN"/>
                <w14:textFill>
                  <w14:solidFill>
                    <w14:schemeClr w14:val="tx1"/>
                  </w14:solidFill>
                </w14:textFill>
              </w:rPr>
              <w:t>本项目临时工程包括临时围堰（5.812km）、降水井（212眼）、施工生产生活区（2处）、原料堆场（2处）、取（弃）土场（1处）及施工便道（6.22km），合计占地22.461hm²，施工结束后除1.06km便道保留为永久管理道路外，其余全部拆除并恢复植被。本项目生态监测范围为临时占地周围植被恢复情况监测，监测点位</w:t>
            </w:r>
            <w:r>
              <w:rPr>
                <w:rFonts w:hint="default" w:ascii="Times New Roman" w:hAnsi="Times New Roman" w:eastAsia="宋体" w:cs="Times New Roman"/>
                <w:color w:val="000000" w:themeColor="text1"/>
                <w:spacing w:val="-4"/>
                <w:sz w:val="24"/>
                <w:lang w:val="en-US" w:eastAsia="zh-CN"/>
                <w14:textFill>
                  <w14:solidFill>
                    <w14:schemeClr w14:val="tx1"/>
                  </w14:solidFill>
                </w14:textFill>
              </w:rPr>
              <w:t>见附图12-1</w:t>
            </w:r>
            <w:r>
              <w:rPr>
                <w:rFonts w:hint="default" w:ascii="Times New Roman" w:hAnsi="Times New Roman" w:eastAsia="宋体" w:cs="Times New Roman"/>
                <w:color w:val="000000" w:themeColor="text1"/>
                <w:sz w:val="24"/>
                <w:szCs w:val="24"/>
                <w14:textFill>
                  <w14:solidFill>
                    <w14:schemeClr w14:val="tx1"/>
                  </w14:solidFill>
                </w14:textFill>
              </w:rPr>
              <w:t>。</w:t>
            </w:r>
          </w:p>
          <w:p w14:paraId="19FE01F9">
            <w:pPr>
              <w:spacing w:line="360" w:lineRule="auto"/>
              <w:ind w:firstLine="464" w:firstLineChars="200"/>
              <w:jc w:val="left"/>
              <w:rPr>
                <w:rFonts w:hint="default" w:ascii="Times New Roman" w:hAnsi="Times New Roman" w:eastAsia="宋体" w:cs="Times New Roman"/>
                <w:color w:val="000000" w:themeColor="text1"/>
                <w:spacing w:val="-4"/>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4"/>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4"/>
                <w:sz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pacing w:val="-4"/>
                <w:sz w:val="24"/>
                <w:highlight w:val="none"/>
                <w:lang w:eastAsia="zh-CN"/>
                <w14:textFill>
                  <w14:solidFill>
                    <w14:schemeClr w14:val="tx1"/>
                  </w14:solidFill>
                </w14:textFill>
              </w:rPr>
              <w:t>）监测内容</w:t>
            </w:r>
          </w:p>
          <w:p w14:paraId="18DF76A9">
            <w:pPr>
              <w:spacing w:line="360" w:lineRule="auto"/>
              <w:ind w:firstLine="464" w:firstLineChars="200"/>
              <w:jc w:val="left"/>
              <w:rPr>
                <w:rFonts w:hint="default" w:ascii="Times New Roman" w:hAnsi="Times New Roman" w:eastAsia="宋体" w:cs="Times New Roman"/>
                <w:color w:val="000000" w:themeColor="text1"/>
                <w:spacing w:val="-4"/>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4"/>
                <w:sz w:val="24"/>
                <w:highlight w:val="none"/>
                <w:lang w:eastAsia="zh-CN"/>
                <w14:textFill>
                  <w14:solidFill>
                    <w14:schemeClr w14:val="tx1"/>
                  </w14:solidFill>
                </w14:textFill>
              </w:rPr>
              <w:t>植被存活率和植被覆盖度</w:t>
            </w:r>
          </w:p>
          <w:p w14:paraId="2D3028AD">
            <w:pPr>
              <w:spacing w:line="360" w:lineRule="auto"/>
              <w:ind w:firstLine="482" w:firstLineChars="200"/>
              <w:jc w:val="left"/>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2.2污染源监测计划</w:t>
            </w:r>
          </w:p>
          <w:p w14:paraId="0E1EC97F">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建设单位依据《排污单位自行监测技术指南总则》（HJ819-2017）委托有资质的检测单位自行监测。</w:t>
            </w:r>
          </w:p>
          <w:p w14:paraId="0A02BAC0">
            <w:pPr>
              <w:pStyle w:val="149"/>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textAlignment w:val="auto"/>
              <w:rPr>
                <w:rFonts w:hint="default" w:ascii="Times New Roman" w:hAnsi="Times New Roman" w:eastAsia="宋体" w:cs="Times New Roman"/>
                <w:b w:val="0"/>
                <w:bCs w:val="0"/>
                <w:color w:val="000000" w:themeColor="text1"/>
                <w:spacing w:val="-7"/>
                <w:sz w:val="24"/>
                <w:szCs w:val="24"/>
                <w14:textFill>
                  <w14:solidFill>
                    <w14:schemeClr w14:val="tx1"/>
                  </w14:solidFill>
                </w14:textFill>
              </w:rPr>
            </w:pPr>
            <w:r>
              <w:rPr>
                <w:rFonts w:hint="default" w:ascii="Times New Roman" w:hAnsi="Times New Roman" w:eastAsia="宋体" w:cs="Times New Roman"/>
                <w:b w:val="0"/>
                <w:bCs w:val="0"/>
                <w:color w:val="000000" w:themeColor="text1"/>
                <w:spacing w:val="-7"/>
                <w:sz w:val="24"/>
                <w:szCs w:val="24"/>
                <w14:textFill>
                  <w14:solidFill>
                    <w14:schemeClr w14:val="tx1"/>
                  </w14:solidFill>
                </w14:textFill>
              </w:rPr>
              <w:t>本项目施工期大气污染源主要为无组织源，施工废水不外排，噪声污染源主要为施工设备，具有流动性；运营期不涉及污染物排放。本项目施工期环境监测计划见下表。</w:t>
            </w:r>
          </w:p>
          <w:p w14:paraId="2208A6C0">
            <w:pPr>
              <w:ind w:firstLine="310" w:firstLineChars="147"/>
              <w:jc w:val="center"/>
              <w:rPr>
                <w:rFonts w:hint="default" w:ascii="Times New Roman" w:hAnsi="Times New Roman" w:eastAsia="宋体" w:cs="Times New Roman"/>
                <w:b/>
                <w:color w:val="000000" w:themeColor="text1"/>
                <w:szCs w:val="21"/>
                <w:lang w:bidi="ar"/>
                <w14:textFill>
                  <w14:solidFill>
                    <w14:schemeClr w14:val="tx1"/>
                  </w14:solidFill>
                </w14:textFill>
              </w:rPr>
            </w:pPr>
            <w:r>
              <w:rPr>
                <w:rFonts w:hint="default" w:ascii="Times New Roman" w:hAnsi="Times New Roman" w:eastAsia="宋体" w:cs="Times New Roman"/>
                <w:b/>
                <w:color w:val="000000" w:themeColor="text1"/>
                <w:szCs w:val="21"/>
                <w:lang w:bidi="ar"/>
                <w14:textFill>
                  <w14:solidFill>
                    <w14:schemeClr w14:val="tx1"/>
                  </w14:solidFill>
                </w14:textFill>
              </w:rPr>
              <w:t>表</w:t>
            </w:r>
            <w:r>
              <w:rPr>
                <w:rFonts w:hint="default" w:ascii="Times New Roman" w:hAnsi="Times New Roman" w:eastAsia="宋体" w:cs="Times New Roman"/>
                <w:b/>
                <w:color w:val="000000" w:themeColor="text1"/>
                <w:szCs w:val="21"/>
                <w:lang w:val="en-US" w:eastAsia="zh-CN" w:bidi="ar"/>
                <w14:textFill>
                  <w14:solidFill>
                    <w14:schemeClr w14:val="tx1"/>
                  </w14:solidFill>
                </w14:textFill>
              </w:rPr>
              <w:t>5-2</w:t>
            </w:r>
            <w:r>
              <w:rPr>
                <w:rFonts w:hint="default" w:ascii="Times New Roman" w:hAnsi="Times New Roman" w:eastAsia="宋体" w:cs="Times New Roman"/>
                <w:b/>
                <w:color w:val="000000" w:themeColor="text1"/>
                <w:szCs w:val="21"/>
                <w:lang w:bidi="ar"/>
                <w14:textFill>
                  <w14:solidFill>
                    <w14:schemeClr w14:val="tx1"/>
                  </w14:solidFill>
                </w14:textFill>
              </w:rPr>
              <w:t>环境监测计划</w:t>
            </w:r>
          </w:p>
          <w:tbl>
            <w:tblPr>
              <w:tblStyle w:val="100"/>
              <w:tblW w:w="8453" w:type="dxa"/>
              <w:tblInd w:w="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64"/>
              <w:gridCol w:w="1850"/>
              <w:gridCol w:w="1179"/>
              <w:gridCol w:w="1166"/>
              <w:gridCol w:w="961"/>
              <w:gridCol w:w="2233"/>
            </w:tblGrid>
            <w:tr w14:paraId="577E8F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64" w:type="dxa"/>
                  <w:tcBorders>
                    <w:top w:val="single" w:color="000000" w:sz="10" w:space="0"/>
                  </w:tcBorders>
                  <w:vAlign w:val="center"/>
                </w:tcPr>
                <w:p w14:paraId="60F1A540">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监测项目</w:t>
                  </w:r>
                </w:p>
              </w:tc>
              <w:tc>
                <w:tcPr>
                  <w:tcW w:w="1850" w:type="dxa"/>
                  <w:tcBorders>
                    <w:top w:val="single" w:color="000000" w:sz="10" w:space="0"/>
                  </w:tcBorders>
                  <w:vAlign w:val="center"/>
                </w:tcPr>
                <w:p w14:paraId="1D4B1CA3">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监测点位</w:t>
                  </w:r>
                </w:p>
              </w:tc>
              <w:tc>
                <w:tcPr>
                  <w:tcW w:w="1179" w:type="dxa"/>
                  <w:tcBorders>
                    <w:top w:val="single" w:color="000000" w:sz="10" w:space="0"/>
                  </w:tcBorders>
                  <w:vAlign w:val="center"/>
                </w:tcPr>
                <w:p w14:paraId="74BB9FC0">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监测因子</w:t>
                  </w:r>
                </w:p>
              </w:tc>
              <w:tc>
                <w:tcPr>
                  <w:tcW w:w="1166" w:type="dxa"/>
                  <w:tcBorders>
                    <w:top w:val="single" w:color="000000" w:sz="10" w:space="0"/>
                  </w:tcBorders>
                  <w:vAlign w:val="center"/>
                </w:tcPr>
                <w:p w14:paraId="73BB806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监测时间、频率</w:t>
                  </w:r>
                </w:p>
              </w:tc>
              <w:tc>
                <w:tcPr>
                  <w:tcW w:w="961" w:type="dxa"/>
                  <w:tcBorders>
                    <w:top w:val="single" w:color="000000" w:sz="10" w:space="0"/>
                  </w:tcBorders>
                  <w:vAlign w:val="center"/>
                </w:tcPr>
                <w:p w14:paraId="06D3A41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实施机构</w:t>
                  </w:r>
                </w:p>
              </w:tc>
              <w:tc>
                <w:tcPr>
                  <w:tcW w:w="2233" w:type="dxa"/>
                  <w:tcBorders>
                    <w:top w:val="single" w:color="000000" w:sz="10" w:space="0"/>
                    <w:right w:val="single" w:color="000000" w:sz="6" w:space="0"/>
                  </w:tcBorders>
                  <w:vAlign w:val="center"/>
                </w:tcPr>
                <w:p w14:paraId="4DB956C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执行标准</w:t>
                  </w:r>
                </w:p>
              </w:tc>
            </w:tr>
            <w:tr w14:paraId="665A73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64" w:type="dxa"/>
                  <w:tcBorders>
                    <w:bottom w:val="single" w:color="auto" w:sz="4" w:space="0"/>
                  </w:tcBorders>
                  <w:vAlign w:val="center"/>
                </w:tcPr>
                <w:p w14:paraId="4D6FD860">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大气</w:t>
                  </w:r>
                </w:p>
              </w:tc>
              <w:tc>
                <w:tcPr>
                  <w:tcW w:w="1850" w:type="dxa"/>
                  <w:vAlign w:val="center"/>
                </w:tcPr>
                <w:p w14:paraId="7AC95088">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项目区下风向设一个监测点位</w:t>
                  </w:r>
                </w:p>
              </w:tc>
              <w:tc>
                <w:tcPr>
                  <w:tcW w:w="1179" w:type="dxa"/>
                  <w:vAlign w:val="center"/>
                </w:tcPr>
                <w:p w14:paraId="7BA0729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TSP</w:t>
                  </w:r>
                </w:p>
              </w:tc>
              <w:tc>
                <w:tcPr>
                  <w:tcW w:w="1166" w:type="dxa"/>
                  <w:vAlign w:val="center"/>
                </w:tcPr>
                <w:p w14:paraId="5D15E0C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1次/施工期</w:t>
                  </w:r>
                </w:p>
              </w:tc>
              <w:tc>
                <w:tcPr>
                  <w:tcW w:w="961" w:type="dxa"/>
                  <w:vMerge w:val="restart"/>
                  <w:tcBorders>
                    <w:bottom w:val="nil"/>
                  </w:tcBorders>
                  <w:vAlign w:val="center"/>
                </w:tcPr>
                <w:p w14:paraId="48DDCD3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委托有资质的检测单位监测</w:t>
                  </w:r>
                </w:p>
              </w:tc>
              <w:tc>
                <w:tcPr>
                  <w:tcW w:w="2233" w:type="dxa"/>
                  <w:tcBorders>
                    <w:right w:val="single" w:color="000000" w:sz="6" w:space="0"/>
                  </w:tcBorders>
                  <w:vAlign w:val="center"/>
                </w:tcPr>
                <w:p w14:paraId="109F26E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《大气污染物综合排放</w:t>
                  </w:r>
                </w:p>
                <w:p w14:paraId="250925C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标准》（GB16297－19</w:t>
                  </w:r>
                </w:p>
                <w:p w14:paraId="318F89C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96）</w:t>
                  </w:r>
                </w:p>
              </w:tc>
            </w:tr>
            <w:tr w14:paraId="596B48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64" w:type="dxa"/>
                  <w:tcBorders>
                    <w:top w:val="single" w:color="auto" w:sz="4" w:space="0"/>
                    <w:bottom w:val="single" w:color="000000" w:sz="10" w:space="0"/>
                  </w:tcBorders>
                  <w:vAlign w:val="center"/>
                </w:tcPr>
                <w:p w14:paraId="24075E6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地表水</w:t>
                  </w:r>
                </w:p>
              </w:tc>
              <w:tc>
                <w:tcPr>
                  <w:tcW w:w="1850" w:type="dxa"/>
                  <w:tcBorders>
                    <w:bottom w:val="single" w:color="000000" w:sz="10" w:space="0"/>
                  </w:tcBorders>
                  <w:vAlign w:val="center"/>
                </w:tcPr>
                <w:p w14:paraId="0923A583">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在项目区上游、下游</w:t>
                  </w:r>
                </w:p>
                <w:p w14:paraId="68EEC406">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500m处各布设1个监测断面</w:t>
                  </w:r>
                </w:p>
              </w:tc>
              <w:tc>
                <w:tcPr>
                  <w:tcW w:w="1179" w:type="dxa"/>
                  <w:tcBorders>
                    <w:bottom w:val="single" w:color="000000" w:sz="10" w:space="0"/>
                  </w:tcBorders>
                  <w:vAlign w:val="center"/>
                </w:tcPr>
                <w:p w14:paraId="39A954C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《地表水环境质量标准》基本项目</w:t>
                  </w:r>
                </w:p>
              </w:tc>
              <w:tc>
                <w:tcPr>
                  <w:tcW w:w="1166" w:type="dxa"/>
                  <w:tcBorders>
                    <w:bottom w:val="single" w:color="000000" w:sz="10" w:space="0"/>
                  </w:tcBorders>
                  <w:vAlign w:val="center"/>
                </w:tcPr>
                <w:p w14:paraId="6E845276">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1次/施工期</w:t>
                  </w:r>
                </w:p>
              </w:tc>
              <w:tc>
                <w:tcPr>
                  <w:tcW w:w="961" w:type="dxa"/>
                  <w:vMerge w:val="continue"/>
                  <w:tcBorders>
                    <w:top w:val="nil"/>
                    <w:bottom w:val="single" w:color="000000" w:sz="10" w:space="0"/>
                  </w:tcBorders>
                  <w:vAlign w:val="center"/>
                </w:tcPr>
                <w:p w14:paraId="1D08AB87">
                  <w:pPr>
                    <w:pStyle w:val="114"/>
                    <w:jc w:val="center"/>
                    <w:rPr>
                      <w:rFonts w:hint="default" w:ascii="Times New Roman" w:hAnsi="Times New Roman" w:eastAsia="宋体" w:cs="Times New Roman"/>
                      <w:color w:val="000000" w:themeColor="text1"/>
                      <w14:textFill>
                        <w14:solidFill>
                          <w14:schemeClr w14:val="tx1"/>
                        </w14:solidFill>
                      </w14:textFill>
                    </w:rPr>
                  </w:pPr>
                </w:p>
              </w:tc>
              <w:tc>
                <w:tcPr>
                  <w:tcW w:w="2233" w:type="dxa"/>
                  <w:tcBorders>
                    <w:bottom w:val="single" w:color="000000" w:sz="10" w:space="0"/>
                    <w:right w:val="single" w:color="000000" w:sz="6" w:space="0"/>
                  </w:tcBorders>
                  <w:vAlign w:val="center"/>
                </w:tcPr>
                <w:p w14:paraId="1BB800EE">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w:t>
                  </w:r>
                  <w:r>
                    <w:rPr>
                      <w:rFonts w:hint="default" w:ascii="Times New Roman" w:hAnsi="Times New Roman" w:eastAsia="宋体" w:cs="Times New Roman"/>
                      <w:color w:val="000000" w:themeColor="text1"/>
                      <w:lang w:eastAsia="zh-CN"/>
                      <w14:textFill>
                        <w14:solidFill>
                          <w14:schemeClr w14:val="tx1"/>
                        </w14:solidFill>
                      </w14:textFill>
                    </w:rPr>
                    <w:t>地表水环境质量标准</w:t>
                  </w:r>
                  <w:r>
                    <w:rPr>
                      <w:rFonts w:hint="default" w:ascii="Times New Roman" w:hAnsi="Times New Roman" w:eastAsia="宋体" w:cs="Times New Roman"/>
                      <w:color w:val="000000" w:themeColor="text1"/>
                      <w14:textFill>
                        <w14:solidFill>
                          <w14:schemeClr w14:val="tx1"/>
                        </w14:solidFill>
                      </w14:textFill>
                    </w:rPr>
                    <w:t>》</w:t>
                  </w:r>
                </w:p>
                <w:p w14:paraId="1A1F989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（GB3838-2002）中Ⅱ</w:t>
                  </w:r>
                </w:p>
                <w:p w14:paraId="4A8B0B0B">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类标准</w:t>
                  </w:r>
                </w:p>
              </w:tc>
            </w:tr>
          </w:tbl>
          <w:p w14:paraId="03090D30">
            <w:pPr>
              <w:spacing w:line="360" w:lineRule="auto"/>
              <w:rPr>
                <w:rFonts w:hint="default" w:ascii="Times New Roman" w:hAnsi="Times New Roman" w:eastAsia="宋体" w:cs="Times New Roman"/>
                <w:color w:val="000000" w:themeColor="text1"/>
                <w:vertAlign w:val="baseline"/>
                <w14:textFill>
                  <w14:solidFill>
                    <w14:schemeClr w14:val="tx1"/>
                  </w14:solidFill>
                </w14:textFill>
              </w:rPr>
            </w:pPr>
          </w:p>
        </w:tc>
      </w:tr>
      <w:tr w14:paraId="00215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5" w:type="dxa"/>
            <w:vAlign w:val="center"/>
          </w:tcPr>
          <w:p w14:paraId="01281882">
            <w:pPr>
              <w:adjustRightInd w:val="0"/>
              <w:snapToGrid w:val="0"/>
              <w:jc w:val="center"/>
              <w:rPr>
                <w:rFonts w:hint="default" w:ascii="Times New Roman" w:hAnsi="Times New Roman" w:eastAsia="宋体" w:cs="Times New Roman"/>
                <w:bCs/>
                <w:color w:val="000000" w:themeColor="text1"/>
                <w:sz w:val="24"/>
                <w:lang w:val="en-US" w:eastAsia="zh-CN"/>
                <w14:textFill>
                  <w14:solidFill>
                    <w14:schemeClr w14:val="tx1"/>
                  </w14:solidFill>
                </w14:textFill>
              </w:rPr>
            </w:pPr>
            <w:r>
              <w:rPr>
                <w:rFonts w:hint="default" w:ascii="Times New Roman" w:hAnsi="Times New Roman" w:eastAsia="宋体" w:cs="Times New Roman"/>
                <w:bCs/>
                <w:color w:val="000000" w:themeColor="text1"/>
                <w:sz w:val="24"/>
                <w:lang w:val="en-US" w:eastAsia="zh-CN"/>
                <w14:textFill>
                  <w14:solidFill>
                    <w14:schemeClr w14:val="tx1"/>
                  </w14:solidFill>
                </w14:textFill>
              </w:rPr>
              <w:t>环保投资</w:t>
            </w:r>
          </w:p>
        </w:tc>
        <w:tc>
          <w:tcPr>
            <w:tcW w:w="8602" w:type="dxa"/>
            <w:vAlign w:val="top"/>
          </w:tcPr>
          <w:p w14:paraId="161016C5">
            <w:pPr>
              <w:spacing w:line="360" w:lineRule="auto"/>
              <w:rPr>
                <w:rFonts w:hint="default" w:ascii="Times New Roman" w:hAnsi="Times New Roman" w:eastAsia="宋体" w:cs="Times New Roman"/>
                <w:b/>
                <w:bCs/>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环保投资</w:t>
            </w:r>
          </w:p>
          <w:p w14:paraId="035B598B">
            <w:pPr>
              <w:spacing w:line="360" w:lineRule="auto"/>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lang w:eastAsia="zh-CN"/>
                <w14:textFill>
                  <w14:solidFill>
                    <w14:schemeClr w14:val="tx1"/>
                  </w14:solidFill>
                </w14:textFill>
              </w:rPr>
              <w:t>防渗渠道工程</w:t>
            </w:r>
            <w:r>
              <w:rPr>
                <w:rFonts w:hint="default" w:ascii="Times New Roman" w:hAnsi="Times New Roman" w:eastAsia="宋体" w:cs="Times New Roman"/>
                <w:color w:val="000000" w:themeColor="text1"/>
                <w:sz w:val="24"/>
                <w:highlight w:val="none"/>
                <w14:textFill>
                  <w14:solidFill>
                    <w14:schemeClr w14:val="tx1"/>
                  </w14:solidFill>
                </w14:textFill>
              </w:rPr>
              <w:t>总投资</w:t>
            </w:r>
            <w:r>
              <w:rPr>
                <w:rFonts w:hint="default" w:ascii="Times New Roman" w:hAnsi="Times New Roman" w:eastAsia="宋体" w:cs="Times New Roman"/>
                <w:color w:val="000000" w:themeColor="text1"/>
                <w:sz w:val="24"/>
                <w14:textFill>
                  <w14:solidFill>
                    <w14:schemeClr w14:val="tx1"/>
                  </w14:solidFill>
                </w14:textFill>
              </w:rPr>
              <w:t>8811.97</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万</w:t>
            </w:r>
            <w:r>
              <w:rPr>
                <w:rFonts w:hint="default" w:ascii="Times New Roman" w:hAnsi="Times New Roman" w:eastAsia="宋体" w:cs="Times New Roman"/>
                <w:color w:val="000000" w:themeColor="text1"/>
                <w:sz w:val="24"/>
                <w:highlight w:val="none"/>
                <w14:textFill>
                  <w14:solidFill>
                    <w14:schemeClr w14:val="tx1"/>
                  </w14:solidFill>
                </w14:textFill>
              </w:rPr>
              <w:t>元，环保投资合计为</w:t>
            </w:r>
            <w:r>
              <w:rPr>
                <w:rFonts w:hint="default" w:ascii="Times New Roman" w:hAnsi="Times New Roman" w:eastAsia="宋体" w:cs="Times New Roman"/>
                <w:color w:val="000000" w:themeColor="text1"/>
                <w:sz w:val="24"/>
                <w:lang w:val="en-US" w:eastAsia="zh-CN"/>
                <w14:textFill>
                  <w14:solidFill>
                    <w14:schemeClr w14:val="tx1"/>
                  </w14:solidFill>
                </w14:textFill>
              </w:rPr>
              <w:t>127.5</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万</w:t>
            </w:r>
            <w:r>
              <w:rPr>
                <w:rFonts w:hint="default" w:ascii="Times New Roman" w:hAnsi="Times New Roman" w:eastAsia="宋体" w:cs="Times New Roman"/>
                <w:color w:val="000000" w:themeColor="text1"/>
                <w:sz w:val="24"/>
                <w:highlight w:val="none"/>
                <w14:textFill>
                  <w14:solidFill>
                    <w14:schemeClr w14:val="tx1"/>
                  </w14:solidFill>
                </w14:textFill>
              </w:rPr>
              <w:t>元，占项目总投资的</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1.45</w:t>
            </w:r>
            <w:r>
              <w:rPr>
                <w:rFonts w:hint="default" w:ascii="Times New Roman" w:hAnsi="Times New Roman" w:eastAsia="宋体" w:cs="Times New Roman"/>
                <w:color w:val="000000" w:themeColor="text1"/>
                <w:sz w:val="24"/>
                <w:highlight w:val="none"/>
                <w14:textFill>
                  <w14:solidFill>
                    <w14:schemeClr w14:val="tx1"/>
                  </w14:solidFill>
                </w14:textFill>
              </w:rPr>
              <w:t>％，具体投资见表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5-3</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59E74A64">
            <w:pPr>
              <w:pStyle w:val="13"/>
              <w:ind w:firstLine="422" w:firstLineChars="20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表</w:t>
            </w:r>
            <w:r>
              <w:rPr>
                <w:rFonts w:hint="default" w:ascii="Times New Roman" w:hAnsi="Times New Roman" w:eastAsia="宋体" w:cs="Times New Roman"/>
                <w:b/>
                <w:color w:val="000000" w:themeColor="text1"/>
                <w:szCs w:val="21"/>
                <w:highlight w:val="none"/>
                <w:lang w:val="en-US" w:eastAsia="zh-CN"/>
                <w14:textFill>
                  <w14:solidFill>
                    <w14:schemeClr w14:val="tx1"/>
                  </w14:solidFill>
                </w14:textFill>
              </w:rPr>
              <w:t>5-3</w:t>
            </w:r>
            <w:r>
              <w:rPr>
                <w:rFonts w:hint="default" w:ascii="Times New Roman" w:hAnsi="Times New Roman" w:eastAsia="宋体" w:cs="Times New Roman"/>
                <w:b/>
                <w:bCs/>
                <w:color w:val="000000" w:themeColor="text1"/>
                <w:szCs w:val="21"/>
                <w:highlight w:val="none"/>
                <w14:textFill>
                  <w14:solidFill>
                    <w14:schemeClr w14:val="tx1"/>
                  </w14:solidFill>
                </w14:textFill>
              </w:rPr>
              <w:t>环保投资估算</w:t>
            </w:r>
          </w:p>
          <w:tbl>
            <w:tblPr>
              <w:tblStyle w:val="34"/>
              <w:tblW w:w="846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1"/>
              <w:gridCol w:w="1179"/>
              <w:gridCol w:w="5702"/>
              <w:gridCol w:w="765"/>
            </w:tblGrid>
            <w:tr w14:paraId="3B2D2D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jc w:val="center"/>
              </w:trPr>
              <w:tc>
                <w:tcPr>
                  <w:tcW w:w="821" w:type="dxa"/>
                  <w:tcBorders>
                    <w:top w:val="single" w:color="000000" w:sz="4" w:space="0"/>
                    <w:left w:val="single" w:color="000000" w:sz="4" w:space="0"/>
                    <w:bottom w:val="single" w:color="000000" w:sz="4" w:space="0"/>
                    <w:right w:val="single" w:color="000000" w:sz="4" w:space="0"/>
                  </w:tcBorders>
                  <w:vAlign w:val="center"/>
                </w:tcPr>
                <w:p w14:paraId="6EFA25F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序号</w:t>
                  </w:r>
                </w:p>
              </w:tc>
              <w:tc>
                <w:tcPr>
                  <w:tcW w:w="1179" w:type="dxa"/>
                  <w:tcBorders>
                    <w:top w:val="single" w:color="000000" w:sz="4" w:space="0"/>
                    <w:left w:val="nil"/>
                    <w:bottom w:val="single" w:color="000000" w:sz="4" w:space="0"/>
                    <w:right w:val="single" w:color="000000" w:sz="4" w:space="0"/>
                  </w:tcBorders>
                  <w:vAlign w:val="center"/>
                </w:tcPr>
                <w:p w14:paraId="118E08D7">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项目</w:t>
                  </w:r>
                </w:p>
              </w:tc>
              <w:tc>
                <w:tcPr>
                  <w:tcW w:w="5702" w:type="dxa"/>
                  <w:tcBorders>
                    <w:top w:val="single" w:color="000000" w:sz="4" w:space="0"/>
                    <w:left w:val="nil"/>
                    <w:bottom w:val="single" w:color="000000" w:sz="4" w:space="0"/>
                    <w:right w:val="single" w:color="000000" w:sz="4" w:space="0"/>
                  </w:tcBorders>
                  <w:vAlign w:val="center"/>
                </w:tcPr>
                <w:p w14:paraId="73029969">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内容</w:t>
                  </w:r>
                </w:p>
              </w:tc>
              <w:tc>
                <w:tcPr>
                  <w:tcW w:w="765" w:type="dxa"/>
                  <w:tcBorders>
                    <w:top w:val="single" w:color="000000" w:sz="4" w:space="0"/>
                    <w:left w:val="nil"/>
                    <w:bottom w:val="single" w:color="000000" w:sz="4" w:space="0"/>
                    <w:right w:val="single" w:color="000000" w:sz="4" w:space="0"/>
                  </w:tcBorders>
                  <w:vAlign w:val="center"/>
                </w:tcPr>
                <w:p w14:paraId="6B6F520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投资（万元）</w:t>
                  </w:r>
                </w:p>
              </w:tc>
            </w:tr>
            <w:tr w14:paraId="27A8D7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jc w:val="center"/>
              </w:trPr>
              <w:tc>
                <w:tcPr>
                  <w:tcW w:w="821" w:type="dxa"/>
                  <w:tcBorders>
                    <w:top w:val="single" w:color="000000" w:sz="4" w:space="0"/>
                    <w:left w:val="single" w:color="000000" w:sz="4" w:space="0"/>
                    <w:bottom w:val="single" w:color="000000" w:sz="4" w:space="0"/>
                    <w:right w:val="single" w:color="000000" w:sz="4" w:space="0"/>
                  </w:tcBorders>
                  <w:vAlign w:val="center"/>
                </w:tcPr>
                <w:p w14:paraId="07513EE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w:t>
                  </w:r>
                </w:p>
              </w:tc>
              <w:tc>
                <w:tcPr>
                  <w:tcW w:w="1179" w:type="dxa"/>
                  <w:tcBorders>
                    <w:top w:val="single" w:color="000000" w:sz="4" w:space="0"/>
                    <w:left w:val="nil"/>
                    <w:bottom w:val="single" w:color="000000" w:sz="4" w:space="0"/>
                    <w:right w:val="single" w:color="000000" w:sz="4" w:space="0"/>
                  </w:tcBorders>
                  <w:vAlign w:val="center"/>
                </w:tcPr>
                <w:p w14:paraId="1324D313">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施工期扬尘防治</w:t>
                  </w:r>
                </w:p>
              </w:tc>
              <w:tc>
                <w:tcPr>
                  <w:tcW w:w="5702" w:type="dxa"/>
                  <w:tcBorders>
                    <w:top w:val="single" w:color="000000" w:sz="4" w:space="0"/>
                    <w:left w:val="nil"/>
                    <w:bottom w:val="single" w:color="000000" w:sz="4" w:space="0"/>
                    <w:right w:val="single" w:color="000000" w:sz="4" w:space="0"/>
                  </w:tcBorders>
                  <w:vAlign w:val="center"/>
                </w:tcPr>
                <w:p w14:paraId="29098BB2">
                  <w:pPr>
                    <w:pStyle w:val="114"/>
                    <w:jc w:val="center"/>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施工场地四周设置不低于2m硬质封闭围挡（作业区、堆场）；②原料堆场及临时堆土采用防尘网100%全覆盖；③配备洒水车3辆、雾炮2台，每日洒水≥4次，湿法作业；④出入口设置车辆冲洗设施2套；⑤运输车辆密闭运输；⑥四级以上大风停止土方作业；⑦拆除作业湿法施工；⑧混凝土搅拌机设在工棚内，上料口喷淋。</w:t>
                  </w:r>
                </w:p>
              </w:tc>
              <w:tc>
                <w:tcPr>
                  <w:tcW w:w="765" w:type="dxa"/>
                  <w:tcBorders>
                    <w:top w:val="single" w:color="000000" w:sz="4" w:space="0"/>
                    <w:left w:val="nil"/>
                    <w:bottom w:val="single" w:color="000000" w:sz="4" w:space="0"/>
                    <w:right w:val="single" w:color="000000" w:sz="4" w:space="0"/>
                  </w:tcBorders>
                  <w:vAlign w:val="center"/>
                </w:tcPr>
                <w:p w14:paraId="090B62E0">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20</w:t>
                  </w:r>
                </w:p>
              </w:tc>
            </w:tr>
            <w:tr w14:paraId="0A77C9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jc w:val="center"/>
              </w:trPr>
              <w:tc>
                <w:tcPr>
                  <w:tcW w:w="821" w:type="dxa"/>
                  <w:tcBorders>
                    <w:top w:val="single" w:color="000000" w:sz="4" w:space="0"/>
                    <w:left w:val="single" w:color="000000" w:sz="4" w:space="0"/>
                    <w:bottom w:val="single" w:color="000000" w:sz="4" w:space="0"/>
                    <w:right w:val="single" w:color="000000" w:sz="4" w:space="0"/>
                  </w:tcBorders>
                  <w:vAlign w:val="center"/>
                </w:tcPr>
                <w:p w14:paraId="6637CAB5">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2</w:t>
                  </w:r>
                </w:p>
              </w:tc>
              <w:tc>
                <w:tcPr>
                  <w:tcW w:w="1179" w:type="dxa"/>
                  <w:tcBorders>
                    <w:top w:val="single" w:color="000000" w:sz="4" w:space="0"/>
                    <w:left w:val="nil"/>
                    <w:bottom w:val="single" w:color="000000" w:sz="4" w:space="0"/>
                    <w:right w:val="single" w:color="000000" w:sz="4" w:space="0"/>
                  </w:tcBorders>
                  <w:vAlign w:val="center"/>
                </w:tcPr>
                <w:p w14:paraId="04427648">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施工期废水防治</w:t>
                  </w:r>
                </w:p>
              </w:tc>
              <w:tc>
                <w:tcPr>
                  <w:tcW w:w="5702" w:type="dxa"/>
                  <w:tcBorders>
                    <w:top w:val="single" w:color="000000" w:sz="4" w:space="0"/>
                    <w:left w:val="nil"/>
                    <w:bottom w:val="single" w:color="000000" w:sz="4" w:space="0"/>
                    <w:right w:val="single" w:color="000000" w:sz="4" w:space="0"/>
                  </w:tcBorders>
                  <w:vAlign w:val="center"/>
                </w:tcPr>
                <w:p w14:paraId="3F094D5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车辆冲洗废水、混凝土拌和系统冲洗废水经隔油沉淀池（2座，3m³/座，钢混结构）处理后回用于砼拌和养护或洒水降尘，不外排；②施工生活区设置防渗化粪池，定期由吸污车清运至莎车县污水处理厂；③基坑排水经沉淀后排入河道；④禁止在河道、沟渠清洗车辆或排放废水。</w:t>
                  </w:r>
                </w:p>
              </w:tc>
              <w:tc>
                <w:tcPr>
                  <w:tcW w:w="765" w:type="dxa"/>
                  <w:tcBorders>
                    <w:top w:val="single" w:color="000000" w:sz="4" w:space="0"/>
                    <w:left w:val="nil"/>
                    <w:bottom w:val="single" w:color="000000" w:sz="4" w:space="0"/>
                    <w:right w:val="single" w:color="000000" w:sz="4" w:space="0"/>
                  </w:tcBorders>
                  <w:vAlign w:val="center"/>
                </w:tcPr>
                <w:p w14:paraId="703B79D9">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w:t>
                  </w:r>
                </w:p>
              </w:tc>
            </w:tr>
            <w:tr w14:paraId="73149D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jc w:val="center"/>
              </w:trPr>
              <w:tc>
                <w:tcPr>
                  <w:tcW w:w="821" w:type="dxa"/>
                  <w:tcBorders>
                    <w:top w:val="single" w:color="000000" w:sz="4" w:space="0"/>
                    <w:left w:val="single" w:color="000000" w:sz="4" w:space="0"/>
                    <w:right w:val="single" w:color="000000" w:sz="4" w:space="0"/>
                  </w:tcBorders>
                  <w:vAlign w:val="center"/>
                </w:tcPr>
                <w:p w14:paraId="1CA8038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p>
              </w:tc>
              <w:tc>
                <w:tcPr>
                  <w:tcW w:w="1179" w:type="dxa"/>
                  <w:tcBorders>
                    <w:top w:val="single" w:color="000000" w:sz="4" w:space="0"/>
                    <w:left w:val="nil"/>
                    <w:bottom w:val="single" w:color="000000" w:sz="4" w:space="0"/>
                    <w:right w:val="single" w:color="000000" w:sz="4" w:space="0"/>
                  </w:tcBorders>
                  <w:vAlign w:val="center"/>
                </w:tcPr>
                <w:p w14:paraId="482664DF">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施工期噪声防治</w:t>
                  </w:r>
                </w:p>
              </w:tc>
              <w:tc>
                <w:tcPr>
                  <w:tcW w:w="5702" w:type="dxa"/>
                  <w:tcBorders>
                    <w:top w:val="single" w:color="000000" w:sz="4" w:space="0"/>
                    <w:left w:val="nil"/>
                    <w:bottom w:val="single" w:color="000000" w:sz="4" w:space="0"/>
                    <w:right w:val="single" w:color="000000" w:sz="4" w:space="0"/>
                  </w:tcBorders>
                  <w:vAlign w:val="center"/>
                </w:tcPr>
                <w:p w14:paraId="6825982D">
                  <w:pPr>
                    <w:pStyle w:val="114"/>
                    <w:jc w:val="center"/>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①选用低噪声设备，定期维护；②合理安排施工时间，禁止夜间及午间高噪声作业；③高噪声设备远离居民点布置；④运输车辆途经村庄限速（≤20km/h）、禁鸣。</w:t>
                  </w:r>
                </w:p>
              </w:tc>
              <w:tc>
                <w:tcPr>
                  <w:tcW w:w="765" w:type="dxa"/>
                  <w:tcBorders>
                    <w:top w:val="single" w:color="000000" w:sz="4" w:space="0"/>
                    <w:left w:val="nil"/>
                    <w:right w:val="single" w:color="000000" w:sz="4" w:space="0"/>
                  </w:tcBorders>
                  <w:vAlign w:val="center"/>
                </w:tcPr>
                <w:p w14:paraId="30AE87FA">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3</w:t>
                  </w:r>
                </w:p>
              </w:tc>
            </w:tr>
            <w:tr w14:paraId="6ACC60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jc w:val="center"/>
              </w:trPr>
              <w:tc>
                <w:tcPr>
                  <w:tcW w:w="821" w:type="dxa"/>
                  <w:tcBorders>
                    <w:top w:val="single" w:color="000000" w:sz="4" w:space="0"/>
                    <w:left w:val="single" w:color="000000" w:sz="4" w:space="0"/>
                    <w:bottom w:val="single" w:color="000000" w:sz="4" w:space="0"/>
                    <w:right w:val="single" w:color="000000" w:sz="4" w:space="0"/>
                  </w:tcBorders>
                  <w:vAlign w:val="center"/>
                </w:tcPr>
                <w:p w14:paraId="3BB0E01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4</w:t>
                  </w:r>
                </w:p>
              </w:tc>
              <w:tc>
                <w:tcPr>
                  <w:tcW w:w="1179" w:type="dxa"/>
                  <w:tcBorders>
                    <w:top w:val="single" w:color="000000" w:sz="4" w:space="0"/>
                    <w:left w:val="nil"/>
                    <w:bottom w:val="single" w:color="000000" w:sz="4" w:space="0"/>
                    <w:right w:val="single" w:color="000000" w:sz="4" w:space="0"/>
                  </w:tcBorders>
                  <w:vAlign w:val="center"/>
                </w:tcPr>
                <w:p w14:paraId="39A55E5B">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施工期固体废物处理</w:t>
                  </w:r>
                </w:p>
              </w:tc>
              <w:tc>
                <w:tcPr>
                  <w:tcW w:w="5702" w:type="dxa"/>
                  <w:tcBorders>
                    <w:top w:val="single" w:color="000000" w:sz="4" w:space="0"/>
                    <w:left w:val="nil"/>
                    <w:bottom w:val="single" w:color="000000" w:sz="4" w:space="0"/>
                    <w:right w:val="single" w:color="000000" w:sz="4" w:space="0"/>
                  </w:tcBorders>
                  <w:vAlign w:val="center"/>
                </w:tcPr>
                <w:p w14:paraId="4B18C2BD">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清废除土（8.00万m³）运至取（弃）土场回填；②建筑垃圾分类回收，不可利用部分运至莎车县建筑垃圾填埋场；③生活垃圾设垃圾桶收集，定期清运至莎车县生活垃圾填埋场；④施工废料分类处置，可回收部分外售。</w:t>
                  </w:r>
                </w:p>
              </w:tc>
              <w:tc>
                <w:tcPr>
                  <w:tcW w:w="765" w:type="dxa"/>
                  <w:tcBorders>
                    <w:top w:val="single" w:color="000000" w:sz="4" w:space="0"/>
                    <w:left w:val="nil"/>
                    <w:bottom w:val="single" w:color="000000" w:sz="4" w:space="0"/>
                    <w:right w:val="single" w:color="000000" w:sz="4" w:space="0"/>
                  </w:tcBorders>
                  <w:vAlign w:val="center"/>
                </w:tcPr>
                <w:p w14:paraId="4AD07877">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8.5</w:t>
                  </w:r>
                </w:p>
              </w:tc>
            </w:tr>
            <w:tr w14:paraId="156E06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jc w:val="center"/>
              </w:trPr>
              <w:tc>
                <w:tcPr>
                  <w:tcW w:w="821" w:type="dxa"/>
                  <w:tcBorders>
                    <w:top w:val="single" w:color="000000" w:sz="4" w:space="0"/>
                    <w:left w:val="single" w:color="000000" w:sz="4" w:space="0"/>
                    <w:bottom w:val="single" w:color="000000" w:sz="4" w:space="0"/>
                    <w:right w:val="single" w:color="000000" w:sz="4" w:space="0"/>
                  </w:tcBorders>
                  <w:vAlign w:val="center"/>
                </w:tcPr>
                <w:p w14:paraId="3CCC17C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5</w:t>
                  </w:r>
                </w:p>
              </w:tc>
              <w:tc>
                <w:tcPr>
                  <w:tcW w:w="1179" w:type="dxa"/>
                  <w:tcBorders>
                    <w:top w:val="single" w:color="000000" w:sz="4" w:space="0"/>
                    <w:left w:val="nil"/>
                    <w:bottom w:val="single" w:color="000000" w:sz="4" w:space="0"/>
                    <w:right w:val="single" w:color="000000" w:sz="4" w:space="0"/>
                  </w:tcBorders>
                  <w:vAlign w:val="center"/>
                </w:tcPr>
                <w:p w14:paraId="2A562B7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生态措施</w:t>
                  </w:r>
                </w:p>
              </w:tc>
              <w:tc>
                <w:tcPr>
                  <w:tcW w:w="5702" w:type="dxa"/>
                  <w:tcBorders>
                    <w:top w:val="single" w:color="000000" w:sz="4" w:space="0"/>
                    <w:left w:val="nil"/>
                    <w:bottom w:val="single" w:color="000000" w:sz="4" w:space="0"/>
                    <w:right w:val="single" w:color="000000" w:sz="4" w:space="0"/>
                  </w:tcBorders>
                  <w:vAlign w:val="center"/>
                </w:tcPr>
                <w:p w14:paraId="03F374F1">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避让：施工避开鱼类繁殖期（5-7月），临时占地优先选择裸地；②减缓：控制作业宽度，表土剥离（30cm）单独堆存（防尘网覆盖），施工便道严格控制；③修复：施工结束后临时占地土地平整、表土回覆、自然恢复植被，恢复面积约22.461hm²（含取弃土场、施工便道等），补植灌木约3000株；④管理：设置警示牌、宣传牌、限行彩旗；⑤防沙治沙措施（取弃土场及沙化敏感区）。</w:t>
                  </w:r>
                </w:p>
              </w:tc>
              <w:tc>
                <w:tcPr>
                  <w:tcW w:w="765" w:type="dxa"/>
                  <w:tcBorders>
                    <w:top w:val="single" w:color="000000" w:sz="4" w:space="0"/>
                    <w:left w:val="nil"/>
                    <w:bottom w:val="single" w:color="000000" w:sz="4" w:space="0"/>
                    <w:right w:val="single" w:color="000000" w:sz="4" w:space="0"/>
                  </w:tcBorders>
                  <w:vAlign w:val="center"/>
                </w:tcPr>
                <w:p w14:paraId="46E60CD2">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80</w:t>
                  </w:r>
                </w:p>
              </w:tc>
            </w:tr>
            <w:tr w14:paraId="2ECCDB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jc w:val="center"/>
              </w:trPr>
              <w:tc>
                <w:tcPr>
                  <w:tcW w:w="821" w:type="dxa"/>
                  <w:tcBorders>
                    <w:top w:val="single" w:color="000000" w:sz="4" w:space="0"/>
                    <w:left w:val="single" w:color="000000" w:sz="4" w:space="0"/>
                    <w:bottom w:val="single" w:color="000000" w:sz="4" w:space="0"/>
                    <w:right w:val="single" w:color="000000" w:sz="4" w:space="0"/>
                  </w:tcBorders>
                  <w:vAlign w:val="center"/>
                </w:tcPr>
                <w:p w14:paraId="30F4DE1B">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6</w:t>
                  </w:r>
                </w:p>
              </w:tc>
              <w:tc>
                <w:tcPr>
                  <w:tcW w:w="1179" w:type="dxa"/>
                  <w:tcBorders>
                    <w:top w:val="single" w:color="000000" w:sz="4" w:space="0"/>
                    <w:left w:val="nil"/>
                    <w:bottom w:val="single" w:color="000000" w:sz="4" w:space="0"/>
                    <w:right w:val="single" w:color="000000" w:sz="4" w:space="0"/>
                  </w:tcBorders>
                  <w:vAlign w:val="center"/>
                </w:tcPr>
                <w:p w14:paraId="4AC49C44">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环境监测及管理</w:t>
                  </w:r>
                </w:p>
              </w:tc>
              <w:tc>
                <w:tcPr>
                  <w:tcW w:w="5702" w:type="dxa"/>
                  <w:tcBorders>
                    <w:top w:val="single" w:color="000000" w:sz="4" w:space="0"/>
                    <w:left w:val="nil"/>
                    <w:bottom w:val="single" w:color="000000" w:sz="4" w:space="0"/>
                    <w:right w:val="single" w:color="000000" w:sz="4" w:space="0"/>
                  </w:tcBorders>
                  <w:vAlign w:val="center"/>
                </w:tcPr>
                <w:p w14:paraId="1DD349ED">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①施工期大气、噪声、地表水</w:t>
                  </w:r>
                  <w:r>
                    <w:rPr>
                      <w:rFonts w:hint="eastAsia" w:hAnsi="Times New Roman" w:cs="Times New Roman"/>
                      <w:color w:val="000000" w:themeColor="text1"/>
                      <w:lang w:val="en-US" w:eastAsia="zh-CN"/>
                      <w14:textFill>
                        <w14:solidFill>
                          <w14:schemeClr w14:val="tx1"/>
                        </w14:solidFill>
                      </w14:textFill>
                    </w:rPr>
                    <w:t>、生态</w:t>
                  </w:r>
                  <w:r>
                    <w:rPr>
                      <w:rFonts w:hint="default" w:ascii="Times New Roman" w:hAnsi="Times New Roman" w:eastAsia="宋体" w:cs="Times New Roman"/>
                      <w:color w:val="000000" w:themeColor="text1"/>
                      <w:lang w:val="en-US" w:eastAsia="zh-CN"/>
                      <w14:textFill>
                        <w14:solidFill>
                          <w14:schemeClr w14:val="tx1"/>
                        </w14:solidFill>
                      </w14:textFill>
                    </w:rPr>
                    <w:t>监测；②环境监理及环保培训；③应急预案编制及应急物资（吸油毡、围油栏等）。</w:t>
                  </w:r>
                </w:p>
              </w:tc>
              <w:tc>
                <w:tcPr>
                  <w:tcW w:w="765" w:type="dxa"/>
                  <w:tcBorders>
                    <w:top w:val="single" w:color="000000" w:sz="4" w:space="0"/>
                    <w:left w:val="nil"/>
                    <w:bottom w:val="single" w:color="000000" w:sz="4" w:space="0"/>
                    <w:right w:val="single" w:color="000000" w:sz="4" w:space="0"/>
                  </w:tcBorders>
                  <w:vAlign w:val="center"/>
                </w:tcPr>
                <w:p w14:paraId="04BA5D55">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8</w:t>
                  </w:r>
                </w:p>
              </w:tc>
            </w:tr>
            <w:tr w14:paraId="1CCC7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jc w:val="center"/>
              </w:trPr>
              <w:tc>
                <w:tcPr>
                  <w:tcW w:w="7702" w:type="dxa"/>
                  <w:gridSpan w:val="3"/>
                  <w:tcBorders>
                    <w:top w:val="single" w:color="000000" w:sz="4" w:space="0"/>
                    <w:left w:val="single" w:color="000000" w:sz="4" w:space="0"/>
                    <w:bottom w:val="single" w:color="000000" w:sz="4" w:space="0"/>
                    <w:right w:val="single" w:color="000000" w:sz="4" w:space="0"/>
                  </w:tcBorders>
                  <w:vAlign w:val="center"/>
                </w:tcPr>
                <w:p w14:paraId="030B779A">
                  <w:pPr>
                    <w:pStyle w:val="114"/>
                    <w:jc w:val="center"/>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合计</w:t>
                  </w:r>
                </w:p>
              </w:tc>
              <w:tc>
                <w:tcPr>
                  <w:tcW w:w="765" w:type="dxa"/>
                  <w:tcBorders>
                    <w:top w:val="single" w:color="000000" w:sz="4" w:space="0"/>
                    <w:left w:val="nil"/>
                    <w:bottom w:val="single" w:color="000000" w:sz="4" w:space="0"/>
                    <w:right w:val="single" w:color="000000" w:sz="4" w:space="0"/>
                  </w:tcBorders>
                  <w:vAlign w:val="center"/>
                </w:tcPr>
                <w:p w14:paraId="2C064F6F">
                  <w:pPr>
                    <w:pStyle w:val="114"/>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127.5</w:t>
                  </w:r>
                </w:p>
              </w:tc>
            </w:tr>
          </w:tbl>
          <w:p w14:paraId="7885550F">
            <w:pPr>
              <w:spacing w:line="360" w:lineRule="auto"/>
              <w:rPr>
                <w:rFonts w:hint="default" w:ascii="Times New Roman" w:hAnsi="Times New Roman" w:eastAsia="宋体" w:cs="Times New Roman"/>
                <w:color w:val="000000" w:themeColor="text1"/>
                <w:vertAlign w:val="baseline"/>
                <w14:textFill>
                  <w14:solidFill>
                    <w14:schemeClr w14:val="tx1"/>
                  </w14:solidFill>
                </w14:textFill>
              </w:rPr>
            </w:pPr>
          </w:p>
        </w:tc>
      </w:tr>
    </w:tbl>
    <w:p w14:paraId="36A7755D">
      <w:pPr>
        <w:pStyle w:val="33"/>
        <w:rPr>
          <w:rFonts w:hint="default" w:ascii="Times New Roman" w:hAnsi="Times New Roman" w:eastAsia="宋体" w:cs="Times New Roman"/>
          <w:color w:val="000000" w:themeColor="text1"/>
          <w14:textFill>
            <w14:solidFill>
              <w14:schemeClr w14:val="tx1"/>
            </w14:solidFill>
          </w14:textFill>
        </w:rPr>
      </w:pPr>
    </w:p>
    <w:p w14:paraId="01CE14B0">
      <w:pPr>
        <w:pStyle w:val="33"/>
        <w:rPr>
          <w:rFonts w:hint="default" w:ascii="Times New Roman" w:hAnsi="Times New Roman" w:eastAsia="宋体" w:cs="Times New Roman"/>
          <w:color w:val="000000" w:themeColor="text1"/>
          <w14:textFill>
            <w14:solidFill>
              <w14:schemeClr w14:val="tx1"/>
            </w14:solidFill>
          </w14:textFill>
        </w:rPr>
      </w:pPr>
    </w:p>
    <w:p w14:paraId="6E721AAC">
      <w:pPr>
        <w:pStyle w:val="33"/>
        <w:rPr>
          <w:rFonts w:hint="default" w:ascii="Times New Roman" w:hAnsi="Times New Roman" w:eastAsia="宋体" w:cs="Times New Roman"/>
          <w:color w:val="000000" w:themeColor="text1"/>
          <w14:textFill>
            <w14:solidFill>
              <w14:schemeClr w14:val="tx1"/>
            </w14:solidFill>
          </w14:textFill>
        </w:rPr>
        <w:sectPr>
          <w:pgSz w:w="11907" w:h="16840"/>
          <w:pgMar w:top="1440" w:right="1797" w:bottom="1440" w:left="1797" w:header="851" w:footer="1077" w:gutter="0"/>
          <w:pgBorders>
            <w:top w:val="none" w:sz="0" w:space="0"/>
            <w:left w:val="none" w:sz="0" w:space="0"/>
            <w:bottom w:val="none" w:sz="0" w:space="0"/>
            <w:right w:val="none" w:sz="0" w:space="0"/>
          </w:pgBorders>
          <w:pgNumType w:fmt="numberInDash"/>
          <w:cols w:space="720" w:num="1"/>
          <w:docGrid w:linePitch="312" w:charSpace="0"/>
        </w:sectPr>
      </w:pPr>
    </w:p>
    <w:p w14:paraId="2E2BAC1B">
      <w:pPr>
        <w:pStyle w:val="29"/>
        <w:jc w:val="center"/>
        <w:outlineLvl w:val="0"/>
        <w:rPr>
          <w:rFonts w:hint="default" w:ascii="Times New Roman" w:hAnsi="Times New Roman" w:eastAsia="宋体" w:cs="Times New Roman"/>
          <w:b/>
          <w:bCs/>
          <w:snapToGrid w:val="0"/>
          <w:color w:val="000000" w:themeColor="text1"/>
          <w:sz w:val="30"/>
          <w:szCs w:val="30"/>
          <w14:textFill>
            <w14:solidFill>
              <w14:schemeClr w14:val="tx1"/>
            </w14:solidFill>
          </w14:textFill>
        </w:rPr>
      </w:pPr>
      <w:r>
        <w:rPr>
          <w:rFonts w:hint="default" w:ascii="Times New Roman" w:hAnsi="Times New Roman" w:eastAsia="宋体" w:cs="Times New Roman"/>
          <w:b/>
          <w:bCs/>
          <w:snapToGrid w:val="0"/>
          <w:color w:val="000000" w:themeColor="text1"/>
          <w:sz w:val="30"/>
          <w:szCs w:val="30"/>
          <w14:textFill>
            <w14:solidFill>
              <w14:schemeClr w14:val="tx1"/>
            </w14:solidFill>
          </w14:textFill>
        </w:rPr>
        <w:t>六、生态环境保护措施监督检查清单</w:t>
      </w:r>
    </w:p>
    <w:tbl>
      <w:tblPr>
        <w:tblStyle w:val="34"/>
        <w:tblW w:w="9072"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236"/>
        <w:gridCol w:w="3400"/>
        <w:gridCol w:w="1415"/>
        <w:gridCol w:w="1706"/>
        <w:gridCol w:w="1315"/>
      </w:tblGrid>
      <w:tr w14:paraId="06FFCF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1236" w:type="dxa"/>
            <w:vMerge w:val="restart"/>
            <w:tcBorders>
              <w:tl2br w:val="single" w:color="auto" w:sz="4" w:space="0"/>
            </w:tcBorders>
          </w:tcPr>
          <w:p w14:paraId="5A51EAFC">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内容</w:t>
            </w:r>
          </w:p>
          <w:p w14:paraId="6C8C4F21">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要素</w:t>
            </w:r>
          </w:p>
        </w:tc>
        <w:tc>
          <w:tcPr>
            <w:tcW w:w="4815" w:type="dxa"/>
            <w:gridSpan w:val="2"/>
            <w:vAlign w:val="center"/>
          </w:tcPr>
          <w:p w14:paraId="48C27536">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施工期</w:t>
            </w:r>
          </w:p>
        </w:tc>
        <w:tc>
          <w:tcPr>
            <w:tcW w:w="3021" w:type="dxa"/>
            <w:gridSpan w:val="2"/>
            <w:vAlign w:val="center"/>
          </w:tcPr>
          <w:p w14:paraId="2AA46788">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运营期</w:t>
            </w:r>
          </w:p>
        </w:tc>
      </w:tr>
      <w:tr w14:paraId="29D135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236" w:type="dxa"/>
            <w:vMerge w:val="continue"/>
          </w:tcPr>
          <w:p w14:paraId="75FA2804">
            <w:pPr>
              <w:pStyle w:val="81"/>
              <w:rPr>
                <w:rFonts w:hint="default" w:ascii="Times New Roman" w:hAnsi="Times New Roman" w:eastAsia="宋体" w:cs="Times New Roman"/>
                <w:color w:val="000000" w:themeColor="text1"/>
                <w:sz w:val="21"/>
                <w:szCs w:val="21"/>
                <w14:textFill>
                  <w14:solidFill>
                    <w14:schemeClr w14:val="tx1"/>
                  </w14:solidFill>
                </w14:textFill>
              </w:rPr>
            </w:pPr>
          </w:p>
        </w:tc>
        <w:tc>
          <w:tcPr>
            <w:tcW w:w="3400" w:type="dxa"/>
            <w:vAlign w:val="center"/>
          </w:tcPr>
          <w:p w14:paraId="38797AA1">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环境保护措施</w:t>
            </w:r>
          </w:p>
        </w:tc>
        <w:tc>
          <w:tcPr>
            <w:tcW w:w="1415" w:type="dxa"/>
            <w:vAlign w:val="center"/>
          </w:tcPr>
          <w:p w14:paraId="36C80780">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验收要求</w:t>
            </w:r>
          </w:p>
        </w:tc>
        <w:tc>
          <w:tcPr>
            <w:tcW w:w="1706" w:type="dxa"/>
            <w:vAlign w:val="center"/>
          </w:tcPr>
          <w:p w14:paraId="560C0B6D">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环境保护措施</w:t>
            </w:r>
          </w:p>
        </w:tc>
        <w:tc>
          <w:tcPr>
            <w:tcW w:w="1315" w:type="dxa"/>
            <w:vAlign w:val="center"/>
          </w:tcPr>
          <w:p w14:paraId="5D5A9014">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验收要求</w:t>
            </w:r>
          </w:p>
        </w:tc>
      </w:tr>
      <w:tr w14:paraId="08D2C9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36" w:type="dxa"/>
            <w:vAlign w:val="center"/>
          </w:tcPr>
          <w:p w14:paraId="799699C8">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陆生生态</w:t>
            </w:r>
          </w:p>
        </w:tc>
        <w:tc>
          <w:tcPr>
            <w:tcW w:w="3400" w:type="dxa"/>
            <w:vAlign w:val="center"/>
          </w:tcPr>
          <w:p w14:paraId="4B942798">
            <w:pPr>
              <w:pStyle w:val="81"/>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避让：非汛期施工（9月15日～12月22日），避开动物繁殖期（5-7月），临时占地选裸地或未利用地；②减缓：控制作业宽度（护岸范围），表土剥离（30cm）单独堆存，防尘网覆盖，堆高≤3m，边坡1:1.5，湿法作业；③修复：施工结束后土地平整，表土回覆，自然恢复植被，恢复面积约3.93hm²（临时占地中除永久硬化道路外）；④补偿：耕地、草地、林地补偿费、林木补偿费列入工程其他费用；⑤管理：设置警示牌、限行彩旗、宣传牌，严禁越界施工。</w:t>
            </w:r>
          </w:p>
        </w:tc>
        <w:tc>
          <w:tcPr>
            <w:tcW w:w="1415" w:type="dxa"/>
            <w:vAlign w:val="center"/>
          </w:tcPr>
          <w:p w14:paraId="13844DB1">
            <w:pPr>
              <w:pStyle w:val="81"/>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临时占地清理干净，无建筑垃圾；扰动区域植被覆盖度不低于周边同类未扰动区域水平；补植树木成活率≥85%；施工迹地土壤结构恢复；无随意破坏植被现象。</w:t>
            </w:r>
          </w:p>
        </w:tc>
        <w:tc>
          <w:tcPr>
            <w:tcW w:w="1706" w:type="dxa"/>
            <w:vAlign w:val="center"/>
          </w:tcPr>
          <w:p w14:paraId="2809CEF2">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运行后前两年每年秋季对临时占地植被恢复情况进行监测（植被存活率、覆盖度）。</w:t>
            </w:r>
          </w:p>
        </w:tc>
        <w:tc>
          <w:tcPr>
            <w:tcW w:w="1315" w:type="dxa"/>
            <w:vAlign w:val="center"/>
          </w:tcPr>
          <w:p w14:paraId="103B6445">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植被覆盖度不低于周边同类未扰动区域水平；监测报告存档。</w:t>
            </w:r>
          </w:p>
        </w:tc>
      </w:tr>
      <w:tr w14:paraId="289AF8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8" w:hRule="atLeast"/>
          <w:jc w:val="center"/>
        </w:trPr>
        <w:tc>
          <w:tcPr>
            <w:tcW w:w="1236" w:type="dxa"/>
            <w:vAlign w:val="center"/>
          </w:tcPr>
          <w:p w14:paraId="23A3E61C">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水生生态、地表水环境</w:t>
            </w:r>
          </w:p>
        </w:tc>
        <w:tc>
          <w:tcPr>
            <w:tcW w:w="3400" w:type="dxa"/>
            <w:vAlign w:val="center"/>
          </w:tcPr>
          <w:p w14:paraId="566A6879">
            <w:pPr>
              <w:pStyle w:val="81"/>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车辆冲洗废水、混凝土拌和系统冲洗废水经隔油沉淀池（2座，3m³/座，钢混结构，防渗）处理后回用于砼拌和养护或洒水降尘，不外排；②施工人员生活污水经防渗化粪池（2处，总容积≥10m³）处理，定期由吸污车清运至莎车县污水处理厂；③基坑排水（下段降水井212眼抽水）经沉淀池沉淀后排入河道；④禁止在河道、沟渠清洗车辆或排放任何废水、废油；⑤围堰施工避开主汛期，施工结束后拆除围堰（长5.812km），塑膜及装土袋拉运至阿扎特巴格镇垃圾处理点，土料平摊至河床低洼处并平整。</w:t>
            </w:r>
          </w:p>
        </w:tc>
        <w:tc>
          <w:tcPr>
            <w:tcW w:w="1415" w:type="dxa"/>
            <w:vAlign w:val="center"/>
          </w:tcPr>
          <w:p w14:paraId="5F1F05FB">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废水不外排；车辆冲洗废水回用率100%；生活污水清运联单齐全；围堰拆除物妥善处置，无遗留；河道水质不因施工产生明显污染。</w:t>
            </w:r>
          </w:p>
        </w:tc>
        <w:tc>
          <w:tcPr>
            <w:tcW w:w="1706" w:type="dxa"/>
            <w:vAlign w:val="center"/>
          </w:tcPr>
          <w:p w14:paraId="66FF0FC6">
            <w:pPr>
              <w:pStyle w:val="81"/>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315" w:type="dxa"/>
            <w:vAlign w:val="center"/>
          </w:tcPr>
          <w:p w14:paraId="57131D5A">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r>
      <w:tr w14:paraId="753DD6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100" w:hRule="atLeast"/>
          <w:jc w:val="center"/>
        </w:trPr>
        <w:tc>
          <w:tcPr>
            <w:tcW w:w="1236" w:type="dxa"/>
            <w:vAlign w:val="center"/>
          </w:tcPr>
          <w:p w14:paraId="57890DC2">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地下水及土壤环境</w:t>
            </w:r>
          </w:p>
        </w:tc>
        <w:tc>
          <w:tcPr>
            <w:tcW w:w="3400" w:type="dxa"/>
            <w:vAlign w:val="center"/>
          </w:tcPr>
          <w:p w14:paraId="25E455DC">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加强施工机械检修，避免油污跑冒滴漏；②临时隔油沉淀池底部及侧壁防渗（等效黏土防渗层Mb≥1.5m，渗透系数K≤1.0×10⁻⁷cm/s）；③表土剥离单独存放（堆高≤3m，边坡1:1.5，防尘网覆盖），施工结束后回覆；④严禁施工废水随意排放；⑤取弃土场（3.06hm²）使用结束后平整压实，表土回覆。</w:t>
            </w:r>
          </w:p>
        </w:tc>
        <w:tc>
          <w:tcPr>
            <w:tcW w:w="1415" w:type="dxa"/>
            <w:vAlign w:val="center"/>
          </w:tcPr>
          <w:p w14:paraId="43F40219">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无油污污染土壤、地下水事件；施工迹地土壤结构恢复；表土回覆率100%；取弃土场无裸露边坡。</w:t>
            </w:r>
          </w:p>
        </w:tc>
        <w:tc>
          <w:tcPr>
            <w:tcW w:w="1706" w:type="dxa"/>
            <w:vAlign w:val="center"/>
          </w:tcPr>
          <w:p w14:paraId="41EEC5CA">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315" w:type="dxa"/>
            <w:vAlign w:val="center"/>
          </w:tcPr>
          <w:p w14:paraId="248C3754">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r>
      <w:tr w14:paraId="24AF41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36" w:type="dxa"/>
            <w:vAlign w:val="center"/>
          </w:tcPr>
          <w:p w14:paraId="431B4774">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声环境</w:t>
            </w:r>
          </w:p>
        </w:tc>
        <w:tc>
          <w:tcPr>
            <w:tcW w:w="3400" w:type="dxa"/>
            <w:vAlign w:val="center"/>
          </w:tcPr>
          <w:p w14:paraId="03AC6FB7">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选用低噪声设备，定期维护；②合理安排施工时间，禁止夜间及午间高噪声作业；③高噪声设备（搅拌机等）远离居民点（≥200m）布置，必要时设置临时隔声屏障；④运输车辆途经村庄限速（≤20km/h）、禁鸣；⑤施工场界噪声监测（施工期内1次）。</w:t>
            </w:r>
          </w:p>
        </w:tc>
        <w:tc>
          <w:tcPr>
            <w:tcW w:w="1415" w:type="dxa"/>
            <w:vAlign w:val="center"/>
          </w:tcPr>
          <w:p w14:paraId="0CF7E006">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施工场界噪声满足《建筑施工噪声排放标准》（GB12523-2025）（昼间≤70dB(A)，夜间≤55dB(A)）；无噪声扰民投诉。</w:t>
            </w:r>
          </w:p>
        </w:tc>
        <w:tc>
          <w:tcPr>
            <w:tcW w:w="1706" w:type="dxa"/>
            <w:vAlign w:val="center"/>
          </w:tcPr>
          <w:p w14:paraId="173592CE">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315" w:type="dxa"/>
            <w:vAlign w:val="center"/>
          </w:tcPr>
          <w:p w14:paraId="7D7E7A63">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r>
      <w:tr w14:paraId="659E18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236" w:type="dxa"/>
            <w:vAlign w:val="center"/>
          </w:tcPr>
          <w:p w14:paraId="659DBCD1">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振动</w:t>
            </w:r>
          </w:p>
        </w:tc>
        <w:tc>
          <w:tcPr>
            <w:tcW w:w="3400" w:type="dxa"/>
            <w:vAlign w:val="center"/>
          </w:tcPr>
          <w:p w14:paraId="5199B2C0">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施工期振动主要来自夯实、碾压作业，采用低振动设备，避开敏感时段。</w:t>
            </w:r>
          </w:p>
        </w:tc>
        <w:tc>
          <w:tcPr>
            <w:tcW w:w="1415" w:type="dxa"/>
            <w:shd w:val="clear" w:color="auto" w:fill="auto"/>
            <w:vAlign w:val="center"/>
          </w:tcPr>
          <w:p w14:paraId="6F2C0B16">
            <w:pPr>
              <w:pStyle w:val="81"/>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706" w:type="dxa"/>
            <w:shd w:val="clear" w:color="auto" w:fill="auto"/>
            <w:vAlign w:val="center"/>
          </w:tcPr>
          <w:p w14:paraId="3D645CC6">
            <w:pPr>
              <w:pStyle w:val="81"/>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315" w:type="dxa"/>
            <w:vAlign w:val="center"/>
          </w:tcPr>
          <w:p w14:paraId="49AF8C8C">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r>
      <w:tr w14:paraId="691319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1236" w:type="dxa"/>
            <w:vAlign w:val="center"/>
          </w:tcPr>
          <w:p w14:paraId="6AB6617C">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大气环境</w:t>
            </w:r>
          </w:p>
        </w:tc>
        <w:tc>
          <w:tcPr>
            <w:tcW w:w="3400" w:type="dxa"/>
            <w:vAlign w:val="center"/>
          </w:tcPr>
          <w:p w14:paraId="70962D6E">
            <w:pPr>
              <w:pStyle w:val="81"/>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施工场地四周设置不低于2m硬质密闭围挡（作业区、堆场）；②原料堆场（3.09hm²）、取弃土场（3.06hm²）、临时堆土等采用防尘网100%全覆盖；③配备洒水车3辆、雾炮2台，每日洒水≥4次，湿法作业；④出入口设置车辆冲洗设施2套；⑤运输车辆密闭（篷布遮盖），严禁超载；⑥四级以上大风停止土方作业；⑦拆除作业湿法施工；⑧混凝土搅拌机设在工棚内，上料口设喷淋装置；⑨施工期大气监测（下风向1点，1次）。</w:t>
            </w:r>
          </w:p>
        </w:tc>
        <w:tc>
          <w:tcPr>
            <w:tcW w:w="1415" w:type="dxa"/>
            <w:vAlign w:val="center"/>
          </w:tcPr>
          <w:p w14:paraId="6921076A">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满足《大气污染物综合排放标准》（GB16297-1996）表2无组织排放监控浓度限值（颗粒物周界外浓度最高点≤1.0mg/m³）；</w:t>
            </w:r>
          </w:p>
        </w:tc>
        <w:tc>
          <w:tcPr>
            <w:tcW w:w="1706" w:type="dxa"/>
            <w:vAlign w:val="center"/>
          </w:tcPr>
          <w:p w14:paraId="4C4E2D44">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315" w:type="dxa"/>
            <w:vAlign w:val="center"/>
          </w:tcPr>
          <w:p w14:paraId="383F6578">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r>
      <w:tr w14:paraId="3D20A7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1236" w:type="dxa"/>
            <w:vAlign w:val="center"/>
          </w:tcPr>
          <w:p w14:paraId="1009261C">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固体废物</w:t>
            </w:r>
          </w:p>
        </w:tc>
        <w:tc>
          <w:tcPr>
            <w:tcW w:w="3400" w:type="dxa"/>
            <w:vAlign w:val="center"/>
          </w:tcPr>
          <w:p w14:paraId="50199A8A">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①清废除土运至取（弃）土场（3.06hm²）回填，分层压实；②建筑垃圾分类回收，可利用部分（钢材、木材）回收，不可利用部分（碎砖、混凝土块）运至莎车县建筑垃圾填埋场；③生活垃圾设垃圾桶收集，环卫部门清运至莎车县生活垃圾填埋场。</w:t>
            </w:r>
          </w:p>
        </w:tc>
        <w:tc>
          <w:tcPr>
            <w:tcW w:w="1415" w:type="dxa"/>
            <w:vAlign w:val="center"/>
          </w:tcPr>
          <w:p w14:paraId="380E3D34">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固体废物合理处置率100%；无随意倾倒、堆放现象；固废台账存档。</w:t>
            </w:r>
          </w:p>
        </w:tc>
        <w:tc>
          <w:tcPr>
            <w:tcW w:w="1706" w:type="dxa"/>
            <w:vAlign w:val="center"/>
          </w:tcPr>
          <w:p w14:paraId="12A60F26">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315" w:type="dxa"/>
            <w:vAlign w:val="center"/>
          </w:tcPr>
          <w:p w14:paraId="52FBB4B0">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r>
      <w:tr w14:paraId="5797383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1236" w:type="dxa"/>
            <w:vAlign w:val="center"/>
          </w:tcPr>
          <w:p w14:paraId="623430E5">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电磁环境</w:t>
            </w:r>
          </w:p>
        </w:tc>
        <w:tc>
          <w:tcPr>
            <w:tcW w:w="3400" w:type="dxa"/>
            <w:vAlign w:val="center"/>
          </w:tcPr>
          <w:p w14:paraId="25F9147C">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415" w:type="dxa"/>
            <w:vAlign w:val="center"/>
          </w:tcPr>
          <w:p w14:paraId="4A1C3FFE">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706" w:type="dxa"/>
            <w:vAlign w:val="center"/>
          </w:tcPr>
          <w:p w14:paraId="67307383">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315" w:type="dxa"/>
            <w:vAlign w:val="center"/>
          </w:tcPr>
          <w:p w14:paraId="072E32BB">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r>
      <w:tr w14:paraId="6A85FD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236" w:type="dxa"/>
            <w:vAlign w:val="center"/>
          </w:tcPr>
          <w:p w14:paraId="00DCFBB1">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环境风险</w:t>
            </w:r>
          </w:p>
        </w:tc>
        <w:tc>
          <w:tcPr>
            <w:tcW w:w="3400" w:type="dxa"/>
            <w:vAlign w:val="center"/>
          </w:tcPr>
          <w:p w14:paraId="34947011">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油发电机油箱总容量0.12t（3台×0.04t），即用即买，现场不大量储存；施工区配备吸油毡、围油栏、应急桶等应急物资；加强设备巡查，防止跑冒滴漏；制定油品泄漏应急预案并备案。</w:t>
            </w:r>
          </w:p>
        </w:tc>
        <w:tc>
          <w:tcPr>
            <w:tcW w:w="1415" w:type="dxa"/>
            <w:vAlign w:val="center"/>
          </w:tcPr>
          <w:p w14:paraId="08B26C66">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无油品泄漏污染事件；应急预案在喀什地区生态环境局备案；应急物资清单及演练记录。</w:t>
            </w:r>
          </w:p>
        </w:tc>
        <w:tc>
          <w:tcPr>
            <w:tcW w:w="1706" w:type="dxa"/>
            <w:vAlign w:val="center"/>
          </w:tcPr>
          <w:p w14:paraId="143181BA">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c>
          <w:tcPr>
            <w:tcW w:w="1315" w:type="dxa"/>
            <w:vAlign w:val="center"/>
          </w:tcPr>
          <w:p w14:paraId="38060B1E">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无</w:t>
            </w:r>
          </w:p>
        </w:tc>
      </w:tr>
      <w:tr w14:paraId="3842F5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1236" w:type="dxa"/>
            <w:vAlign w:val="center"/>
          </w:tcPr>
          <w:p w14:paraId="0FEACA1C">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环境监测</w:t>
            </w:r>
          </w:p>
        </w:tc>
        <w:tc>
          <w:tcPr>
            <w:tcW w:w="3400" w:type="dxa"/>
            <w:vAlign w:val="center"/>
          </w:tcPr>
          <w:p w14:paraId="15589CE0">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大气：项目区下风向设1个监测点位，施工期内监测1次TSP；地表水：项目区上游、下游500m各布设1个监测断面，施工期内监测1次（pH、COD、SS、氨氮、石油类）；噪声：施工场界四周各设1点，施工期内监测1次（昼间Leq）。</w:t>
            </w:r>
          </w:p>
        </w:tc>
        <w:tc>
          <w:tcPr>
            <w:tcW w:w="1415" w:type="dxa"/>
            <w:vAlign w:val="center"/>
          </w:tcPr>
          <w:p w14:paraId="0DE0440B">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委托有资质单位监测，监测报告存档备查。</w:t>
            </w:r>
          </w:p>
        </w:tc>
        <w:tc>
          <w:tcPr>
            <w:tcW w:w="1706" w:type="dxa"/>
            <w:vAlign w:val="center"/>
          </w:tcPr>
          <w:p w14:paraId="3AA92F69">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运营后前两年每年1次（秋季）对临时占地植被恢复情况进行监测（植被种类、存活率、覆盖度）。</w:t>
            </w:r>
          </w:p>
        </w:tc>
        <w:tc>
          <w:tcPr>
            <w:tcW w:w="1315" w:type="dxa"/>
            <w:vAlign w:val="center"/>
          </w:tcPr>
          <w:p w14:paraId="1B1F3F9A">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植被覆盖度不低于周边同类未扰动区域水平；监测报告存档。</w:t>
            </w:r>
          </w:p>
        </w:tc>
      </w:tr>
      <w:tr w14:paraId="62FFC9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36" w:type="dxa"/>
            <w:vAlign w:val="center"/>
          </w:tcPr>
          <w:p w14:paraId="2BE7810E">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其他</w:t>
            </w:r>
          </w:p>
        </w:tc>
        <w:tc>
          <w:tcPr>
            <w:tcW w:w="7836" w:type="dxa"/>
            <w:gridSpan w:val="4"/>
            <w:vAlign w:val="center"/>
          </w:tcPr>
          <w:p w14:paraId="336C1417">
            <w:pPr>
              <w:pStyle w:val="81"/>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无</w:t>
            </w:r>
          </w:p>
          <w:p w14:paraId="1A4C3FE9">
            <w:pPr>
              <w:pStyle w:val="81"/>
              <w:rPr>
                <w:rFonts w:hint="default" w:ascii="Times New Roman" w:hAnsi="Times New Roman" w:eastAsia="宋体" w:cs="Times New Roman"/>
                <w:color w:val="000000" w:themeColor="text1"/>
                <w:sz w:val="21"/>
                <w:szCs w:val="21"/>
                <w14:textFill>
                  <w14:solidFill>
                    <w14:schemeClr w14:val="tx1"/>
                  </w14:solidFill>
                </w14:textFill>
              </w:rPr>
            </w:pPr>
          </w:p>
        </w:tc>
      </w:tr>
    </w:tbl>
    <w:p w14:paraId="44CB50C0">
      <w:pPr>
        <w:jc w:val="center"/>
        <w:rPr>
          <w:rFonts w:hint="default" w:ascii="Times New Roman" w:hAnsi="Times New Roman" w:eastAsia="宋体" w:cs="Times New Roman"/>
          <w:snapToGrid w:val="0"/>
          <w:color w:val="000000" w:themeColor="text1"/>
          <w:sz w:val="30"/>
          <w:szCs w:val="30"/>
          <w14:textFill>
            <w14:solidFill>
              <w14:schemeClr w14:val="tx1"/>
            </w14:solidFill>
          </w14:textFill>
        </w:rPr>
      </w:pPr>
      <w:r>
        <w:rPr>
          <w:rFonts w:hint="default" w:ascii="Times New Roman" w:hAnsi="Times New Roman" w:eastAsia="宋体" w:cs="Times New Roman"/>
          <w:snapToGrid w:val="0"/>
          <w:color w:val="000000" w:themeColor="text1"/>
          <w14:textFill>
            <w14:solidFill>
              <w14:schemeClr w14:val="tx1"/>
            </w14:solidFill>
          </w14:textFill>
        </w:rPr>
        <w:br w:type="page"/>
      </w:r>
      <w:r>
        <w:rPr>
          <w:rFonts w:hint="default" w:ascii="Times New Roman" w:hAnsi="Times New Roman" w:eastAsia="宋体" w:cs="Times New Roman"/>
          <w:snapToGrid w:val="0"/>
          <w:color w:val="000000" w:themeColor="text1"/>
          <w:sz w:val="30"/>
          <w:szCs w:val="30"/>
          <w14:textFill>
            <w14:solidFill>
              <w14:schemeClr w14:val="tx1"/>
            </w14:solidFill>
          </w14:textFill>
        </w:rPr>
        <w:t>七、结论</w:t>
      </w:r>
    </w:p>
    <w:tbl>
      <w:tblPr>
        <w:tblStyle w:val="34"/>
        <w:tblW w:w="928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289"/>
      </w:tblGrid>
      <w:tr w14:paraId="42184D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003" w:hRule="exact"/>
          <w:jc w:val="center"/>
        </w:trPr>
        <w:tc>
          <w:tcPr>
            <w:tcW w:w="9289" w:type="dxa"/>
            <w:vAlign w:val="center"/>
          </w:tcPr>
          <w:p w14:paraId="0D0D5C1B">
            <w:pPr>
              <w:autoSpaceDE w:val="0"/>
              <w:autoSpaceDN w:val="0"/>
              <w:spacing w:line="360" w:lineRule="auto"/>
              <w:ind w:firstLine="480" w:firstLineChars="200"/>
              <w:jc w:val="left"/>
              <w:rPr>
                <w:rFonts w:hint="default" w:ascii="Times New Roman" w:hAnsi="Times New Roman" w:eastAsia="宋体" w:cs="Times New Roman"/>
                <w:color w:val="000000" w:themeColor="text1"/>
                <w:sz w:val="24"/>
                <w14:textFill>
                  <w14:solidFill>
                    <w14:schemeClr w14:val="tx1"/>
                  </w14:solidFill>
                </w14:textFill>
              </w:rPr>
            </w:pPr>
            <w:r>
              <w:rPr>
                <w:rFonts w:hint="default" w:ascii="Times New Roman" w:hAnsi="Times New Roman" w:eastAsia="宋体" w:cs="Times New Roman"/>
                <w:color w:val="000000" w:themeColor="text1"/>
                <w:sz w:val="24"/>
                <w14:textFill>
                  <w14:solidFill>
                    <w14:schemeClr w14:val="tx1"/>
                  </w14:solidFill>
                </w14:textFill>
              </w:rPr>
              <w:t>一、结论</w:t>
            </w:r>
          </w:p>
          <w:p w14:paraId="57920597">
            <w:pPr>
              <w:pStyle w:val="116"/>
              <w:ind w:firstLine="480"/>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叶尔羌河莎车县阿扎特巴格镇防洪工程（二期）符合国家产业政策及地方“三线一单”管控要求，选址选线合理。施工期在严格落实本报告提出的各项污染防治措施、生态恢复措施及环境风险防范措施后，对环境的不利影响可得到有效控制或减缓，影响程度在可接受范围内。运营期无污染物排放，且具有明显的防洪减灾、水土保持等环境正效益。从环境保护角度分析，本项目建设是可行的。</w:t>
            </w:r>
          </w:p>
          <w:p w14:paraId="7EC9A426">
            <w:pPr>
              <w:pStyle w:val="116"/>
              <w:ind w:firstLine="480"/>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二、建议</w:t>
            </w:r>
          </w:p>
          <w:p w14:paraId="32A4AABA">
            <w:pPr>
              <w:pStyle w:val="116"/>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1、</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严格执行环保“三同时”制度，确保环保投资足额到位，环保设施与主体工程同时设计、同时施工、同时投产使用。</w:t>
            </w:r>
          </w:p>
          <w:p w14:paraId="167AB5B6">
            <w:pPr>
              <w:pStyle w:val="116"/>
              <w:keepNext w:val="0"/>
              <w:keepLines w:val="0"/>
              <w:pageBreakBefore w:val="0"/>
              <w:widowControl/>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2、</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施工期加强环境管理，落实洒水降尘、围挡、防尘网覆盖等抑尘措施，遇四级以上大风停止土方作业。</w:t>
            </w:r>
          </w:p>
          <w:p w14:paraId="5EC943EA">
            <w:pPr>
              <w:pStyle w:val="116"/>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3、</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施工废水、生活污水不得</w:t>
            </w: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随意</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外排；基坑排水经沉淀达标后方可排入河道。</w:t>
            </w:r>
          </w:p>
          <w:p w14:paraId="51FDFC38">
            <w:pPr>
              <w:pStyle w:val="116"/>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4、</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表土单独剥离、堆存并防护，施工结束后及时回覆；临时占地恢复植被，确保补植树木成活率≥85%。</w:t>
            </w:r>
          </w:p>
          <w:p w14:paraId="27D168FA">
            <w:pPr>
              <w:pStyle w:val="116"/>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5、</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合理安排施工时间，夜间及午间禁止高噪声作业；运输车辆途经村庄时减速、禁鸣。</w:t>
            </w:r>
          </w:p>
          <w:p w14:paraId="5B6906F0">
            <w:pPr>
              <w:pStyle w:val="116"/>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6、</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制定油品泄漏应急预案，配备应急物资。</w:t>
            </w:r>
          </w:p>
          <w:p w14:paraId="1D7ABC15">
            <w:pPr>
              <w:pStyle w:val="116"/>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7、</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运营期前两年每年秋季对临时占地植被恢复情况进行监测，确保植被覆盖度不低于周边自然水平。</w:t>
            </w:r>
          </w:p>
          <w:p w14:paraId="36FE15B3">
            <w:pPr>
              <w:pStyle w:val="116"/>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8、</w:t>
            </w:r>
            <w:r>
              <w:rPr>
                <w:rFonts w:hint="default"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积极配合当地生态环境主管部门的监督检查，及时整改发现的环境问题。</w:t>
            </w:r>
          </w:p>
          <w:p w14:paraId="4DABD2F2">
            <w:pPr>
              <w:keepNext w:val="0"/>
              <w:keepLines w:val="0"/>
              <w:widowControl/>
              <w:numPr>
                <w:ilvl w:val="0"/>
                <w:numId w:val="4"/>
              </w:numPr>
              <w:suppressLineNumbers w:val="0"/>
              <w:spacing w:before="90" w:beforeAutospacing="0" w:after="0" w:afterAutospacing="1"/>
              <w:ind w:left="0" w:hanging="360"/>
              <w:rPr>
                <w:rFonts w:hint="default" w:ascii="Times New Roman" w:hAnsi="Times New Roman" w:eastAsia="宋体" w:cs="Times New Roman"/>
                <w:color w:val="000000" w:themeColor="text1"/>
                <w14:textFill>
                  <w14:solidFill>
                    <w14:schemeClr w14:val="tx1"/>
                  </w14:solidFill>
                </w14:textFill>
              </w:rPr>
            </w:pPr>
          </w:p>
          <w:p w14:paraId="698DD81E">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18E26A46">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0EEDF380">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341E017F">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6FBFE90B">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70C504D9">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5297C154">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6FA3010E">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7CF27ED3">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4726E390">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59F37DA1">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3EFB1701">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0AEC1F00">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1A1BF87B">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6972E472">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5C7616BE">
            <w:pPr>
              <w:autoSpaceDE w:val="0"/>
              <w:autoSpaceDN w:val="0"/>
              <w:spacing w:line="360" w:lineRule="auto"/>
              <w:ind w:firstLine="480" w:firstLineChars="200"/>
              <w:rPr>
                <w:rFonts w:hint="default" w:ascii="Times New Roman" w:hAnsi="Times New Roman" w:eastAsia="宋体" w:cs="Times New Roman"/>
                <w:color w:val="000000" w:themeColor="text1"/>
                <w:sz w:val="24"/>
                <w14:textFill>
                  <w14:solidFill>
                    <w14:schemeClr w14:val="tx1"/>
                  </w14:solidFill>
                </w14:textFill>
              </w:rPr>
            </w:pPr>
          </w:p>
          <w:p w14:paraId="6A91F4B9">
            <w:pPr>
              <w:autoSpaceDE w:val="0"/>
              <w:autoSpaceDN w:val="0"/>
              <w:spacing w:line="360" w:lineRule="auto"/>
              <w:rPr>
                <w:rFonts w:hint="default" w:ascii="Times New Roman" w:hAnsi="Times New Roman" w:eastAsia="宋体" w:cs="Times New Roman"/>
                <w:color w:val="000000" w:themeColor="text1"/>
                <w:sz w:val="24"/>
                <w14:textFill>
                  <w14:solidFill>
                    <w14:schemeClr w14:val="tx1"/>
                  </w14:solidFill>
                </w14:textFill>
              </w:rPr>
            </w:pPr>
          </w:p>
        </w:tc>
      </w:tr>
    </w:tbl>
    <w:p w14:paraId="04816B4A">
      <w:pPr>
        <w:adjustRightInd w:val="0"/>
        <w:snapToGrid w:val="0"/>
        <w:spacing w:before="192" w:beforeLines="80"/>
        <w:rPr>
          <w:rFonts w:hint="default" w:ascii="Times New Roman" w:hAnsi="Times New Roman" w:eastAsia="宋体" w:cs="Times New Roman"/>
          <w:color w:val="000000" w:themeColor="text1"/>
          <w14:textFill>
            <w14:solidFill>
              <w14:schemeClr w14:val="tx1"/>
            </w14:solidFill>
          </w14:textFill>
        </w:rPr>
      </w:pPr>
    </w:p>
    <w:sectPr>
      <w:pgSz w:w="11906" w:h="16838"/>
      <w:pgMar w:top="1440" w:right="1800" w:bottom="1440" w:left="1800" w:header="851" w:footer="1077" w:gutter="0"/>
      <w:pgBorders>
        <w:top w:val="none" w:sz="0" w:space="0"/>
        <w:left w:val="none" w:sz="0" w:space="0"/>
        <w:bottom w:val="none" w:sz="0" w:space="0"/>
        <w:right w:val="none" w:sz="0" w:space="0"/>
      </w:pgBorders>
      <w:pgNumType w:fmt="numberInDash"/>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Brush Script MT">
    <w:panose1 w:val="03060802040406070304"/>
    <w:charset w:val="00"/>
    <w:family w:val="script"/>
    <w:pitch w:val="default"/>
    <w:sig w:usb0="00000003" w:usb1="00000000" w:usb2="00000000" w:usb3="00000000" w:csb0="20000001" w:csb1="00000000"/>
  </w:font>
  <w:font w:name="MingLiU">
    <w:altName w:val="PMingLiU-ExtB"/>
    <w:panose1 w:val="02020509000000000000"/>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589FFD">
    <w:pPr>
      <w:pStyle w:val="18"/>
      <w:ind w:right="360"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9705" cy="139700"/>
              <wp:effectExtent l="0" t="0" r="0" b="0"/>
              <wp:wrapNone/>
              <wp:docPr id="1" name="文本框 1"/>
              <wp:cNvGraphicFramePr/>
              <a:graphic xmlns:a="http://schemas.openxmlformats.org/drawingml/2006/main">
                <a:graphicData uri="http://schemas.microsoft.com/office/word/2010/wordprocessingShape">
                  <wps:wsp>
                    <wps:cNvSpPr txBox="1">
                      <a:spLocks noChangeArrowheads="1"/>
                    </wps:cNvSpPr>
                    <wps:spPr bwMode="auto">
                      <a:xfrm>
                        <a:off x="0" y="0"/>
                        <a:ext cx="179705" cy="139700"/>
                      </a:xfrm>
                      <a:prstGeom prst="rect">
                        <a:avLst/>
                      </a:prstGeom>
                      <a:noFill/>
                      <a:ln>
                        <a:noFill/>
                      </a:ln>
                    </wps:spPr>
                    <wps:txbx>
                      <w:txbxContent>
                        <w:p w14:paraId="72E8E2E6">
                          <w:pPr>
                            <w:pStyle w:val="18"/>
                          </w:pPr>
                          <w:r>
                            <w:rPr>
                              <w:rFonts w:hint="eastAsia"/>
                            </w:rPr>
                            <w:fldChar w:fldCharType="begin"/>
                          </w:r>
                          <w:r>
                            <w:rPr>
                              <w:rFonts w:hint="eastAsia"/>
                            </w:rPr>
                            <w:instrText xml:space="preserve"> PAGE  \* MERGEFORMAT </w:instrText>
                          </w:r>
                          <w:r>
                            <w:rPr>
                              <w:rFonts w:hint="eastAsia"/>
                            </w:rPr>
                            <w:fldChar w:fldCharType="separate"/>
                          </w:r>
                          <w:r>
                            <w:t>- 1 -</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_x0000_s1026" o:spid="_x0000_s1026" o:spt="202" type="#_x0000_t202" style="position:absolute;left:0pt;margin-top:0pt;height:11pt;width:14.15pt;mso-position-horizontal:center;mso-position-horizontal-relative:margin;mso-wrap-style:none;z-index:251659264;mso-width-relative:page;mso-height-relative:page;" filled="f" stroked="f" coordsize="21600,21600" o:gfxdata="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pFnrHQAAAAAwEAAA8AAAAAAAAAAQAgAAAAIgAAAGRycy9kb3du&#10;cmV2LnhtbFBLAQIUABQAAAAIAIdO4kAXJ+2MBwIAAAIEAAAOAAAAAAAAAAEAIAAAAB8BAABkcnMv&#10;ZTJvRG9jLnhtbFBLBQYAAAAABgAGAFkBAACYBQAAAAA=&#10;">
              <v:fill on="f" focussize="0,0"/>
              <v:stroke on="f"/>
              <v:imagedata o:title=""/>
              <o:lock v:ext="edit" aspectratio="f"/>
              <v:textbox inset="0mm,0mm,0mm,0mm" style="mso-fit-shape-to-text:t;">
                <w:txbxContent>
                  <w:p w14:paraId="72E8E2E6">
                    <w:pPr>
                      <w:pStyle w:val="18"/>
                    </w:pPr>
                    <w:r>
                      <w:rPr>
                        <w:rFonts w:hint="eastAsia"/>
                      </w:rPr>
                      <w:fldChar w:fldCharType="begin"/>
                    </w:r>
                    <w:r>
                      <w:rPr>
                        <w:rFonts w:hint="eastAsia"/>
                      </w:rPr>
                      <w:instrText xml:space="preserve"> PAGE  \* MERGEFORMAT </w:instrText>
                    </w:r>
                    <w:r>
                      <w:rPr>
                        <w:rFonts w:hint="eastAsia"/>
                      </w:rPr>
                      <w:fldChar w:fldCharType="separate"/>
                    </w:r>
                    <w:r>
                      <w:t>- 1 -</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59BE95"/>
    <w:multiLevelType w:val="singleLevel"/>
    <w:tmpl w:val="A759BE95"/>
    <w:lvl w:ilvl="0" w:tentative="0">
      <w:start w:val="4"/>
      <w:numFmt w:val="decimal"/>
      <w:suff w:val="nothing"/>
      <w:lvlText w:val="（%1）"/>
      <w:lvlJc w:val="left"/>
    </w:lvl>
  </w:abstractNum>
  <w:abstractNum w:abstractNumId="1">
    <w:nsid w:val="B42D9A2F"/>
    <w:multiLevelType w:val="singleLevel"/>
    <w:tmpl w:val="B42D9A2F"/>
    <w:lvl w:ilvl="0" w:tentative="0">
      <w:start w:val="3"/>
      <w:numFmt w:val="decimal"/>
      <w:suff w:val="nothing"/>
      <w:lvlText w:val="（%1）"/>
      <w:lvlJc w:val="left"/>
    </w:lvl>
  </w:abstractNum>
  <w:abstractNum w:abstractNumId="2">
    <w:nsid w:val="720F60D8"/>
    <w:multiLevelType w:val="multilevel"/>
    <w:tmpl w:val="720F60D8"/>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7662715A"/>
    <w:multiLevelType w:val="singleLevel"/>
    <w:tmpl w:val="7662715A"/>
    <w:lvl w:ilvl="0" w:tentative="0">
      <w:start w:val="1"/>
      <w:numFmt w:val="bullet"/>
      <w:pStyle w:val="14"/>
      <w:lvlText w:val=""/>
      <w:lvlJc w:val="left"/>
      <w:pPr>
        <w:tabs>
          <w:tab w:val="left" w:pos="2040"/>
        </w:tabs>
        <w:ind w:left="2040" w:hanging="360"/>
      </w:pPr>
      <w:rPr>
        <w:rFonts w:hint="default" w:ascii="Wingdings" w:hAnsi="Wingdings"/>
      </w:r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420"/>
  <w:doNotHyphenateCaps/>
  <w:drawingGridHorizontalSpacing w:val="105"/>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MwZWVlODc4NDk5Y2UxNDBlZDMyYzQ5ZDZjZmI5NWMifQ=="/>
    <w:docVar w:name="KSO_WPS_MARK_KEY" w:val="0376d06e-7c0e-43c4-b25d-16f91bbf3f89"/>
  </w:docVars>
  <w:rsids>
    <w:rsidRoot w:val="00A14947"/>
    <w:rsid w:val="00001CED"/>
    <w:rsid w:val="00001E67"/>
    <w:rsid w:val="00003CD8"/>
    <w:rsid w:val="00004096"/>
    <w:rsid w:val="000054CC"/>
    <w:rsid w:val="00014965"/>
    <w:rsid w:val="00014B24"/>
    <w:rsid w:val="0001523A"/>
    <w:rsid w:val="00016ECB"/>
    <w:rsid w:val="000269F6"/>
    <w:rsid w:val="00031939"/>
    <w:rsid w:val="00031F23"/>
    <w:rsid w:val="00032D25"/>
    <w:rsid w:val="000337AC"/>
    <w:rsid w:val="000358F3"/>
    <w:rsid w:val="00042482"/>
    <w:rsid w:val="0005219D"/>
    <w:rsid w:val="0005568F"/>
    <w:rsid w:val="00056BAF"/>
    <w:rsid w:val="0006153D"/>
    <w:rsid w:val="00061B1F"/>
    <w:rsid w:val="000664DB"/>
    <w:rsid w:val="0007127D"/>
    <w:rsid w:val="00071AE5"/>
    <w:rsid w:val="000731A0"/>
    <w:rsid w:val="00074783"/>
    <w:rsid w:val="000801E0"/>
    <w:rsid w:val="00082A29"/>
    <w:rsid w:val="0008331D"/>
    <w:rsid w:val="00083C18"/>
    <w:rsid w:val="0008436A"/>
    <w:rsid w:val="00086ED2"/>
    <w:rsid w:val="00087448"/>
    <w:rsid w:val="00092899"/>
    <w:rsid w:val="00094264"/>
    <w:rsid w:val="00095B9F"/>
    <w:rsid w:val="000974EE"/>
    <w:rsid w:val="000A0054"/>
    <w:rsid w:val="000A178E"/>
    <w:rsid w:val="000A48F7"/>
    <w:rsid w:val="000A557E"/>
    <w:rsid w:val="000A5909"/>
    <w:rsid w:val="000A725E"/>
    <w:rsid w:val="000B058F"/>
    <w:rsid w:val="000B05A0"/>
    <w:rsid w:val="000B693F"/>
    <w:rsid w:val="000C09AC"/>
    <w:rsid w:val="000C0A63"/>
    <w:rsid w:val="000C437E"/>
    <w:rsid w:val="000C4EF9"/>
    <w:rsid w:val="000C5353"/>
    <w:rsid w:val="000D2251"/>
    <w:rsid w:val="000E5F16"/>
    <w:rsid w:val="000E7A43"/>
    <w:rsid w:val="000F4452"/>
    <w:rsid w:val="000F6DA1"/>
    <w:rsid w:val="000F701B"/>
    <w:rsid w:val="001056A0"/>
    <w:rsid w:val="0011076D"/>
    <w:rsid w:val="00115279"/>
    <w:rsid w:val="00115AB5"/>
    <w:rsid w:val="00116745"/>
    <w:rsid w:val="00117459"/>
    <w:rsid w:val="0011749A"/>
    <w:rsid w:val="00120743"/>
    <w:rsid w:val="00123AC7"/>
    <w:rsid w:val="00127789"/>
    <w:rsid w:val="00127A68"/>
    <w:rsid w:val="00132D33"/>
    <w:rsid w:val="0013388C"/>
    <w:rsid w:val="00140B13"/>
    <w:rsid w:val="00141B68"/>
    <w:rsid w:val="001466DA"/>
    <w:rsid w:val="00147ECB"/>
    <w:rsid w:val="00151A4C"/>
    <w:rsid w:val="00152976"/>
    <w:rsid w:val="00154DE1"/>
    <w:rsid w:val="00155B40"/>
    <w:rsid w:val="00157435"/>
    <w:rsid w:val="00161C91"/>
    <w:rsid w:val="001622C1"/>
    <w:rsid w:val="00163ABB"/>
    <w:rsid w:val="00163EEA"/>
    <w:rsid w:val="00164DBF"/>
    <w:rsid w:val="00167A07"/>
    <w:rsid w:val="0017046A"/>
    <w:rsid w:val="001704A3"/>
    <w:rsid w:val="0017504D"/>
    <w:rsid w:val="00175B1E"/>
    <w:rsid w:val="00177422"/>
    <w:rsid w:val="00177DE3"/>
    <w:rsid w:val="00184831"/>
    <w:rsid w:val="00184F10"/>
    <w:rsid w:val="00185546"/>
    <w:rsid w:val="0019146B"/>
    <w:rsid w:val="00193213"/>
    <w:rsid w:val="00194398"/>
    <w:rsid w:val="0019583D"/>
    <w:rsid w:val="001A1551"/>
    <w:rsid w:val="001A47EB"/>
    <w:rsid w:val="001A7D2A"/>
    <w:rsid w:val="001B3006"/>
    <w:rsid w:val="001B574C"/>
    <w:rsid w:val="001C0AF9"/>
    <w:rsid w:val="001C0C93"/>
    <w:rsid w:val="001C1430"/>
    <w:rsid w:val="001C155A"/>
    <w:rsid w:val="001C48C0"/>
    <w:rsid w:val="001D6726"/>
    <w:rsid w:val="001E6016"/>
    <w:rsid w:val="001E79CC"/>
    <w:rsid w:val="001F3347"/>
    <w:rsid w:val="001F4440"/>
    <w:rsid w:val="001F69E4"/>
    <w:rsid w:val="00206A65"/>
    <w:rsid w:val="00207BC2"/>
    <w:rsid w:val="0021164E"/>
    <w:rsid w:val="002122CF"/>
    <w:rsid w:val="00212D31"/>
    <w:rsid w:val="002130C7"/>
    <w:rsid w:val="00217D48"/>
    <w:rsid w:val="002218A8"/>
    <w:rsid w:val="002227D8"/>
    <w:rsid w:val="0022306D"/>
    <w:rsid w:val="00223341"/>
    <w:rsid w:val="00224671"/>
    <w:rsid w:val="00226574"/>
    <w:rsid w:val="002278EC"/>
    <w:rsid w:val="00232348"/>
    <w:rsid w:val="002342C8"/>
    <w:rsid w:val="002357C7"/>
    <w:rsid w:val="002367C4"/>
    <w:rsid w:val="00237AD5"/>
    <w:rsid w:val="00243112"/>
    <w:rsid w:val="00244E51"/>
    <w:rsid w:val="00247D73"/>
    <w:rsid w:val="0025679E"/>
    <w:rsid w:val="00256EAD"/>
    <w:rsid w:val="00260C68"/>
    <w:rsid w:val="00263142"/>
    <w:rsid w:val="00264881"/>
    <w:rsid w:val="002648B0"/>
    <w:rsid w:val="002651A6"/>
    <w:rsid w:val="00275271"/>
    <w:rsid w:val="0027535E"/>
    <w:rsid w:val="00275AA6"/>
    <w:rsid w:val="002804E8"/>
    <w:rsid w:val="002807D5"/>
    <w:rsid w:val="00282CCD"/>
    <w:rsid w:val="00284B00"/>
    <w:rsid w:val="00286460"/>
    <w:rsid w:val="00287F3C"/>
    <w:rsid w:val="00291F04"/>
    <w:rsid w:val="002931EC"/>
    <w:rsid w:val="00295FFC"/>
    <w:rsid w:val="00296953"/>
    <w:rsid w:val="002A168C"/>
    <w:rsid w:val="002A2C48"/>
    <w:rsid w:val="002A3507"/>
    <w:rsid w:val="002A3EED"/>
    <w:rsid w:val="002A3F1B"/>
    <w:rsid w:val="002A4A39"/>
    <w:rsid w:val="002A5A17"/>
    <w:rsid w:val="002A6425"/>
    <w:rsid w:val="002B1AC7"/>
    <w:rsid w:val="002B3D2E"/>
    <w:rsid w:val="002B49E2"/>
    <w:rsid w:val="002B7B00"/>
    <w:rsid w:val="002B7C44"/>
    <w:rsid w:val="002C1388"/>
    <w:rsid w:val="002C14E0"/>
    <w:rsid w:val="002C1794"/>
    <w:rsid w:val="002C3C6A"/>
    <w:rsid w:val="002C4AA6"/>
    <w:rsid w:val="002D1692"/>
    <w:rsid w:val="002D42DB"/>
    <w:rsid w:val="002E09BC"/>
    <w:rsid w:val="002E120C"/>
    <w:rsid w:val="002E1F3A"/>
    <w:rsid w:val="002E298A"/>
    <w:rsid w:val="002E46E1"/>
    <w:rsid w:val="002F02A4"/>
    <w:rsid w:val="002F272B"/>
    <w:rsid w:val="002F4CFE"/>
    <w:rsid w:val="002F4D11"/>
    <w:rsid w:val="002F7C6D"/>
    <w:rsid w:val="003027E4"/>
    <w:rsid w:val="0030332C"/>
    <w:rsid w:val="0031119E"/>
    <w:rsid w:val="00312296"/>
    <w:rsid w:val="0031340E"/>
    <w:rsid w:val="00314BFE"/>
    <w:rsid w:val="00316464"/>
    <w:rsid w:val="0032073A"/>
    <w:rsid w:val="00321D8E"/>
    <w:rsid w:val="0032574B"/>
    <w:rsid w:val="00331394"/>
    <w:rsid w:val="00331ED3"/>
    <w:rsid w:val="00334369"/>
    <w:rsid w:val="00334996"/>
    <w:rsid w:val="00336969"/>
    <w:rsid w:val="00336C52"/>
    <w:rsid w:val="00340380"/>
    <w:rsid w:val="00341442"/>
    <w:rsid w:val="00341B3E"/>
    <w:rsid w:val="00341B42"/>
    <w:rsid w:val="00344108"/>
    <w:rsid w:val="00344F98"/>
    <w:rsid w:val="00345154"/>
    <w:rsid w:val="0034560E"/>
    <w:rsid w:val="00350523"/>
    <w:rsid w:val="00352975"/>
    <w:rsid w:val="003567FD"/>
    <w:rsid w:val="00356868"/>
    <w:rsid w:val="00357A0A"/>
    <w:rsid w:val="0036485B"/>
    <w:rsid w:val="00372EB1"/>
    <w:rsid w:val="00373B0D"/>
    <w:rsid w:val="00376988"/>
    <w:rsid w:val="00376C0D"/>
    <w:rsid w:val="00381A72"/>
    <w:rsid w:val="00381C06"/>
    <w:rsid w:val="003921D8"/>
    <w:rsid w:val="003A0753"/>
    <w:rsid w:val="003A123A"/>
    <w:rsid w:val="003A1948"/>
    <w:rsid w:val="003A479D"/>
    <w:rsid w:val="003A4CA9"/>
    <w:rsid w:val="003B1440"/>
    <w:rsid w:val="003B152A"/>
    <w:rsid w:val="003B2E93"/>
    <w:rsid w:val="003B4360"/>
    <w:rsid w:val="003B545B"/>
    <w:rsid w:val="003C6A07"/>
    <w:rsid w:val="003C7A32"/>
    <w:rsid w:val="003D3EE9"/>
    <w:rsid w:val="003E4525"/>
    <w:rsid w:val="003E6BD0"/>
    <w:rsid w:val="003E7681"/>
    <w:rsid w:val="003E768B"/>
    <w:rsid w:val="003F0809"/>
    <w:rsid w:val="003F5591"/>
    <w:rsid w:val="003F611C"/>
    <w:rsid w:val="003F755C"/>
    <w:rsid w:val="00403A68"/>
    <w:rsid w:val="00406F01"/>
    <w:rsid w:val="00411B36"/>
    <w:rsid w:val="004121D7"/>
    <w:rsid w:val="0041431B"/>
    <w:rsid w:val="00416D50"/>
    <w:rsid w:val="00417772"/>
    <w:rsid w:val="00420BD4"/>
    <w:rsid w:val="00420C0F"/>
    <w:rsid w:val="00420CC1"/>
    <w:rsid w:val="00420E6A"/>
    <w:rsid w:val="004248A0"/>
    <w:rsid w:val="00426696"/>
    <w:rsid w:val="0042715F"/>
    <w:rsid w:val="00433CA9"/>
    <w:rsid w:val="0043521D"/>
    <w:rsid w:val="00442024"/>
    <w:rsid w:val="0044254C"/>
    <w:rsid w:val="00443F6A"/>
    <w:rsid w:val="00447F04"/>
    <w:rsid w:val="00450A17"/>
    <w:rsid w:val="0045173E"/>
    <w:rsid w:val="0045305F"/>
    <w:rsid w:val="00455A31"/>
    <w:rsid w:val="00461D69"/>
    <w:rsid w:val="00466321"/>
    <w:rsid w:val="004672AF"/>
    <w:rsid w:val="004727B0"/>
    <w:rsid w:val="004750D1"/>
    <w:rsid w:val="00480247"/>
    <w:rsid w:val="0048081D"/>
    <w:rsid w:val="0048117E"/>
    <w:rsid w:val="004855F6"/>
    <w:rsid w:val="00486F0C"/>
    <w:rsid w:val="00494670"/>
    <w:rsid w:val="00496F80"/>
    <w:rsid w:val="004A0D89"/>
    <w:rsid w:val="004A0EB4"/>
    <w:rsid w:val="004A3823"/>
    <w:rsid w:val="004A59BB"/>
    <w:rsid w:val="004A6C1E"/>
    <w:rsid w:val="004B0C7D"/>
    <w:rsid w:val="004B43A3"/>
    <w:rsid w:val="004B4C49"/>
    <w:rsid w:val="004B58A5"/>
    <w:rsid w:val="004B63D9"/>
    <w:rsid w:val="004C0882"/>
    <w:rsid w:val="004C55BE"/>
    <w:rsid w:val="004C7DBD"/>
    <w:rsid w:val="004D2B93"/>
    <w:rsid w:val="004E5B30"/>
    <w:rsid w:val="004F0779"/>
    <w:rsid w:val="004F1230"/>
    <w:rsid w:val="004F173F"/>
    <w:rsid w:val="004F177C"/>
    <w:rsid w:val="004F2DCE"/>
    <w:rsid w:val="004F4A70"/>
    <w:rsid w:val="005039CB"/>
    <w:rsid w:val="0050558F"/>
    <w:rsid w:val="005057E0"/>
    <w:rsid w:val="00506286"/>
    <w:rsid w:val="00510813"/>
    <w:rsid w:val="00511DE0"/>
    <w:rsid w:val="00515276"/>
    <w:rsid w:val="00517AC4"/>
    <w:rsid w:val="00517F02"/>
    <w:rsid w:val="00520A00"/>
    <w:rsid w:val="00524547"/>
    <w:rsid w:val="0052454F"/>
    <w:rsid w:val="005245E5"/>
    <w:rsid w:val="00525864"/>
    <w:rsid w:val="005258A2"/>
    <w:rsid w:val="00530F7C"/>
    <w:rsid w:val="00533971"/>
    <w:rsid w:val="00534567"/>
    <w:rsid w:val="00534F43"/>
    <w:rsid w:val="00535A84"/>
    <w:rsid w:val="00536889"/>
    <w:rsid w:val="00542E07"/>
    <w:rsid w:val="00545BB2"/>
    <w:rsid w:val="00554A7B"/>
    <w:rsid w:val="0055527C"/>
    <w:rsid w:val="0055572C"/>
    <w:rsid w:val="005600CB"/>
    <w:rsid w:val="0056064F"/>
    <w:rsid w:val="00561B84"/>
    <w:rsid w:val="005643FF"/>
    <w:rsid w:val="005652C5"/>
    <w:rsid w:val="00571D98"/>
    <w:rsid w:val="005720AE"/>
    <w:rsid w:val="005732FD"/>
    <w:rsid w:val="0057334B"/>
    <w:rsid w:val="00575E9E"/>
    <w:rsid w:val="0058030D"/>
    <w:rsid w:val="00582045"/>
    <w:rsid w:val="005855A3"/>
    <w:rsid w:val="0058647B"/>
    <w:rsid w:val="00590AE3"/>
    <w:rsid w:val="005918F1"/>
    <w:rsid w:val="0059328C"/>
    <w:rsid w:val="0059424C"/>
    <w:rsid w:val="005977D1"/>
    <w:rsid w:val="005A06B7"/>
    <w:rsid w:val="005A1759"/>
    <w:rsid w:val="005A2A35"/>
    <w:rsid w:val="005B58F8"/>
    <w:rsid w:val="005B7B4E"/>
    <w:rsid w:val="005C17CE"/>
    <w:rsid w:val="005D0369"/>
    <w:rsid w:val="005D53FE"/>
    <w:rsid w:val="005D65F4"/>
    <w:rsid w:val="005D7A0F"/>
    <w:rsid w:val="005D7D4E"/>
    <w:rsid w:val="005E0438"/>
    <w:rsid w:val="005E1791"/>
    <w:rsid w:val="005E2CE6"/>
    <w:rsid w:val="005E6324"/>
    <w:rsid w:val="005F0819"/>
    <w:rsid w:val="005F228B"/>
    <w:rsid w:val="005F29CD"/>
    <w:rsid w:val="005F4DFB"/>
    <w:rsid w:val="005F5457"/>
    <w:rsid w:val="005F6CC0"/>
    <w:rsid w:val="00603E5B"/>
    <w:rsid w:val="00604BC8"/>
    <w:rsid w:val="006115F8"/>
    <w:rsid w:val="00615B4C"/>
    <w:rsid w:val="00615B5D"/>
    <w:rsid w:val="0062146F"/>
    <w:rsid w:val="00623B5E"/>
    <w:rsid w:val="006301D4"/>
    <w:rsid w:val="00630C59"/>
    <w:rsid w:val="00631E3A"/>
    <w:rsid w:val="00633337"/>
    <w:rsid w:val="006343AF"/>
    <w:rsid w:val="0063634A"/>
    <w:rsid w:val="0064250D"/>
    <w:rsid w:val="0064405A"/>
    <w:rsid w:val="0064623E"/>
    <w:rsid w:val="006535EB"/>
    <w:rsid w:val="00663016"/>
    <w:rsid w:val="0066527C"/>
    <w:rsid w:val="00665377"/>
    <w:rsid w:val="00674605"/>
    <w:rsid w:val="006748B8"/>
    <w:rsid w:val="006833A5"/>
    <w:rsid w:val="006846FB"/>
    <w:rsid w:val="0068535B"/>
    <w:rsid w:val="0068736E"/>
    <w:rsid w:val="006876C5"/>
    <w:rsid w:val="006912A1"/>
    <w:rsid w:val="0069290A"/>
    <w:rsid w:val="00692BE8"/>
    <w:rsid w:val="00697032"/>
    <w:rsid w:val="00697344"/>
    <w:rsid w:val="006975AC"/>
    <w:rsid w:val="006A15FB"/>
    <w:rsid w:val="006A20A6"/>
    <w:rsid w:val="006A72BF"/>
    <w:rsid w:val="006B1B93"/>
    <w:rsid w:val="006B20A4"/>
    <w:rsid w:val="006B332A"/>
    <w:rsid w:val="006B33BD"/>
    <w:rsid w:val="006C3E18"/>
    <w:rsid w:val="006C3F75"/>
    <w:rsid w:val="006D170E"/>
    <w:rsid w:val="006D6985"/>
    <w:rsid w:val="006E06AF"/>
    <w:rsid w:val="006F1789"/>
    <w:rsid w:val="00701FC1"/>
    <w:rsid w:val="00702197"/>
    <w:rsid w:val="00702C8A"/>
    <w:rsid w:val="00706C5D"/>
    <w:rsid w:val="00707502"/>
    <w:rsid w:val="007118E6"/>
    <w:rsid w:val="00714710"/>
    <w:rsid w:val="00714BB7"/>
    <w:rsid w:val="00717D1F"/>
    <w:rsid w:val="00721567"/>
    <w:rsid w:val="007225C9"/>
    <w:rsid w:val="007326D1"/>
    <w:rsid w:val="00735CD7"/>
    <w:rsid w:val="0073698C"/>
    <w:rsid w:val="007427AB"/>
    <w:rsid w:val="007517E6"/>
    <w:rsid w:val="00752FC5"/>
    <w:rsid w:val="00754034"/>
    <w:rsid w:val="00754BF1"/>
    <w:rsid w:val="00755A30"/>
    <w:rsid w:val="00755E1C"/>
    <w:rsid w:val="00756556"/>
    <w:rsid w:val="0076132B"/>
    <w:rsid w:val="00761D9A"/>
    <w:rsid w:val="007623AE"/>
    <w:rsid w:val="007671E9"/>
    <w:rsid w:val="00767448"/>
    <w:rsid w:val="00770B19"/>
    <w:rsid w:val="00774FA0"/>
    <w:rsid w:val="00776620"/>
    <w:rsid w:val="00777B6D"/>
    <w:rsid w:val="00784427"/>
    <w:rsid w:val="00784855"/>
    <w:rsid w:val="00784F39"/>
    <w:rsid w:val="0078545C"/>
    <w:rsid w:val="007906C4"/>
    <w:rsid w:val="00791F8C"/>
    <w:rsid w:val="007940EA"/>
    <w:rsid w:val="007957CF"/>
    <w:rsid w:val="007967E8"/>
    <w:rsid w:val="007A07F9"/>
    <w:rsid w:val="007A4C1E"/>
    <w:rsid w:val="007A63F2"/>
    <w:rsid w:val="007A6C91"/>
    <w:rsid w:val="007B68DE"/>
    <w:rsid w:val="007C1857"/>
    <w:rsid w:val="007C1B4B"/>
    <w:rsid w:val="007C23CA"/>
    <w:rsid w:val="007C27AB"/>
    <w:rsid w:val="007C514F"/>
    <w:rsid w:val="007D0F95"/>
    <w:rsid w:val="007D4A89"/>
    <w:rsid w:val="007D703B"/>
    <w:rsid w:val="007D7ECB"/>
    <w:rsid w:val="007E25A1"/>
    <w:rsid w:val="007E3C5C"/>
    <w:rsid w:val="007E4BD2"/>
    <w:rsid w:val="007E7145"/>
    <w:rsid w:val="007F3916"/>
    <w:rsid w:val="00801179"/>
    <w:rsid w:val="00802479"/>
    <w:rsid w:val="00803D24"/>
    <w:rsid w:val="00805372"/>
    <w:rsid w:val="00805B7B"/>
    <w:rsid w:val="0081293E"/>
    <w:rsid w:val="00814FFB"/>
    <w:rsid w:val="008157E8"/>
    <w:rsid w:val="0081664E"/>
    <w:rsid w:val="00820568"/>
    <w:rsid w:val="008253DC"/>
    <w:rsid w:val="0082705D"/>
    <w:rsid w:val="00831A80"/>
    <w:rsid w:val="00832800"/>
    <w:rsid w:val="008332C8"/>
    <w:rsid w:val="00833743"/>
    <w:rsid w:val="008340A4"/>
    <w:rsid w:val="00836799"/>
    <w:rsid w:val="00837028"/>
    <w:rsid w:val="00837131"/>
    <w:rsid w:val="008376C3"/>
    <w:rsid w:val="00841969"/>
    <w:rsid w:val="00841AA9"/>
    <w:rsid w:val="00844285"/>
    <w:rsid w:val="00845F57"/>
    <w:rsid w:val="008521E0"/>
    <w:rsid w:val="008525B0"/>
    <w:rsid w:val="0085437C"/>
    <w:rsid w:val="00865389"/>
    <w:rsid w:val="00866E2B"/>
    <w:rsid w:val="00867CBC"/>
    <w:rsid w:val="008702C3"/>
    <w:rsid w:val="008768BD"/>
    <w:rsid w:val="00876C30"/>
    <w:rsid w:val="00877017"/>
    <w:rsid w:val="008773C0"/>
    <w:rsid w:val="00877A6A"/>
    <w:rsid w:val="00880364"/>
    <w:rsid w:val="00881806"/>
    <w:rsid w:val="00886C4C"/>
    <w:rsid w:val="0088711C"/>
    <w:rsid w:val="00892ECF"/>
    <w:rsid w:val="00892F06"/>
    <w:rsid w:val="00894285"/>
    <w:rsid w:val="008A2424"/>
    <w:rsid w:val="008A40AE"/>
    <w:rsid w:val="008A4E19"/>
    <w:rsid w:val="008A67C5"/>
    <w:rsid w:val="008B22E1"/>
    <w:rsid w:val="008B3C78"/>
    <w:rsid w:val="008B4AE9"/>
    <w:rsid w:val="008B7AED"/>
    <w:rsid w:val="008C30AD"/>
    <w:rsid w:val="008C3CE3"/>
    <w:rsid w:val="008C6676"/>
    <w:rsid w:val="008D056B"/>
    <w:rsid w:val="008D068E"/>
    <w:rsid w:val="008D0F7A"/>
    <w:rsid w:val="008D63BE"/>
    <w:rsid w:val="008D65AC"/>
    <w:rsid w:val="008D6CB4"/>
    <w:rsid w:val="008E0CFF"/>
    <w:rsid w:val="008E10F6"/>
    <w:rsid w:val="008E1292"/>
    <w:rsid w:val="008E5833"/>
    <w:rsid w:val="008E5D6B"/>
    <w:rsid w:val="008E689B"/>
    <w:rsid w:val="008E76F0"/>
    <w:rsid w:val="008F15FE"/>
    <w:rsid w:val="008F1752"/>
    <w:rsid w:val="008F2A94"/>
    <w:rsid w:val="008F5187"/>
    <w:rsid w:val="008F709C"/>
    <w:rsid w:val="00900748"/>
    <w:rsid w:val="0090312B"/>
    <w:rsid w:val="00904961"/>
    <w:rsid w:val="0090564D"/>
    <w:rsid w:val="009078BE"/>
    <w:rsid w:val="00914200"/>
    <w:rsid w:val="00916A6D"/>
    <w:rsid w:val="0091736D"/>
    <w:rsid w:val="00917B20"/>
    <w:rsid w:val="009249D4"/>
    <w:rsid w:val="00931001"/>
    <w:rsid w:val="00931863"/>
    <w:rsid w:val="00933524"/>
    <w:rsid w:val="00936753"/>
    <w:rsid w:val="00941F00"/>
    <w:rsid w:val="0094278D"/>
    <w:rsid w:val="00951513"/>
    <w:rsid w:val="0095308A"/>
    <w:rsid w:val="009539AA"/>
    <w:rsid w:val="00955AEE"/>
    <w:rsid w:val="00955DDD"/>
    <w:rsid w:val="00956F14"/>
    <w:rsid w:val="009571C9"/>
    <w:rsid w:val="00957973"/>
    <w:rsid w:val="00957B7F"/>
    <w:rsid w:val="009620FD"/>
    <w:rsid w:val="0096247A"/>
    <w:rsid w:val="009626DE"/>
    <w:rsid w:val="00965F4B"/>
    <w:rsid w:val="009701E4"/>
    <w:rsid w:val="00970F8A"/>
    <w:rsid w:val="00971FB5"/>
    <w:rsid w:val="00972D2A"/>
    <w:rsid w:val="00975CC5"/>
    <w:rsid w:val="00976328"/>
    <w:rsid w:val="00976B4E"/>
    <w:rsid w:val="0098324E"/>
    <w:rsid w:val="00984458"/>
    <w:rsid w:val="00985283"/>
    <w:rsid w:val="00987322"/>
    <w:rsid w:val="00995451"/>
    <w:rsid w:val="00997E3B"/>
    <w:rsid w:val="009A0F3B"/>
    <w:rsid w:val="009A4487"/>
    <w:rsid w:val="009A7081"/>
    <w:rsid w:val="009A72C7"/>
    <w:rsid w:val="009B0897"/>
    <w:rsid w:val="009B6544"/>
    <w:rsid w:val="009C77E0"/>
    <w:rsid w:val="009D0852"/>
    <w:rsid w:val="009D1FBF"/>
    <w:rsid w:val="009E2C97"/>
    <w:rsid w:val="009E3589"/>
    <w:rsid w:val="009E399C"/>
    <w:rsid w:val="009E43C1"/>
    <w:rsid w:val="009E7E95"/>
    <w:rsid w:val="009F0E6B"/>
    <w:rsid w:val="009F116F"/>
    <w:rsid w:val="009F329E"/>
    <w:rsid w:val="009F32A4"/>
    <w:rsid w:val="009F7ED3"/>
    <w:rsid w:val="00A03607"/>
    <w:rsid w:val="00A03B83"/>
    <w:rsid w:val="00A047FF"/>
    <w:rsid w:val="00A04FEF"/>
    <w:rsid w:val="00A122CD"/>
    <w:rsid w:val="00A12A32"/>
    <w:rsid w:val="00A14248"/>
    <w:rsid w:val="00A14947"/>
    <w:rsid w:val="00A23DC5"/>
    <w:rsid w:val="00A24628"/>
    <w:rsid w:val="00A26F04"/>
    <w:rsid w:val="00A33656"/>
    <w:rsid w:val="00A34028"/>
    <w:rsid w:val="00A35568"/>
    <w:rsid w:val="00A37056"/>
    <w:rsid w:val="00A4358F"/>
    <w:rsid w:val="00A45AF7"/>
    <w:rsid w:val="00A46489"/>
    <w:rsid w:val="00A46F67"/>
    <w:rsid w:val="00A54AA1"/>
    <w:rsid w:val="00A55382"/>
    <w:rsid w:val="00A568FF"/>
    <w:rsid w:val="00A602C1"/>
    <w:rsid w:val="00A6134B"/>
    <w:rsid w:val="00A61496"/>
    <w:rsid w:val="00A61833"/>
    <w:rsid w:val="00A624C6"/>
    <w:rsid w:val="00A63CEC"/>
    <w:rsid w:val="00A7031E"/>
    <w:rsid w:val="00A728B1"/>
    <w:rsid w:val="00A7589D"/>
    <w:rsid w:val="00A75B65"/>
    <w:rsid w:val="00A763DE"/>
    <w:rsid w:val="00A766FB"/>
    <w:rsid w:val="00A803D6"/>
    <w:rsid w:val="00A8076A"/>
    <w:rsid w:val="00A81282"/>
    <w:rsid w:val="00A81AD5"/>
    <w:rsid w:val="00A85FF0"/>
    <w:rsid w:val="00A8713F"/>
    <w:rsid w:val="00A91167"/>
    <w:rsid w:val="00A9171C"/>
    <w:rsid w:val="00A92FFD"/>
    <w:rsid w:val="00A93D19"/>
    <w:rsid w:val="00A95975"/>
    <w:rsid w:val="00A9708D"/>
    <w:rsid w:val="00AA1D6B"/>
    <w:rsid w:val="00AA2C17"/>
    <w:rsid w:val="00AA4172"/>
    <w:rsid w:val="00AB1914"/>
    <w:rsid w:val="00AB5330"/>
    <w:rsid w:val="00AB7747"/>
    <w:rsid w:val="00AC2532"/>
    <w:rsid w:val="00AD0419"/>
    <w:rsid w:val="00AD1507"/>
    <w:rsid w:val="00AD5A70"/>
    <w:rsid w:val="00AD5E7E"/>
    <w:rsid w:val="00AD738B"/>
    <w:rsid w:val="00AE1BF4"/>
    <w:rsid w:val="00AE5D97"/>
    <w:rsid w:val="00AE6794"/>
    <w:rsid w:val="00AF0A9D"/>
    <w:rsid w:val="00AF108C"/>
    <w:rsid w:val="00AF2AAA"/>
    <w:rsid w:val="00AF4C43"/>
    <w:rsid w:val="00B01110"/>
    <w:rsid w:val="00B02262"/>
    <w:rsid w:val="00B03AC5"/>
    <w:rsid w:val="00B03CEC"/>
    <w:rsid w:val="00B119D4"/>
    <w:rsid w:val="00B1209F"/>
    <w:rsid w:val="00B12AD0"/>
    <w:rsid w:val="00B12DD1"/>
    <w:rsid w:val="00B245E8"/>
    <w:rsid w:val="00B24F30"/>
    <w:rsid w:val="00B31ABF"/>
    <w:rsid w:val="00B32484"/>
    <w:rsid w:val="00B335AE"/>
    <w:rsid w:val="00B37AF6"/>
    <w:rsid w:val="00B37CE1"/>
    <w:rsid w:val="00B37D1D"/>
    <w:rsid w:val="00B40ACF"/>
    <w:rsid w:val="00B46BAA"/>
    <w:rsid w:val="00B50B5F"/>
    <w:rsid w:val="00B52F57"/>
    <w:rsid w:val="00B54128"/>
    <w:rsid w:val="00B55826"/>
    <w:rsid w:val="00B60426"/>
    <w:rsid w:val="00B60C08"/>
    <w:rsid w:val="00B622DD"/>
    <w:rsid w:val="00B63522"/>
    <w:rsid w:val="00B72926"/>
    <w:rsid w:val="00B72C29"/>
    <w:rsid w:val="00B755C0"/>
    <w:rsid w:val="00B76F1D"/>
    <w:rsid w:val="00B77861"/>
    <w:rsid w:val="00B863FF"/>
    <w:rsid w:val="00B92A19"/>
    <w:rsid w:val="00B9544C"/>
    <w:rsid w:val="00B95BC0"/>
    <w:rsid w:val="00BA1B67"/>
    <w:rsid w:val="00BA29E9"/>
    <w:rsid w:val="00BB3618"/>
    <w:rsid w:val="00BC0C9E"/>
    <w:rsid w:val="00BC32DC"/>
    <w:rsid w:val="00BD1B51"/>
    <w:rsid w:val="00BD47F6"/>
    <w:rsid w:val="00BE312D"/>
    <w:rsid w:val="00BE3FCA"/>
    <w:rsid w:val="00BE71E9"/>
    <w:rsid w:val="00BF4085"/>
    <w:rsid w:val="00BF424C"/>
    <w:rsid w:val="00BF79EE"/>
    <w:rsid w:val="00C01E3F"/>
    <w:rsid w:val="00C01F10"/>
    <w:rsid w:val="00C05719"/>
    <w:rsid w:val="00C10578"/>
    <w:rsid w:val="00C1078F"/>
    <w:rsid w:val="00C15EFA"/>
    <w:rsid w:val="00C17D62"/>
    <w:rsid w:val="00C21FDC"/>
    <w:rsid w:val="00C24EE7"/>
    <w:rsid w:val="00C2596A"/>
    <w:rsid w:val="00C271BE"/>
    <w:rsid w:val="00C27425"/>
    <w:rsid w:val="00C31EBD"/>
    <w:rsid w:val="00C328FE"/>
    <w:rsid w:val="00C33A05"/>
    <w:rsid w:val="00C34238"/>
    <w:rsid w:val="00C349D0"/>
    <w:rsid w:val="00C42500"/>
    <w:rsid w:val="00C42909"/>
    <w:rsid w:val="00C4409D"/>
    <w:rsid w:val="00C455BE"/>
    <w:rsid w:val="00C51E5F"/>
    <w:rsid w:val="00C5226D"/>
    <w:rsid w:val="00C60C08"/>
    <w:rsid w:val="00C61E4B"/>
    <w:rsid w:val="00C62E3A"/>
    <w:rsid w:val="00C64503"/>
    <w:rsid w:val="00C64A1F"/>
    <w:rsid w:val="00C64BFF"/>
    <w:rsid w:val="00C65D57"/>
    <w:rsid w:val="00C67ACF"/>
    <w:rsid w:val="00C704F4"/>
    <w:rsid w:val="00C75EAB"/>
    <w:rsid w:val="00C763C9"/>
    <w:rsid w:val="00C76DC8"/>
    <w:rsid w:val="00C77460"/>
    <w:rsid w:val="00C80057"/>
    <w:rsid w:val="00C803B8"/>
    <w:rsid w:val="00C82C79"/>
    <w:rsid w:val="00C84753"/>
    <w:rsid w:val="00C84790"/>
    <w:rsid w:val="00C91611"/>
    <w:rsid w:val="00C92A5E"/>
    <w:rsid w:val="00C9455B"/>
    <w:rsid w:val="00CA2074"/>
    <w:rsid w:val="00CA3585"/>
    <w:rsid w:val="00CA3D5A"/>
    <w:rsid w:val="00CA4B2A"/>
    <w:rsid w:val="00CA4C7C"/>
    <w:rsid w:val="00CB0183"/>
    <w:rsid w:val="00CB1EA3"/>
    <w:rsid w:val="00CB552C"/>
    <w:rsid w:val="00CB5A10"/>
    <w:rsid w:val="00CB6A9E"/>
    <w:rsid w:val="00CC100B"/>
    <w:rsid w:val="00CC16E5"/>
    <w:rsid w:val="00CC6181"/>
    <w:rsid w:val="00CD2BCD"/>
    <w:rsid w:val="00CD36AA"/>
    <w:rsid w:val="00CD3791"/>
    <w:rsid w:val="00CD65B0"/>
    <w:rsid w:val="00CE02CD"/>
    <w:rsid w:val="00CE10E9"/>
    <w:rsid w:val="00CE5D2C"/>
    <w:rsid w:val="00D0072E"/>
    <w:rsid w:val="00D02F9E"/>
    <w:rsid w:val="00D15727"/>
    <w:rsid w:val="00D16332"/>
    <w:rsid w:val="00D2168D"/>
    <w:rsid w:val="00D223B4"/>
    <w:rsid w:val="00D24972"/>
    <w:rsid w:val="00D2515E"/>
    <w:rsid w:val="00D279BD"/>
    <w:rsid w:val="00D308ED"/>
    <w:rsid w:val="00D52574"/>
    <w:rsid w:val="00D56178"/>
    <w:rsid w:val="00D56CF0"/>
    <w:rsid w:val="00D56F5C"/>
    <w:rsid w:val="00D704B1"/>
    <w:rsid w:val="00D70699"/>
    <w:rsid w:val="00D70B63"/>
    <w:rsid w:val="00D7269C"/>
    <w:rsid w:val="00D72B92"/>
    <w:rsid w:val="00D72ED4"/>
    <w:rsid w:val="00D73F61"/>
    <w:rsid w:val="00D753DE"/>
    <w:rsid w:val="00D754C0"/>
    <w:rsid w:val="00D7573B"/>
    <w:rsid w:val="00D776A2"/>
    <w:rsid w:val="00D801C4"/>
    <w:rsid w:val="00D8417F"/>
    <w:rsid w:val="00D90836"/>
    <w:rsid w:val="00D92BEA"/>
    <w:rsid w:val="00D95896"/>
    <w:rsid w:val="00D95CC6"/>
    <w:rsid w:val="00DA2DA3"/>
    <w:rsid w:val="00DA6615"/>
    <w:rsid w:val="00DA76AE"/>
    <w:rsid w:val="00DB181E"/>
    <w:rsid w:val="00DB1C7A"/>
    <w:rsid w:val="00DB20F7"/>
    <w:rsid w:val="00DB2983"/>
    <w:rsid w:val="00DB343D"/>
    <w:rsid w:val="00DB5579"/>
    <w:rsid w:val="00DB5CFE"/>
    <w:rsid w:val="00DC72A6"/>
    <w:rsid w:val="00DD2113"/>
    <w:rsid w:val="00DD265E"/>
    <w:rsid w:val="00DD2C58"/>
    <w:rsid w:val="00DE2904"/>
    <w:rsid w:val="00DE29E8"/>
    <w:rsid w:val="00DE4CFA"/>
    <w:rsid w:val="00DF1930"/>
    <w:rsid w:val="00DF514A"/>
    <w:rsid w:val="00E01204"/>
    <w:rsid w:val="00E0358D"/>
    <w:rsid w:val="00E06327"/>
    <w:rsid w:val="00E12203"/>
    <w:rsid w:val="00E2064B"/>
    <w:rsid w:val="00E22C69"/>
    <w:rsid w:val="00E2512D"/>
    <w:rsid w:val="00E25239"/>
    <w:rsid w:val="00E265B1"/>
    <w:rsid w:val="00E275B0"/>
    <w:rsid w:val="00E31CD6"/>
    <w:rsid w:val="00E3530E"/>
    <w:rsid w:val="00E36066"/>
    <w:rsid w:val="00E36CDC"/>
    <w:rsid w:val="00E412D0"/>
    <w:rsid w:val="00E47CDB"/>
    <w:rsid w:val="00E53247"/>
    <w:rsid w:val="00E54A8E"/>
    <w:rsid w:val="00E566BC"/>
    <w:rsid w:val="00E60982"/>
    <w:rsid w:val="00E60C8D"/>
    <w:rsid w:val="00E6162F"/>
    <w:rsid w:val="00E6311B"/>
    <w:rsid w:val="00E65D97"/>
    <w:rsid w:val="00E67EFD"/>
    <w:rsid w:val="00E702DC"/>
    <w:rsid w:val="00E71FFB"/>
    <w:rsid w:val="00E76D1D"/>
    <w:rsid w:val="00E806F8"/>
    <w:rsid w:val="00E87300"/>
    <w:rsid w:val="00E87752"/>
    <w:rsid w:val="00E8793B"/>
    <w:rsid w:val="00E90F81"/>
    <w:rsid w:val="00E91A6D"/>
    <w:rsid w:val="00E9242D"/>
    <w:rsid w:val="00E9678D"/>
    <w:rsid w:val="00E97292"/>
    <w:rsid w:val="00EA4FCB"/>
    <w:rsid w:val="00EB041C"/>
    <w:rsid w:val="00EC16D6"/>
    <w:rsid w:val="00EC5874"/>
    <w:rsid w:val="00ED192D"/>
    <w:rsid w:val="00ED1A99"/>
    <w:rsid w:val="00ED2FC3"/>
    <w:rsid w:val="00ED30B4"/>
    <w:rsid w:val="00ED31F5"/>
    <w:rsid w:val="00EE2E83"/>
    <w:rsid w:val="00EF1146"/>
    <w:rsid w:val="00EF1733"/>
    <w:rsid w:val="00EF2759"/>
    <w:rsid w:val="00EF45EB"/>
    <w:rsid w:val="00EF5099"/>
    <w:rsid w:val="00EF52D4"/>
    <w:rsid w:val="00EF5E33"/>
    <w:rsid w:val="00EF6E0A"/>
    <w:rsid w:val="00F00075"/>
    <w:rsid w:val="00F05479"/>
    <w:rsid w:val="00F06860"/>
    <w:rsid w:val="00F07822"/>
    <w:rsid w:val="00F07B9E"/>
    <w:rsid w:val="00F15C95"/>
    <w:rsid w:val="00F17B3F"/>
    <w:rsid w:val="00F22985"/>
    <w:rsid w:val="00F241AB"/>
    <w:rsid w:val="00F26F0A"/>
    <w:rsid w:val="00F310F2"/>
    <w:rsid w:val="00F31382"/>
    <w:rsid w:val="00F34246"/>
    <w:rsid w:val="00F35829"/>
    <w:rsid w:val="00F372F0"/>
    <w:rsid w:val="00F4007A"/>
    <w:rsid w:val="00F40DAA"/>
    <w:rsid w:val="00F42868"/>
    <w:rsid w:val="00F429E6"/>
    <w:rsid w:val="00F465A7"/>
    <w:rsid w:val="00F50B7C"/>
    <w:rsid w:val="00F5202D"/>
    <w:rsid w:val="00F52CF6"/>
    <w:rsid w:val="00F54496"/>
    <w:rsid w:val="00F54600"/>
    <w:rsid w:val="00F54849"/>
    <w:rsid w:val="00F56C38"/>
    <w:rsid w:val="00F61097"/>
    <w:rsid w:val="00F6525C"/>
    <w:rsid w:val="00F70093"/>
    <w:rsid w:val="00F74345"/>
    <w:rsid w:val="00F74441"/>
    <w:rsid w:val="00F74904"/>
    <w:rsid w:val="00F751D8"/>
    <w:rsid w:val="00F77F30"/>
    <w:rsid w:val="00F82589"/>
    <w:rsid w:val="00F82B19"/>
    <w:rsid w:val="00F87561"/>
    <w:rsid w:val="00F90AA7"/>
    <w:rsid w:val="00F9212D"/>
    <w:rsid w:val="00F9257A"/>
    <w:rsid w:val="00FA301A"/>
    <w:rsid w:val="00FA3B75"/>
    <w:rsid w:val="00FA406A"/>
    <w:rsid w:val="00FA4991"/>
    <w:rsid w:val="00FA5CB6"/>
    <w:rsid w:val="00FA6AD2"/>
    <w:rsid w:val="00FB1749"/>
    <w:rsid w:val="00FB1978"/>
    <w:rsid w:val="00FC00C9"/>
    <w:rsid w:val="00FC51FB"/>
    <w:rsid w:val="00FC66AC"/>
    <w:rsid w:val="00FD1568"/>
    <w:rsid w:val="00FD18F4"/>
    <w:rsid w:val="00FD371D"/>
    <w:rsid w:val="00FD74B4"/>
    <w:rsid w:val="00FE3048"/>
    <w:rsid w:val="00FE491A"/>
    <w:rsid w:val="00FE66D8"/>
    <w:rsid w:val="00FF349A"/>
    <w:rsid w:val="00FF6FCE"/>
    <w:rsid w:val="00FF7518"/>
    <w:rsid w:val="00FF7C26"/>
    <w:rsid w:val="00FF7FD8"/>
    <w:rsid w:val="0101251D"/>
    <w:rsid w:val="01204F43"/>
    <w:rsid w:val="01337D81"/>
    <w:rsid w:val="01657C13"/>
    <w:rsid w:val="01770A47"/>
    <w:rsid w:val="017E0CD4"/>
    <w:rsid w:val="01995BAA"/>
    <w:rsid w:val="01A249C3"/>
    <w:rsid w:val="01C55106"/>
    <w:rsid w:val="01DD1E9F"/>
    <w:rsid w:val="01E925F2"/>
    <w:rsid w:val="02021D56"/>
    <w:rsid w:val="020A2568"/>
    <w:rsid w:val="021533E7"/>
    <w:rsid w:val="022004F2"/>
    <w:rsid w:val="02382318"/>
    <w:rsid w:val="02484AD2"/>
    <w:rsid w:val="02544950"/>
    <w:rsid w:val="026779BA"/>
    <w:rsid w:val="02704AC1"/>
    <w:rsid w:val="02774F10"/>
    <w:rsid w:val="02963DFC"/>
    <w:rsid w:val="02AE14C4"/>
    <w:rsid w:val="02D5292F"/>
    <w:rsid w:val="02E42DB9"/>
    <w:rsid w:val="030417D3"/>
    <w:rsid w:val="03045209"/>
    <w:rsid w:val="030811E3"/>
    <w:rsid w:val="033C2BF5"/>
    <w:rsid w:val="037405E1"/>
    <w:rsid w:val="037D56E7"/>
    <w:rsid w:val="03EC63C9"/>
    <w:rsid w:val="04581CB1"/>
    <w:rsid w:val="045A1585"/>
    <w:rsid w:val="04AB1DE0"/>
    <w:rsid w:val="04D134DA"/>
    <w:rsid w:val="04D330E5"/>
    <w:rsid w:val="04D51AD2"/>
    <w:rsid w:val="04D534BD"/>
    <w:rsid w:val="04DC4690"/>
    <w:rsid w:val="04E21C1B"/>
    <w:rsid w:val="05031C1C"/>
    <w:rsid w:val="05502988"/>
    <w:rsid w:val="055F015F"/>
    <w:rsid w:val="05742AC8"/>
    <w:rsid w:val="05B47256"/>
    <w:rsid w:val="05D9297D"/>
    <w:rsid w:val="05DB66F5"/>
    <w:rsid w:val="05EE467B"/>
    <w:rsid w:val="06113EC5"/>
    <w:rsid w:val="06237A80"/>
    <w:rsid w:val="06352F05"/>
    <w:rsid w:val="063C28CE"/>
    <w:rsid w:val="063E7D85"/>
    <w:rsid w:val="06656A9A"/>
    <w:rsid w:val="066A4EB6"/>
    <w:rsid w:val="0676132A"/>
    <w:rsid w:val="06872CD5"/>
    <w:rsid w:val="068A2BC3"/>
    <w:rsid w:val="069845E6"/>
    <w:rsid w:val="0699185B"/>
    <w:rsid w:val="06A53FC4"/>
    <w:rsid w:val="06C14A7F"/>
    <w:rsid w:val="06C54CB0"/>
    <w:rsid w:val="06CB0518"/>
    <w:rsid w:val="06D277CE"/>
    <w:rsid w:val="06FD2F49"/>
    <w:rsid w:val="070875E0"/>
    <w:rsid w:val="0728596A"/>
    <w:rsid w:val="07293586"/>
    <w:rsid w:val="07295285"/>
    <w:rsid w:val="072A7707"/>
    <w:rsid w:val="0752032E"/>
    <w:rsid w:val="07770C56"/>
    <w:rsid w:val="079E79DA"/>
    <w:rsid w:val="07A73C2E"/>
    <w:rsid w:val="07C05BA3"/>
    <w:rsid w:val="07CC2981"/>
    <w:rsid w:val="07F615C4"/>
    <w:rsid w:val="082A74C0"/>
    <w:rsid w:val="084B1D3D"/>
    <w:rsid w:val="086521EE"/>
    <w:rsid w:val="08672247"/>
    <w:rsid w:val="087518A1"/>
    <w:rsid w:val="0882554E"/>
    <w:rsid w:val="08826BFD"/>
    <w:rsid w:val="08827704"/>
    <w:rsid w:val="08AC6819"/>
    <w:rsid w:val="08B33B34"/>
    <w:rsid w:val="08B65645"/>
    <w:rsid w:val="08F15CB0"/>
    <w:rsid w:val="08F31FA8"/>
    <w:rsid w:val="09112665"/>
    <w:rsid w:val="09120680"/>
    <w:rsid w:val="091B505B"/>
    <w:rsid w:val="092217DD"/>
    <w:rsid w:val="093A7294"/>
    <w:rsid w:val="094561C0"/>
    <w:rsid w:val="09710FA4"/>
    <w:rsid w:val="097F3C2D"/>
    <w:rsid w:val="09B72FD5"/>
    <w:rsid w:val="09B75F71"/>
    <w:rsid w:val="09C92BBF"/>
    <w:rsid w:val="09D04097"/>
    <w:rsid w:val="09F71624"/>
    <w:rsid w:val="09FB7366"/>
    <w:rsid w:val="0A094F53"/>
    <w:rsid w:val="0A187F18"/>
    <w:rsid w:val="0A1A13CB"/>
    <w:rsid w:val="0A1B77DC"/>
    <w:rsid w:val="0A566859"/>
    <w:rsid w:val="0A5D1DCF"/>
    <w:rsid w:val="0A821835"/>
    <w:rsid w:val="0A821898"/>
    <w:rsid w:val="0A8B2D6E"/>
    <w:rsid w:val="0AB47515"/>
    <w:rsid w:val="0AB94B2B"/>
    <w:rsid w:val="0ABF68D7"/>
    <w:rsid w:val="0AD21E28"/>
    <w:rsid w:val="0ADB53CE"/>
    <w:rsid w:val="0AEA04F5"/>
    <w:rsid w:val="0AF142C5"/>
    <w:rsid w:val="0B1964C2"/>
    <w:rsid w:val="0B1B7594"/>
    <w:rsid w:val="0B352404"/>
    <w:rsid w:val="0B3D575C"/>
    <w:rsid w:val="0B770C6E"/>
    <w:rsid w:val="0B845139"/>
    <w:rsid w:val="0BC24561"/>
    <w:rsid w:val="0BD264F9"/>
    <w:rsid w:val="0BD27BF6"/>
    <w:rsid w:val="0C2E1CA1"/>
    <w:rsid w:val="0C686328"/>
    <w:rsid w:val="0C8F2BD4"/>
    <w:rsid w:val="0C91467A"/>
    <w:rsid w:val="0C9910B8"/>
    <w:rsid w:val="0CAA025B"/>
    <w:rsid w:val="0CAB2DC4"/>
    <w:rsid w:val="0CB657C6"/>
    <w:rsid w:val="0CD10852"/>
    <w:rsid w:val="0CD45C4C"/>
    <w:rsid w:val="0CD520F0"/>
    <w:rsid w:val="0CEC11E8"/>
    <w:rsid w:val="0CF06009"/>
    <w:rsid w:val="0D1150F2"/>
    <w:rsid w:val="0D183779"/>
    <w:rsid w:val="0D215336"/>
    <w:rsid w:val="0D314841"/>
    <w:rsid w:val="0D3D4525"/>
    <w:rsid w:val="0D4479D1"/>
    <w:rsid w:val="0D5C7F45"/>
    <w:rsid w:val="0D892E9F"/>
    <w:rsid w:val="0DB31D06"/>
    <w:rsid w:val="0DC45CC1"/>
    <w:rsid w:val="0DDC4F8B"/>
    <w:rsid w:val="0DED16BC"/>
    <w:rsid w:val="0DF51F32"/>
    <w:rsid w:val="0E0B1B42"/>
    <w:rsid w:val="0E0D354A"/>
    <w:rsid w:val="0E110D06"/>
    <w:rsid w:val="0E1C78AB"/>
    <w:rsid w:val="0E2F3E86"/>
    <w:rsid w:val="0E3E3CC5"/>
    <w:rsid w:val="0E666D78"/>
    <w:rsid w:val="0E820056"/>
    <w:rsid w:val="0E8D07A9"/>
    <w:rsid w:val="0EDA3140"/>
    <w:rsid w:val="0EF642DF"/>
    <w:rsid w:val="0EF820C6"/>
    <w:rsid w:val="0F045549"/>
    <w:rsid w:val="0F0767AD"/>
    <w:rsid w:val="0F13775A"/>
    <w:rsid w:val="0F156105"/>
    <w:rsid w:val="0F4B3FBB"/>
    <w:rsid w:val="0F76748F"/>
    <w:rsid w:val="0F824F30"/>
    <w:rsid w:val="0F9A112B"/>
    <w:rsid w:val="0F9A13CF"/>
    <w:rsid w:val="0FA0114E"/>
    <w:rsid w:val="0FAB7138"/>
    <w:rsid w:val="0FB87AA7"/>
    <w:rsid w:val="0FC87CEA"/>
    <w:rsid w:val="0FED54E5"/>
    <w:rsid w:val="0FEF4FCB"/>
    <w:rsid w:val="100B00D7"/>
    <w:rsid w:val="101C1DE4"/>
    <w:rsid w:val="104430E9"/>
    <w:rsid w:val="104A6C13"/>
    <w:rsid w:val="105477D0"/>
    <w:rsid w:val="10613C9B"/>
    <w:rsid w:val="106612B1"/>
    <w:rsid w:val="106D2F64"/>
    <w:rsid w:val="107E2BFA"/>
    <w:rsid w:val="10836845"/>
    <w:rsid w:val="10B63710"/>
    <w:rsid w:val="10BE733F"/>
    <w:rsid w:val="10C9546A"/>
    <w:rsid w:val="10DB57FB"/>
    <w:rsid w:val="1102722C"/>
    <w:rsid w:val="111C2F7A"/>
    <w:rsid w:val="111E1B8C"/>
    <w:rsid w:val="113013DE"/>
    <w:rsid w:val="11513D10"/>
    <w:rsid w:val="117874EE"/>
    <w:rsid w:val="117F262B"/>
    <w:rsid w:val="11843FEF"/>
    <w:rsid w:val="11845E93"/>
    <w:rsid w:val="1184614B"/>
    <w:rsid w:val="118B2237"/>
    <w:rsid w:val="119F4A7B"/>
    <w:rsid w:val="11BC1869"/>
    <w:rsid w:val="11C47BB0"/>
    <w:rsid w:val="11F823DD"/>
    <w:rsid w:val="122B06C2"/>
    <w:rsid w:val="1235718D"/>
    <w:rsid w:val="12500FB5"/>
    <w:rsid w:val="12641821"/>
    <w:rsid w:val="12706417"/>
    <w:rsid w:val="12791770"/>
    <w:rsid w:val="12B3439A"/>
    <w:rsid w:val="12BA7692"/>
    <w:rsid w:val="13207E3D"/>
    <w:rsid w:val="132C67E2"/>
    <w:rsid w:val="13345697"/>
    <w:rsid w:val="1340403C"/>
    <w:rsid w:val="13451F37"/>
    <w:rsid w:val="1360330F"/>
    <w:rsid w:val="136715C8"/>
    <w:rsid w:val="1380268A"/>
    <w:rsid w:val="138C39AA"/>
    <w:rsid w:val="13951726"/>
    <w:rsid w:val="13985C26"/>
    <w:rsid w:val="1399374C"/>
    <w:rsid w:val="139C2B86"/>
    <w:rsid w:val="13A12617"/>
    <w:rsid w:val="13C20EF5"/>
    <w:rsid w:val="13EE3A98"/>
    <w:rsid w:val="13F53FEC"/>
    <w:rsid w:val="13FD1F2D"/>
    <w:rsid w:val="13FF7A53"/>
    <w:rsid w:val="14396509"/>
    <w:rsid w:val="143A57E9"/>
    <w:rsid w:val="1447165C"/>
    <w:rsid w:val="146F0270"/>
    <w:rsid w:val="14761DCD"/>
    <w:rsid w:val="14CB3DD9"/>
    <w:rsid w:val="14EB50EC"/>
    <w:rsid w:val="14F776E1"/>
    <w:rsid w:val="15167FF1"/>
    <w:rsid w:val="152F25BA"/>
    <w:rsid w:val="15BB3E4D"/>
    <w:rsid w:val="163D1F3A"/>
    <w:rsid w:val="167A7BF9"/>
    <w:rsid w:val="16924BAE"/>
    <w:rsid w:val="16AD19E8"/>
    <w:rsid w:val="16C60CFC"/>
    <w:rsid w:val="16F94C2D"/>
    <w:rsid w:val="1723434B"/>
    <w:rsid w:val="17457E73"/>
    <w:rsid w:val="17461F8E"/>
    <w:rsid w:val="17512B32"/>
    <w:rsid w:val="176965A2"/>
    <w:rsid w:val="17735226"/>
    <w:rsid w:val="17836BED"/>
    <w:rsid w:val="17966920"/>
    <w:rsid w:val="17BE151B"/>
    <w:rsid w:val="17D31922"/>
    <w:rsid w:val="17D9680D"/>
    <w:rsid w:val="17E21B65"/>
    <w:rsid w:val="17FD24FB"/>
    <w:rsid w:val="18730A0F"/>
    <w:rsid w:val="18972950"/>
    <w:rsid w:val="19127B40"/>
    <w:rsid w:val="19145D4E"/>
    <w:rsid w:val="19445F08"/>
    <w:rsid w:val="19510D51"/>
    <w:rsid w:val="19631A87"/>
    <w:rsid w:val="19687E48"/>
    <w:rsid w:val="19744A3F"/>
    <w:rsid w:val="1977314F"/>
    <w:rsid w:val="198F7DDA"/>
    <w:rsid w:val="19AF2FA5"/>
    <w:rsid w:val="19E03E83"/>
    <w:rsid w:val="19FA7CBC"/>
    <w:rsid w:val="1A176F08"/>
    <w:rsid w:val="1A1C66C0"/>
    <w:rsid w:val="1A216FF4"/>
    <w:rsid w:val="1A42393B"/>
    <w:rsid w:val="1A512FD2"/>
    <w:rsid w:val="1A7C33AB"/>
    <w:rsid w:val="1AA616FE"/>
    <w:rsid w:val="1AE14356"/>
    <w:rsid w:val="1B046F80"/>
    <w:rsid w:val="1B2C0455"/>
    <w:rsid w:val="1B3267B5"/>
    <w:rsid w:val="1B3426D8"/>
    <w:rsid w:val="1B4B7A22"/>
    <w:rsid w:val="1B7156DA"/>
    <w:rsid w:val="1B7A3E63"/>
    <w:rsid w:val="1BA6336D"/>
    <w:rsid w:val="1BB81089"/>
    <w:rsid w:val="1BC25DC8"/>
    <w:rsid w:val="1BE85270"/>
    <w:rsid w:val="1C00080C"/>
    <w:rsid w:val="1C0C0F5F"/>
    <w:rsid w:val="1C1555B5"/>
    <w:rsid w:val="1C5A43C0"/>
    <w:rsid w:val="1C5E7925"/>
    <w:rsid w:val="1C744D56"/>
    <w:rsid w:val="1C84143D"/>
    <w:rsid w:val="1C887FC8"/>
    <w:rsid w:val="1CF17012"/>
    <w:rsid w:val="1D0D31E0"/>
    <w:rsid w:val="1D0E0D07"/>
    <w:rsid w:val="1D4E55A7"/>
    <w:rsid w:val="1D557AE9"/>
    <w:rsid w:val="1D5F1562"/>
    <w:rsid w:val="1D5F6196"/>
    <w:rsid w:val="1D6132A5"/>
    <w:rsid w:val="1D7658FA"/>
    <w:rsid w:val="1D7C0366"/>
    <w:rsid w:val="1D882867"/>
    <w:rsid w:val="1D8E56D5"/>
    <w:rsid w:val="1D975FBE"/>
    <w:rsid w:val="1D9B2313"/>
    <w:rsid w:val="1D9E208B"/>
    <w:rsid w:val="1DB0172A"/>
    <w:rsid w:val="1E0F11DA"/>
    <w:rsid w:val="1E190671"/>
    <w:rsid w:val="1E285DF8"/>
    <w:rsid w:val="1E3423C2"/>
    <w:rsid w:val="1E396257"/>
    <w:rsid w:val="1E3A0AC0"/>
    <w:rsid w:val="1E594203"/>
    <w:rsid w:val="1E744F15"/>
    <w:rsid w:val="1E7A43DA"/>
    <w:rsid w:val="1EA27958"/>
    <w:rsid w:val="1EAA2CB1"/>
    <w:rsid w:val="1EB277FE"/>
    <w:rsid w:val="1EBA7398"/>
    <w:rsid w:val="1ED5405C"/>
    <w:rsid w:val="1EDC730E"/>
    <w:rsid w:val="1EE85F28"/>
    <w:rsid w:val="1F060A31"/>
    <w:rsid w:val="1F0E0875"/>
    <w:rsid w:val="1F180A63"/>
    <w:rsid w:val="1F1F6785"/>
    <w:rsid w:val="1F487665"/>
    <w:rsid w:val="1F5D3E2B"/>
    <w:rsid w:val="1F6D7F66"/>
    <w:rsid w:val="1F7A08D5"/>
    <w:rsid w:val="1F841754"/>
    <w:rsid w:val="1F842044"/>
    <w:rsid w:val="1F8B663F"/>
    <w:rsid w:val="1F9279CD"/>
    <w:rsid w:val="1F9B6047"/>
    <w:rsid w:val="1FB27619"/>
    <w:rsid w:val="1FB7538F"/>
    <w:rsid w:val="1FC41B50"/>
    <w:rsid w:val="1FD955FC"/>
    <w:rsid w:val="1FE65F6B"/>
    <w:rsid w:val="1FE7539E"/>
    <w:rsid w:val="1FEA5C9F"/>
    <w:rsid w:val="20112FE8"/>
    <w:rsid w:val="20531417"/>
    <w:rsid w:val="208318B0"/>
    <w:rsid w:val="209459C7"/>
    <w:rsid w:val="20963CB8"/>
    <w:rsid w:val="20A47B29"/>
    <w:rsid w:val="20AA343C"/>
    <w:rsid w:val="20B07FB6"/>
    <w:rsid w:val="20BF0C96"/>
    <w:rsid w:val="20C813D6"/>
    <w:rsid w:val="20FA319C"/>
    <w:rsid w:val="20FD356C"/>
    <w:rsid w:val="21116C91"/>
    <w:rsid w:val="21154D5A"/>
    <w:rsid w:val="212F6808"/>
    <w:rsid w:val="213A031C"/>
    <w:rsid w:val="213B74B1"/>
    <w:rsid w:val="21417BC3"/>
    <w:rsid w:val="21423675"/>
    <w:rsid w:val="215533A8"/>
    <w:rsid w:val="215A2310"/>
    <w:rsid w:val="215D225D"/>
    <w:rsid w:val="217D44F9"/>
    <w:rsid w:val="217F0425"/>
    <w:rsid w:val="218872DA"/>
    <w:rsid w:val="21B300CF"/>
    <w:rsid w:val="21B449F0"/>
    <w:rsid w:val="21CE6CB6"/>
    <w:rsid w:val="21DE318A"/>
    <w:rsid w:val="21EF5B80"/>
    <w:rsid w:val="21FC0048"/>
    <w:rsid w:val="21FC1A76"/>
    <w:rsid w:val="2205630B"/>
    <w:rsid w:val="22066450"/>
    <w:rsid w:val="22360479"/>
    <w:rsid w:val="22370B39"/>
    <w:rsid w:val="22394A78"/>
    <w:rsid w:val="22511DC1"/>
    <w:rsid w:val="22576990"/>
    <w:rsid w:val="2273689A"/>
    <w:rsid w:val="228D0920"/>
    <w:rsid w:val="22964F49"/>
    <w:rsid w:val="229C4EAB"/>
    <w:rsid w:val="22FA5320"/>
    <w:rsid w:val="23173368"/>
    <w:rsid w:val="23216730"/>
    <w:rsid w:val="234B6811"/>
    <w:rsid w:val="23875BF1"/>
    <w:rsid w:val="23C640E9"/>
    <w:rsid w:val="23DA1247"/>
    <w:rsid w:val="23EA4FD7"/>
    <w:rsid w:val="23F52C20"/>
    <w:rsid w:val="23FF75FB"/>
    <w:rsid w:val="241749DE"/>
    <w:rsid w:val="241E3F05"/>
    <w:rsid w:val="24207C9D"/>
    <w:rsid w:val="24271353"/>
    <w:rsid w:val="24577437"/>
    <w:rsid w:val="245E07C6"/>
    <w:rsid w:val="24966872"/>
    <w:rsid w:val="24AE5664"/>
    <w:rsid w:val="24BC54EC"/>
    <w:rsid w:val="24C04FDC"/>
    <w:rsid w:val="24D8349B"/>
    <w:rsid w:val="24E231A5"/>
    <w:rsid w:val="24E9493A"/>
    <w:rsid w:val="24F74EED"/>
    <w:rsid w:val="24FA6740"/>
    <w:rsid w:val="24FE5BD8"/>
    <w:rsid w:val="2504136D"/>
    <w:rsid w:val="2514176E"/>
    <w:rsid w:val="252D53FE"/>
    <w:rsid w:val="25504BD5"/>
    <w:rsid w:val="256911D0"/>
    <w:rsid w:val="256E67E6"/>
    <w:rsid w:val="258162A8"/>
    <w:rsid w:val="25D627BB"/>
    <w:rsid w:val="25EC2D81"/>
    <w:rsid w:val="261310D6"/>
    <w:rsid w:val="263B7010"/>
    <w:rsid w:val="264528BD"/>
    <w:rsid w:val="26492CC4"/>
    <w:rsid w:val="2666570F"/>
    <w:rsid w:val="2677791D"/>
    <w:rsid w:val="269E2F30"/>
    <w:rsid w:val="26A526DC"/>
    <w:rsid w:val="26A7198C"/>
    <w:rsid w:val="26A821CC"/>
    <w:rsid w:val="26B172D2"/>
    <w:rsid w:val="26B24DF9"/>
    <w:rsid w:val="26C03072"/>
    <w:rsid w:val="26D53F50"/>
    <w:rsid w:val="26DD29EE"/>
    <w:rsid w:val="26E1123A"/>
    <w:rsid w:val="26E50D2A"/>
    <w:rsid w:val="26F176CF"/>
    <w:rsid w:val="27222D49"/>
    <w:rsid w:val="272D447F"/>
    <w:rsid w:val="276E42A5"/>
    <w:rsid w:val="27751E74"/>
    <w:rsid w:val="27930786"/>
    <w:rsid w:val="27BD3A55"/>
    <w:rsid w:val="27D15DD1"/>
    <w:rsid w:val="27D52B4D"/>
    <w:rsid w:val="27D72D69"/>
    <w:rsid w:val="27DA0163"/>
    <w:rsid w:val="27E7349D"/>
    <w:rsid w:val="280312DC"/>
    <w:rsid w:val="28341D7A"/>
    <w:rsid w:val="28425D08"/>
    <w:rsid w:val="285A5748"/>
    <w:rsid w:val="285C501C"/>
    <w:rsid w:val="28661C5E"/>
    <w:rsid w:val="286659B1"/>
    <w:rsid w:val="286F20AE"/>
    <w:rsid w:val="28962517"/>
    <w:rsid w:val="28990440"/>
    <w:rsid w:val="289A5B44"/>
    <w:rsid w:val="289E73E3"/>
    <w:rsid w:val="28A76295"/>
    <w:rsid w:val="28B64014"/>
    <w:rsid w:val="28BE1833"/>
    <w:rsid w:val="28E514B5"/>
    <w:rsid w:val="29206EB8"/>
    <w:rsid w:val="29223789"/>
    <w:rsid w:val="29231FDE"/>
    <w:rsid w:val="292B0388"/>
    <w:rsid w:val="2935022C"/>
    <w:rsid w:val="29804D3A"/>
    <w:rsid w:val="29B63ACC"/>
    <w:rsid w:val="29D137E8"/>
    <w:rsid w:val="29E325E0"/>
    <w:rsid w:val="2A082BA9"/>
    <w:rsid w:val="2A452503"/>
    <w:rsid w:val="2A5561C7"/>
    <w:rsid w:val="2A5563CF"/>
    <w:rsid w:val="2A573CED"/>
    <w:rsid w:val="2A64465C"/>
    <w:rsid w:val="2A670826"/>
    <w:rsid w:val="2A700399"/>
    <w:rsid w:val="2A7A6004"/>
    <w:rsid w:val="2AAE24A7"/>
    <w:rsid w:val="2AB40F49"/>
    <w:rsid w:val="2ACB6489"/>
    <w:rsid w:val="2B082325"/>
    <w:rsid w:val="2B30453E"/>
    <w:rsid w:val="2B471FB3"/>
    <w:rsid w:val="2B4D201E"/>
    <w:rsid w:val="2B603075"/>
    <w:rsid w:val="2B604E23"/>
    <w:rsid w:val="2B61110D"/>
    <w:rsid w:val="2B7663F5"/>
    <w:rsid w:val="2B82151A"/>
    <w:rsid w:val="2B8F0F29"/>
    <w:rsid w:val="2BA936A8"/>
    <w:rsid w:val="2BB46F1D"/>
    <w:rsid w:val="2BD1187D"/>
    <w:rsid w:val="2BE05F64"/>
    <w:rsid w:val="2BEF74F5"/>
    <w:rsid w:val="2C277DD3"/>
    <w:rsid w:val="2C315A5A"/>
    <w:rsid w:val="2C5C286B"/>
    <w:rsid w:val="2C692ABE"/>
    <w:rsid w:val="2C844B41"/>
    <w:rsid w:val="2C884632"/>
    <w:rsid w:val="2C901738"/>
    <w:rsid w:val="2C9034E6"/>
    <w:rsid w:val="2CB76CC5"/>
    <w:rsid w:val="2CBB50A2"/>
    <w:rsid w:val="2D0B348C"/>
    <w:rsid w:val="2D1B6727"/>
    <w:rsid w:val="2D210304"/>
    <w:rsid w:val="2D2A7571"/>
    <w:rsid w:val="2D630BFB"/>
    <w:rsid w:val="2D7E77E3"/>
    <w:rsid w:val="2D8415D6"/>
    <w:rsid w:val="2D9E56F5"/>
    <w:rsid w:val="2DD438A6"/>
    <w:rsid w:val="2DEF06E0"/>
    <w:rsid w:val="2DFA155F"/>
    <w:rsid w:val="2E045F3A"/>
    <w:rsid w:val="2E051CB2"/>
    <w:rsid w:val="2E092B61"/>
    <w:rsid w:val="2E0D77F3"/>
    <w:rsid w:val="2E667F96"/>
    <w:rsid w:val="2E732B82"/>
    <w:rsid w:val="2E8226AB"/>
    <w:rsid w:val="2E9848D4"/>
    <w:rsid w:val="2EE713B8"/>
    <w:rsid w:val="2F083808"/>
    <w:rsid w:val="2F186BF5"/>
    <w:rsid w:val="2F2D3E72"/>
    <w:rsid w:val="2F356A5E"/>
    <w:rsid w:val="2F6F77C8"/>
    <w:rsid w:val="2F832C79"/>
    <w:rsid w:val="2FAC684E"/>
    <w:rsid w:val="2FB77A00"/>
    <w:rsid w:val="2FC574A1"/>
    <w:rsid w:val="2FD14541"/>
    <w:rsid w:val="2FEF2D58"/>
    <w:rsid w:val="2FFA3A98"/>
    <w:rsid w:val="2FFF1A0C"/>
    <w:rsid w:val="3057580E"/>
    <w:rsid w:val="30580BC9"/>
    <w:rsid w:val="308F38AC"/>
    <w:rsid w:val="30B17ECF"/>
    <w:rsid w:val="30BE1F06"/>
    <w:rsid w:val="30C714A1"/>
    <w:rsid w:val="30F009F7"/>
    <w:rsid w:val="310224D9"/>
    <w:rsid w:val="311E2ED7"/>
    <w:rsid w:val="311E5564"/>
    <w:rsid w:val="31271F3F"/>
    <w:rsid w:val="313C59EB"/>
    <w:rsid w:val="3143321D"/>
    <w:rsid w:val="3148438F"/>
    <w:rsid w:val="31505D6B"/>
    <w:rsid w:val="315C449C"/>
    <w:rsid w:val="315F792B"/>
    <w:rsid w:val="31644F41"/>
    <w:rsid w:val="31723B02"/>
    <w:rsid w:val="3180696A"/>
    <w:rsid w:val="318C4BC4"/>
    <w:rsid w:val="31AC0DC2"/>
    <w:rsid w:val="31B82709"/>
    <w:rsid w:val="31C2039C"/>
    <w:rsid w:val="31C559E0"/>
    <w:rsid w:val="31FB58A6"/>
    <w:rsid w:val="32400B34"/>
    <w:rsid w:val="324213FF"/>
    <w:rsid w:val="326773AF"/>
    <w:rsid w:val="326E6078"/>
    <w:rsid w:val="327318E0"/>
    <w:rsid w:val="32837649"/>
    <w:rsid w:val="328870BB"/>
    <w:rsid w:val="329E6876"/>
    <w:rsid w:val="32B83797"/>
    <w:rsid w:val="32CB34CA"/>
    <w:rsid w:val="32EE73AD"/>
    <w:rsid w:val="33182487"/>
    <w:rsid w:val="332A126C"/>
    <w:rsid w:val="33400487"/>
    <w:rsid w:val="3369027D"/>
    <w:rsid w:val="33694A91"/>
    <w:rsid w:val="33705E1F"/>
    <w:rsid w:val="33707BCD"/>
    <w:rsid w:val="33AF4B9A"/>
    <w:rsid w:val="33B568D1"/>
    <w:rsid w:val="33C63F82"/>
    <w:rsid w:val="33CB12A8"/>
    <w:rsid w:val="33CD206F"/>
    <w:rsid w:val="33CF243C"/>
    <w:rsid w:val="33D44600"/>
    <w:rsid w:val="33D934D4"/>
    <w:rsid w:val="33FB7DDF"/>
    <w:rsid w:val="33FE2F6A"/>
    <w:rsid w:val="34034EE6"/>
    <w:rsid w:val="340C5FD9"/>
    <w:rsid w:val="342A06C4"/>
    <w:rsid w:val="343147AA"/>
    <w:rsid w:val="345D372E"/>
    <w:rsid w:val="347B4A7C"/>
    <w:rsid w:val="34873A5C"/>
    <w:rsid w:val="34A04918"/>
    <w:rsid w:val="34AA013A"/>
    <w:rsid w:val="34B14942"/>
    <w:rsid w:val="34CA0497"/>
    <w:rsid w:val="34DA3E98"/>
    <w:rsid w:val="34E46AC5"/>
    <w:rsid w:val="34ED4490"/>
    <w:rsid w:val="35020CF9"/>
    <w:rsid w:val="350727B3"/>
    <w:rsid w:val="35123632"/>
    <w:rsid w:val="3528068E"/>
    <w:rsid w:val="352C3FC8"/>
    <w:rsid w:val="353D7F83"/>
    <w:rsid w:val="357065AB"/>
    <w:rsid w:val="35942299"/>
    <w:rsid w:val="3597647D"/>
    <w:rsid w:val="35A3072E"/>
    <w:rsid w:val="35A40002"/>
    <w:rsid w:val="36027E45"/>
    <w:rsid w:val="36074A7F"/>
    <w:rsid w:val="36160F00"/>
    <w:rsid w:val="361E1B63"/>
    <w:rsid w:val="36413AA3"/>
    <w:rsid w:val="3652180C"/>
    <w:rsid w:val="365C07FE"/>
    <w:rsid w:val="36617FF3"/>
    <w:rsid w:val="366A309E"/>
    <w:rsid w:val="367774C5"/>
    <w:rsid w:val="36923549"/>
    <w:rsid w:val="369A310D"/>
    <w:rsid w:val="36A04C6E"/>
    <w:rsid w:val="36AC6131"/>
    <w:rsid w:val="36B75FBF"/>
    <w:rsid w:val="36C26992"/>
    <w:rsid w:val="36C80C21"/>
    <w:rsid w:val="36EB2C9D"/>
    <w:rsid w:val="36FB4891"/>
    <w:rsid w:val="37115340"/>
    <w:rsid w:val="371371EE"/>
    <w:rsid w:val="37977E1F"/>
    <w:rsid w:val="379A346B"/>
    <w:rsid w:val="37D71CEA"/>
    <w:rsid w:val="37DB610F"/>
    <w:rsid w:val="382660B8"/>
    <w:rsid w:val="382D4708"/>
    <w:rsid w:val="38376F0C"/>
    <w:rsid w:val="384C423F"/>
    <w:rsid w:val="385E093C"/>
    <w:rsid w:val="38685317"/>
    <w:rsid w:val="389326B4"/>
    <w:rsid w:val="38B56F92"/>
    <w:rsid w:val="38C74734"/>
    <w:rsid w:val="38EC419A"/>
    <w:rsid w:val="38F12CD3"/>
    <w:rsid w:val="38F86E3F"/>
    <w:rsid w:val="38F94775"/>
    <w:rsid w:val="391B05DB"/>
    <w:rsid w:val="391F00CC"/>
    <w:rsid w:val="392971ED"/>
    <w:rsid w:val="392E030F"/>
    <w:rsid w:val="39440D68"/>
    <w:rsid w:val="39455E2D"/>
    <w:rsid w:val="39934616"/>
    <w:rsid w:val="39C1682E"/>
    <w:rsid w:val="39D05D48"/>
    <w:rsid w:val="39D17D7D"/>
    <w:rsid w:val="39FE6173"/>
    <w:rsid w:val="3A267238"/>
    <w:rsid w:val="3A4B0FA7"/>
    <w:rsid w:val="3A563FC1"/>
    <w:rsid w:val="3A66415E"/>
    <w:rsid w:val="3A696D1E"/>
    <w:rsid w:val="3A9E741E"/>
    <w:rsid w:val="3ACB57DD"/>
    <w:rsid w:val="3AD249E7"/>
    <w:rsid w:val="3AD73338"/>
    <w:rsid w:val="3ADE2983"/>
    <w:rsid w:val="3AE14AF9"/>
    <w:rsid w:val="3AEB74EB"/>
    <w:rsid w:val="3B081F9A"/>
    <w:rsid w:val="3B1F6C15"/>
    <w:rsid w:val="3B2F036E"/>
    <w:rsid w:val="3B365BA1"/>
    <w:rsid w:val="3B3763D1"/>
    <w:rsid w:val="3B801576"/>
    <w:rsid w:val="3B927A22"/>
    <w:rsid w:val="3BBD6992"/>
    <w:rsid w:val="3BE13D5E"/>
    <w:rsid w:val="3C171239"/>
    <w:rsid w:val="3C4E0CC8"/>
    <w:rsid w:val="3C7D7AB1"/>
    <w:rsid w:val="3C9E2003"/>
    <w:rsid w:val="3CA1620D"/>
    <w:rsid w:val="3CB701F2"/>
    <w:rsid w:val="3CD66B22"/>
    <w:rsid w:val="3CDA245A"/>
    <w:rsid w:val="3CE05DC4"/>
    <w:rsid w:val="3CEE0A37"/>
    <w:rsid w:val="3D17730C"/>
    <w:rsid w:val="3D22462E"/>
    <w:rsid w:val="3D850359"/>
    <w:rsid w:val="3D9077EA"/>
    <w:rsid w:val="3D956BAE"/>
    <w:rsid w:val="3D9B7F3D"/>
    <w:rsid w:val="3D9D5A63"/>
    <w:rsid w:val="3DB070A9"/>
    <w:rsid w:val="3DC6585A"/>
    <w:rsid w:val="3DFD7D18"/>
    <w:rsid w:val="3E1B58A0"/>
    <w:rsid w:val="3E241CE0"/>
    <w:rsid w:val="3E253EAF"/>
    <w:rsid w:val="3E544BA0"/>
    <w:rsid w:val="3E5C591E"/>
    <w:rsid w:val="3EA23C86"/>
    <w:rsid w:val="3EAD7F28"/>
    <w:rsid w:val="3EB150A5"/>
    <w:rsid w:val="3EF435AA"/>
    <w:rsid w:val="3F660E74"/>
    <w:rsid w:val="3F715D86"/>
    <w:rsid w:val="3F852C53"/>
    <w:rsid w:val="3F9341EB"/>
    <w:rsid w:val="3F97003A"/>
    <w:rsid w:val="3F9F0951"/>
    <w:rsid w:val="3FFA59DA"/>
    <w:rsid w:val="400E3852"/>
    <w:rsid w:val="401144E6"/>
    <w:rsid w:val="40477F08"/>
    <w:rsid w:val="40552625"/>
    <w:rsid w:val="40674EB6"/>
    <w:rsid w:val="406D3E12"/>
    <w:rsid w:val="407207DE"/>
    <w:rsid w:val="407A6407"/>
    <w:rsid w:val="409F7D44"/>
    <w:rsid w:val="40CB6D8B"/>
    <w:rsid w:val="40D63294"/>
    <w:rsid w:val="40D93256"/>
    <w:rsid w:val="40E045E4"/>
    <w:rsid w:val="40E40243"/>
    <w:rsid w:val="40E843CA"/>
    <w:rsid w:val="40F7192E"/>
    <w:rsid w:val="40FD375C"/>
    <w:rsid w:val="412D35A2"/>
    <w:rsid w:val="41313AD7"/>
    <w:rsid w:val="415D0C03"/>
    <w:rsid w:val="41905C1D"/>
    <w:rsid w:val="41B64AD1"/>
    <w:rsid w:val="41CD6A80"/>
    <w:rsid w:val="41D90B61"/>
    <w:rsid w:val="41F37EC0"/>
    <w:rsid w:val="42276243"/>
    <w:rsid w:val="42383FAC"/>
    <w:rsid w:val="423A3BCC"/>
    <w:rsid w:val="423F358D"/>
    <w:rsid w:val="424566C9"/>
    <w:rsid w:val="424B3CDF"/>
    <w:rsid w:val="428044C2"/>
    <w:rsid w:val="428216CB"/>
    <w:rsid w:val="4296401C"/>
    <w:rsid w:val="42A94EAA"/>
    <w:rsid w:val="42D00689"/>
    <w:rsid w:val="42ED1DE4"/>
    <w:rsid w:val="433A6FE6"/>
    <w:rsid w:val="433B60C3"/>
    <w:rsid w:val="4350713C"/>
    <w:rsid w:val="436653E0"/>
    <w:rsid w:val="436D3AAE"/>
    <w:rsid w:val="436F7EA2"/>
    <w:rsid w:val="43947AFD"/>
    <w:rsid w:val="43AD2778"/>
    <w:rsid w:val="43D56927"/>
    <w:rsid w:val="43DE0B83"/>
    <w:rsid w:val="43F3462F"/>
    <w:rsid w:val="440E7400"/>
    <w:rsid w:val="44105A2D"/>
    <w:rsid w:val="443D1D4E"/>
    <w:rsid w:val="44512399"/>
    <w:rsid w:val="44531571"/>
    <w:rsid w:val="44A818BD"/>
    <w:rsid w:val="44AE0556"/>
    <w:rsid w:val="44C112A9"/>
    <w:rsid w:val="44C61D43"/>
    <w:rsid w:val="44C96B1C"/>
    <w:rsid w:val="44CD14E0"/>
    <w:rsid w:val="44D728CB"/>
    <w:rsid w:val="44E1092B"/>
    <w:rsid w:val="450308A1"/>
    <w:rsid w:val="451B0B36"/>
    <w:rsid w:val="451B0EA1"/>
    <w:rsid w:val="45236D61"/>
    <w:rsid w:val="455012EC"/>
    <w:rsid w:val="45813EBC"/>
    <w:rsid w:val="458946E9"/>
    <w:rsid w:val="458D2861"/>
    <w:rsid w:val="45CC3389"/>
    <w:rsid w:val="45CF7332"/>
    <w:rsid w:val="45DD1C67"/>
    <w:rsid w:val="4631143E"/>
    <w:rsid w:val="464253F9"/>
    <w:rsid w:val="465C1EE5"/>
    <w:rsid w:val="46613350"/>
    <w:rsid w:val="466A1D54"/>
    <w:rsid w:val="46761EE9"/>
    <w:rsid w:val="46813A0F"/>
    <w:rsid w:val="46A55988"/>
    <w:rsid w:val="46CB7DFC"/>
    <w:rsid w:val="46D55BEB"/>
    <w:rsid w:val="46D955A7"/>
    <w:rsid w:val="470E1780"/>
    <w:rsid w:val="47133957"/>
    <w:rsid w:val="471C16C0"/>
    <w:rsid w:val="473D7EE1"/>
    <w:rsid w:val="4769780F"/>
    <w:rsid w:val="4779329E"/>
    <w:rsid w:val="477B7211"/>
    <w:rsid w:val="478227F3"/>
    <w:rsid w:val="4786450D"/>
    <w:rsid w:val="47A07E0C"/>
    <w:rsid w:val="47AD2506"/>
    <w:rsid w:val="47F72214"/>
    <w:rsid w:val="48147269"/>
    <w:rsid w:val="483376F0"/>
    <w:rsid w:val="483D056E"/>
    <w:rsid w:val="4856518C"/>
    <w:rsid w:val="48671147"/>
    <w:rsid w:val="4870272E"/>
    <w:rsid w:val="487B1097"/>
    <w:rsid w:val="48955123"/>
    <w:rsid w:val="48AA54D8"/>
    <w:rsid w:val="48C4659A"/>
    <w:rsid w:val="48C91E02"/>
    <w:rsid w:val="48DB38E3"/>
    <w:rsid w:val="48EC642D"/>
    <w:rsid w:val="48EE1869"/>
    <w:rsid w:val="490075CF"/>
    <w:rsid w:val="49172B6D"/>
    <w:rsid w:val="49441A41"/>
    <w:rsid w:val="49494CF1"/>
    <w:rsid w:val="494D4F4F"/>
    <w:rsid w:val="49533BAF"/>
    <w:rsid w:val="49543DC1"/>
    <w:rsid w:val="495D70FC"/>
    <w:rsid w:val="4976133E"/>
    <w:rsid w:val="498510AA"/>
    <w:rsid w:val="49995C4B"/>
    <w:rsid w:val="49A62143"/>
    <w:rsid w:val="49B303BC"/>
    <w:rsid w:val="49C8030C"/>
    <w:rsid w:val="49DC7715"/>
    <w:rsid w:val="49EA0282"/>
    <w:rsid w:val="49EA64D4"/>
    <w:rsid w:val="49FD612F"/>
    <w:rsid w:val="4A023139"/>
    <w:rsid w:val="4A1E1CDA"/>
    <w:rsid w:val="4A621FC3"/>
    <w:rsid w:val="4A6E17F6"/>
    <w:rsid w:val="4A7B576F"/>
    <w:rsid w:val="4AA93AED"/>
    <w:rsid w:val="4AB81DF8"/>
    <w:rsid w:val="4ABD5996"/>
    <w:rsid w:val="4ACE3700"/>
    <w:rsid w:val="4ADF3B5F"/>
    <w:rsid w:val="4AF05904"/>
    <w:rsid w:val="4AF07B1A"/>
    <w:rsid w:val="4AFA6952"/>
    <w:rsid w:val="4B0233A9"/>
    <w:rsid w:val="4B0A4FD7"/>
    <w:rsid w:val="4B480542"/>
    <w:rsid w:val="4B536B50"/>
    <w:rsid w:val="4B555BCF"/>
    <w:rsid w:val="4B63653E"/>
    <w:rsid w:val="4B784F16"/>
    <w:rsid w:val="4B7C315C"/>
    <w:rsid w:val="4B871B00"/>
    <w:rsid w:val="4B9E04EF"/>
    <w:rsid w:val="4BD20FCE"/>
    <w:rsid w:val="4BE62CCB"/>
    <w:rsid w:val="4BF32C84"/>
    <w:rsid w:val="4C0D46FC"/>
    <w:rsid w:val="4C4A0649"/>
    <w:rsid w:val="4C5639AD"/>
    <w:rsid w:val="4C661230"/>
    <w:rsid w:val="4CBD3A2C"/>
    <w:rsid w:val="4CCA6149"/>
    <w:rsid w:val="4CE470D3"/>
    <w:rsid w:val="4CE52F83"/>
    <w:rsid w:val="4D020839"/>
    <w:rsid w:val="4D137AF0"/>
    <w:rsid w:val="4D21474F"/>
    <w:rsid w:val="4D87403A"/>
    <w:rsid w:val="4DB839F4"/>
    <w:rsid w:val="4DCC7153"/>
    <w:rsid w:val="4DDF231A"/>
    <w:rsid w:val="4DE81FCA"/>
    <w:rsid w:val="4DEC1465"/>
    <w:rsid w:val="4DEC4FB0"/>
    <w:rsid w:val="4E075D8A"/>
    <w:rsid w:val="4E0D12D9"/>
    <w:rsid w:val="4E151645"/>
    <w:rsid w:val="4E191136"/>
    <w:rsid w:val="4E195013"/>
    <w:rsid w:val="4E255D2C"/>
    <w:rsid w:val="4E353A96"/>
    <w:rsid w:val="4E3E294A"/>
    <w:rsid w:val="4E3F6AB8"/>
    <w:rsid w:val="4E516B22"/>
    <w:rsid w:val="4E611424"/>
    <w:rsid w:val="4E661EA1"/>
    <w:rsid w:val="4EA07161"/>
    <w:rsid w:val="4EBB6874"/>
    <w:rsid w:val="4ECF5C98"/>
    <w:rsid w:val="4ED4505D"/>
    <w:rsid w:val="4ED91947"/>
    <w:rsid w:val="4EE47996"/>
    <w:rsid w:val="4EED140C"/>
    <w:rsid w:val="4F10210E"/>
    <w:rsid w:val="4F1D6A04"/>
    <w:rsid w:val="4F691C49"/>
    <w:rsid w:val="4FA9548F"/>
    <w:rsid w:val="4FAF73E7"/>
    <w:rsid w:val="4FC62A8C"/>
    <w:rsid w:val="4FC85E6F"/>
    <w:rsid w:val="4FD33566"/>
    <w:rsid w:val="4FE20F0D"/>
    <w:rsid w:val="500E6D08"/>
    <w:rsid w:val="50252DEF"/>
    <w:rsid w:val="502D44A7"/>
    <w:rsid w:val="503B69E5"/>
    <w:rsid w:val="50435022"/>
    <w:rsid w:val="50504C4B"/>
    <w:rsid w:val="506C5351"/>
    <w:rsid w:val="5097212F"/>
    <w:rsid w:val="509C6E7C"/>
    <w:rsid w:val="50D94BAC"/>
    <w:rsid w:val="50E517A3"/>
    <w:rsid w:val="51031C29"/>
    <w:rsid w:val="51404C2B"/>
    <w:rsid w:val="51556929"/>
    <w:rsid w:val="5162104E"/>
    <w:rsid w:val="51646B6C"/>
    <w:rsid w:val="5189040D"/>
    <w:rsid w:val="51CC64BF"/>
    <w:rsid w:val="51CD42AC"/>
    <w:rsid w:val="51E3391E"/>
    <w:rsid w:val="52287B99"/>
    <w:rsid w:val="527270F8"/>
    <w:rsid w:val="528F15C5"/>
    <w:rsid w:val="52A6753F"/>
    <w:rsid w:val="52F67EAF"/>
    <w:rsid w:val="52FE4D9E"/>
    <w:rsid w:val="53004672"/>
    <w:rsid w:val="531168D3"/>
    <w:rsid w:val="53270D4B"/>
    <w:rsid w:val="53653760"/>
    <w:rsid w:val="5379560D"/>
    <w:rsid w:val="539B439B"/>
    <w:rsid w:val="53A039CC"/>
    <w:rsid w:val="53A1505A"/>
    <w:rsid w:val="53A92F5C"/>
    <w:rsid w:val="53B813F1"/>
    <w:rsid w:val="53BB4A3D"/>
    <w:rsid w:val="53E9097F"/>
    <w:rsid w:val="53EE096F"/>
    <w:rsid w:val="53F35F85"/>
    <w:rsid w:val="54063E08"/>
    <w:rsid w:val="5408251D"/>
    <w:rsid w:val="54232D0E"/>
    <w:rsid w:val="543437E8"/>
    <w:rsid w:val="543A3BB4"/>
    <w:rsid w:val="544F55AB"/>
    <w:rsid w:val="545D4AA3"/>
    <w:rsid w:val="54890849"/>
    <w:rsid w:val="54A47FBB"/>
    <w:rsid w:val="54D264E2"/>
    <w:rsid w:val="54EC3868"/>
    <w:rsid w:val="54ED6E78"/>
    <w:rsid w:val="54F07249"/>
    <w:rsid w:val="54FC530D"/>
    <w:rsid w:val="551408A9"/>
    <w:rsid w:val="551E3DA6"/>
    <w:rsid w:val="552002EB"/>
    <w:rsid w:val="552567F6"/>
    <w:rsid w:val="553920BD"/>
    <w:rsid w:val="553B5E36"/>
    <w:rsid w:val="554F18E1"/>
    <w:rsid w:val="55770087"/>
    <w:rsid w:val="55835416"/>
    <w:rsid w:val="558F6563"/>
    <w:rsid w:val="559B174B"/>
    <w:rsid w:val="55A06818"/>
    <w:rsid w:val="55B23E8E"/>
    <w:rsid w:val="55CE0CF4"/>
    <w:rsid w:val="55D91343"/>
    <w:rsid w:val="55DC6417"/>
    <w:rsid w:val="55F06C20"/>
    <w:rsid w:val="55FF4361"/>
    <w:rsid w:val="56334D98"/>
    <w:rsid w:val="56466B09"/>
    <w:rsid w:val="566118CC"/>
    <w:rsid w:val="566F46A9"/>
    <w:rsid w:val="567C0C5D"/>
    <w:rsid w:val="56951575"/>
    <w:rsid w:val="56AD68BF"/>
    <w:rsid w:val="56B22A9C"/>
    <w:rsid w:val="56C50CE6"/>
    <w:rsid w:val="56D24578"/>
    <w:rsid w:val="56DD2EFD"/>
    <w:rsid w:val="56DE4CCA"/>
    <w:rsid w:val="57034465"/>
    <w:rsid w:val="5706196A"/>
    <w:rsid w:val="571132F2"/>
    <w:rsid w:val="571B7CCD"/>
    <w:rsid w:val="5728107F"/>
    <w:rsid w:val="573D754B"/>
    <w:rsid w:val="574B1B98"/>
    <w:rsid w:val="578C0FB5"/>
    <w:rsid w:val="57A67CB8"/>
    <w:rsid w:val="57B72A76"/>
    <w:rsid w:val="57BE5D7F"/>
    <w:rsid w:val="57C2639A"/>
    <w:rsid w:val="57DE6F4C"/>
    <w:rsid w:val="580F6751"/>
    <w:rsid w:val="581E7CC2"/>
    <w:rsid w:val="58240E03"/>
    <w:rsid w:val="5848468B"/>
    <w:rsid w:val="584E7C2E"/>
    <w:rsid w:val="585316E8"/>
    <w:rsid w:val="587A0A23"/>
    <w:rsid w:val="5886386C"/>
    <w:rsid w:val="588875E4"/>
    <w:rsid w:val="58B77431"/>
    <w:rsid w:val="58F92290"/>
    <w:rsid w:val="59001CB9"/>
    <w:rsid w:val="5936007D"/>
    <w:rsid w:val="596811C3"/>
    <w:rsid w:val="598E4F31"/>
    <w:rsid w:val="59C60240"/>
    <w:rsid w:val="59CC1752"/>
    <w:rsid w:val="59F42A57"/>
    <w:rsid w:val="5A160C1F"/>
    <w:rsid w:val="5A274BDA"/>
    <w:rsid w:val="5A2B56FD"/>
    <w:rsid w:val="5A3B2434"/>
    <w:rsid w:val="5A3C747D"/>
    <w:rsid w:val="5A4D34B5"/>
    <w:rsid w:val="5A5047C3"/>
    <w:rsid w:val="5A655703"/>
    <w:rsid w:val="5A8042EB"/>
    <w:rsid w:val="5A8A680E"/>
    <w:rsid w:val="5ABE2233"/>
    <w:rsid w:val="5ABF5F72"/>
    <w:rsid w:val="5ADD177D"/>
    <w:rsid w:val="5B150ED7"/>
    <w:rsid w:val="5B276D18"/>
    <w:rsid w:val="5B547C51"/>
    <w:rsid w:val="5B61290C"/>
    <w:rsid w:val="5B6B7D14"/>
    <w:rsid w:val="5B6D486F"/>
    <w:rsid w:val="5B7174A0"/>
    <w:rsid w:val="5B8147BE"/>
    <w:rsid w:val="5B9E7C0F"/>
    <w:rsid w:val="5BAF30D9"/>
    <w:rsid w:val="5BD930EE"/>
    <w:rsid w:val="5BDC4A0B"/>
    <w:rsid w:val="5BDF5D95"/>
    <w:rsid w:val="5C272C70"/>
    <w:rsid w:val="5C2E2250"/>
    <w:rsid w:val="5C444B79"/>
    <w:rsid w:val="5C4750C0"/>
    <w:rsid w:val="5C814A76"/>
    <w:rsid w:val="5C966985"/>
    <w:rsid w:val="5CA949CF"/>
    <w:rsid w:val="5CBA7F88"/>
    <w:rsid w:val="5CD86660"/>
    <w:rsid w:val="5D0F6B14"/>
    <w:rsid w:val="5D153410"/>
    <w:rsid w:val="5D681792"/>
    <w:rsid w:val="5D9B1436"/>
    <w:rsid w:val="5D9C4FA3"/>
    <w:rsid w:val="5DB26D32"/>
    <w:rsid w:val="5DB8291C"/>
    <w:rsid w:val="5DBC76DF"/>
    <w:rsid w:val="5DC170F4"/>
    <w:rsid w:val="5DCB77B3"/>
    <w:rsid w:val="5DEB4E23"/>
    <w:rsid w:val="5DF87A0F"/>
    <w:rsid w:val="5E021BE6"/>
    <w:rsid w:val="5E1D05EB"/>
    <w:rsid w:val="5E2C27BF"/>
    <w:rsid w:val="5E343D6A"/>
    <w:rsid w:val="5E404A40"/>
    <w:rsid w:val="5E404E5C"/>
    <w:rsid w:val="5E525F9E"/>
    <w:rsid w:val="5E767EDE"/>
    <w:rsid w:val="5E7B54F5"/>
    <w:rsid w:val="5E8A398A"/>
    <w:rsid w:val="5EA07923"/>
    <w:rsid w:val="5EA26A51"/>
    <w:rsid w:val="5EC21376"/>
    <w:rsid w:val="5ECE1AC8"/>
    <w:rsid w:val="5ED12307"/>
    <w:rsid w:val="5EDD2E98"/>
    <w:rsid w:val="5F022E20"/>
    <w:rsid w:val="5F02536D"/>
    <w:rsid w:val="5F1A2B43"/>
    <w:rsid w:val="5F1B4938"/>
    <w:rsid w:val="5F1D47FE"/>
    <w:rsid w:val="5F3C7068"/>
    <w:rsid w:val="5F645F89"/>
    <w:rsid w:val="5F946554"/>
    <w:rsid w:val="5F967D7B"/>
    <w:rsid w:val="5FAA6092"/>
    <w:rsid w:val="5FB837BB"/>
    <w:rsid w:val="5FBE4115"/>
    <w:rsid w:val="5FC92290"/>
    <w:rsid w:val="5FD50C35"/>
    <w:rsid w:val="5FE818F2"/>
    <w:rsid w:val="5FED2422"/>
    <w:rsid w:val="6028345A"/>
    <w:rsid w:val="602A2D2E"/>
    <w:rsid w:val="602B432C"/>
    <w:rsid w:val="602C4CF9"/>
    <w:rsid w:val="602F2A3B"/>
    <w:rsid w:val="604C0EF7"/>
    <w:rsid w:val="607849B5"/>
    <w:rsid w:val="60883EF9"/>
    <w:rsid w:val="609E54CA"/>
    <w:rsid w:val="60AC2428"/>
    <w:rsid w:val="60B30F76"/>
    <w:rsid w:val="60B94DE4"/>
    <w:rsid w:val="60C30678"/>
    <w:rsid w:val="60C3622F"/>
    <w:rsid w:val="60D62A1C"/>
    <w:rsid w:val="60DC2F78"/>
    <w:rsid w:val="60E47381"/>
    <w:rsid w:val="60FF065F"/>
    <w:rsid w:val="61067F30"/>
    <w:rsid w:val="610A6658"/>
    <w:rsid w:val="612003CD"/>
    <w:rsid w:val="61500EBB"/>
    <w:rsid w:val="615C33BC"/>
    <w:rsid w:val="616F27A0"/>
    <w:rsid w:val="61722BDF"/>
    <w:rsid w:val="61860438"/>
    <w:rsid w:val="619012B7"/>
    <w:rsid w:val="61AD0E6A"/>
    <w:rsid w:val="61FE400F"/>
    <w:rsid w:val="61FE4473"/>
    <w:rsid w:val="62046C99"/>
    <w:rsid w:val="62162F37"/>
    <w:rsid w:val="6220088D"/>
    <w:rsid w:val="622639C9"/>
    <w:rsid w:val="622C4E7A"/>
    <w:rsid w:val="622F3C7D"/>
    <w:rsid w:val="62364782"/>
    <w:rsid w:val="623C4F9B"/>
    <w:rsid w:val="62546DE6"/>
    <w:rsid w:val="626F11F0"/>
    <w:rsid w:val="627A5E21"/>
    <w:rsid w:val="62C0797A"/>
    <w:rsid w:val="62CE0268"/>
    <w:rsid w:val="62D33B51"/>
    <w:rsid w:val="62E46507"/>
    <w:rsid w:val="62F45876"/>
    <w:rsid w:val="630770D2"/>
    <w:rsid w:val="63085933"/>
    <w:rsid w:val="63100901"/>
    <w:rsid w:val="631D3EE3"/>
    <w:rsid w:val="632A6FAD"/>
    <w:rsid w:val="63304B00"/>
    <w:rsid w:val="633345F0"/>
    <w:rsid w:val="637C1F2D"/>
    <w:rsid w:val="63846BFA"/>
    <w:rsid w:val="63B035B0"/>
    <w:rsid w:val="63BB01EF"/>
    <w:rsid w:val="63BC6393"/>
    <w:rsid w:val="63C40731"/>
    <w:rsid w:val="63D40BE9"/>
    <w:rsid w:val="63E0211F"/>
    <w:rsid w:val="64151F48"/>
    <w:rsid w:val="64290EE7"/>
    <w:rsid w:val="64354398"/>
    <w:rsid w:val="64407D3B"/>
    <w:rsid w:val="644D7933"/>
    <w:rsid w:val="64833FCA"/>
    <w:rsid w:val="64966BE4"/>
    <w:rsid w:val="64BD59AE"/>
    <w:rsid w:val="64CE2822"/>
    <w:rsid w:val="64DA4211"/>
    <w:rsid w:val="64EF079D"/>
    <w:rsid w:val="64F733FB"/>
    <w:rsid w:val="65077AE2"/>
    <w:rsid w:val="650C6EA7"/>
    <w:rsid w:val="65257F68"/>
    <w:rsid w:val="65373578"/>
    <w:rsid w:val="65607882"/>
    <w:rsid w:val="65BA2DA7"/>
    <w:rsid w:val="65CC6636"/>
    <w:rsid w:val="6609788A"/>
    <w:rsid w:val="660F30F2"/>
    <w:rsid w:val="665F3BAB"/>
    <w:rsid w:val="66653458"/>
    <w:rsid w:val="668313EA"/>
    <w:rsid w:val="668C4743"/>
    <w:rsid w:val="668F170D"/>
    <w:rsid w:val="66D87988"/>
    <w:rsid w:val="66DF3E2E"/>
    <w:rsid w:val="66E7011D"/>
    <w:rsid w:val="66F347C2"/>
    <w:rsid w:val="66FB5425"/>
    <w:rsid w:val="67391E53"/>
    <w:rsid w:val="673D4B09"/>
    <w:rsid w:val="673F2C7A"/>
    <w:rsid w:val="675E48FC"/>
    <w:rsid w:val="676F22AF"/>
    <w:rsid w:val="67F00D02"/>
    <w:rsid w:val="67FF2CF3"/>
    <w:rsid w:val="680A3D07"/>
    <w:rsid w:val="681F6961"/>
    <w:rsid w:val="68330BEE"/>
    <w:rsid w:val="68502FE3"/>
    <w:rsid w:val="68610A2F"/>
    <w:rsid w:val="68805514"/>
    <w:rsid w:val="68833652"/>
    <w:rsid w:val="68BC74E5"/>
    <w:rsid w:val="68C04838"/>
    <w:rsid w:val="68F16ADF"/>
    <w:rsid w:val="69126A56"/>
    <w:rsid w:val="69401815"/>
    <w:rsid w:val="694E2071"/>
    <w:rsid w:val="695B0077"/>
    <w:rsid w:val="697A3B33"/>
    <w:rsid w:val="697D38FD"/>
    <w:rsid w:val="69905B64"/>
    <w:rsid w:val="699A2D9C"/>
    <w:rsid w:val="699E2456"/>
    <w:rsid w:val="69A10C02"/>
    <w:rsid w:val="69A223DB"/>
    <w:rsid w:val="69D510D8"/>
    <w:rsid w:val="69D81A4D"/>
    <w:rsid w:val="69F9292B"/>
    <w:rsid w:val="6A0057D5"/>
    <w:rsid w:val="6A061712"/>
    <w:rsid w:val="6A16691F"/>
    <w:rsid w:val="6A9A1E88"/>
    <w:rsid w:val="6AC077D3"/>
    <w:rsid w:val="6AE12DD4"/>
    <w:rsid w:val="6AFF4D38"/>
    <w:rsid w:val="6B0A0146"/>
    <w:rsid w:val="6B322639"/>
    <w:rsid w:val="6B59096C"/>
    <w:rsid w:val="6B842586"/>
    <w:rsid w:val="6B8601A4"/>
    <w:rsid w:val="6B96396E"/>
    <w:rsid w:val="6BD34BC2"/>
    <w:rsid w:val="6BEA55F0"/>
    <w:rsid w:val="6BF2279F"/>
    <w:rsid w:val="6BF32B6E"/>
    <w:rsid w:val="6C3A079D"/>
    <w:rsid w:val="6C4B4758"/>
    <w:rsid w:val="6C6355CA"/>
    <w:rsid w:val="6C636C38"/>
    <w:rsid w:val="6C6D2921"/>
    <w:rsid w:val="6C88141A"/>
    <w:rsid w:val="6CA275DE"/>
    <w:rsid w:val="6CB72DB9"/>
    <w:rsid w:val="6CC0345F"/>
    <w:rsid w:val="6CC60283"/>
    <w:rsid w:val="6CD72490"/>
    <w:rsid w:val="6CDE55CC"/>
    <w:rsid w:val="6D0241A3"/>
    <w:rsid w:val="6D1C60F5"/>
    <w:rsid w:val="6D52740E"/>
    <w:rsid w:val="6D965EA7"/>
    <w:rsid w:val="6D9F5089"/>
    <w:rsid w:val="6DA71FFD"/>
    <w:rsid w:val="6DAC7479"/>
    <w:rsid w:val="6DB34098"/>
    <w:rsid w:val="6DB545B6"/>
    <w:rsid w:val="6DCC18C9"/>
    <w:rsid w:val="6E0C6169"/>
    <w:rsid w:val="6E166FE8"/>
    <w:rsid w:val="6E3F653F"/>
    <w:rsid w:val="6E4375A0"/>
    <w:rsid w:val="6E4C47B8"/>
    <w:rsid w:val="6E514CED"/>
    <w:rsid w:val="6E602FEB"/>
    <w:rsid w:val="6E79491A"/>
    <w:rsid w:val="6E7D0E15"/>
    <w:rsid w:val="6E985C4F"/>
    <w:rsid w:val="6EB45AE1"/>
    <w:rsid w:val="6EB563D5"/>
    <w:rsid w:val="6EB8009F"/>
    <w:rsid w:val="6EDF73DA"/>
    <w:rsid w:val="6EEE3AC1"/>
    <w:rsid w:val="6F176B74"/>
    <w:rsid w:val="6F1C23DC"/>
    <w:rsid w:val="6F225983"/>
    <w:rsid w:val="6F2466CA"/>
    <w:rsid w:val="6F262186"/>
    <w:rsid w:val="6F327E52"/>
    <w:rsid w:val="6F3C3AC3"/>
    <w:rsid w:val="6F3E67F6"/>
    <w:rsid w:val="6F4813FD"/>
    <w:rsid w:val="6F60051B"/>
    <w:rsid w:val="6F636D54"/>
    <w:rsid w:val="6F7E4E45"/>
    <w:rsid w:val="6FBF45D4"/>
    <w:rsid w:val="6FC50CC6"/>
    <w:rsid w:val="6FCA21E0"/>
    <w:rsid w:val="6FDB4045"/>
    <w:rsid w:val="6FE755D2"/>
    <w:rsid w:val="6FEB1562"/>
    <w:rsid w:val="6FED5C73"/>
    <w:rsid w:val="6FF44703"/>
    <w:rsid w:val="6FFC5590"/>
    <w:rsid w:val="70141305"/>
    <w:rsid w:val="70245D81"/>
    <w:rsid w:val="70301DA3"/>
    <w:rsid w:val="706D1DD0"/>
    <w:rsid w:val="7078785C"/>
    <w:rsid w:val="707D334E"/>
    <w:rsid w:val="70856B87"/>
    <w:rsid w:val="70933881"/>
    <w:rsid w:val="70AD3C34"/>
    <w:rsid w:val="70C76E63"/>
    <w:rsid w:val="70D527EE"/>
    <w:rsid w:val="70FE23F0"/>
    <w:rsid w:val="711E68DF"/>
    <w:rsid w:val="71465919"/>
    <w:rsid w:val="715220E5"/>
    <w:rsid w:val="715B5300"/>
    <w:rsid w:val="715F4BD7"/>
    <w:rsid w:val="718E01A3"/>
    <w:rsid w:val="71A60683"/>
    <w:rsid w:val="71A77275"/>
    <w:rsid w:val="71B52674"/>
    <w:rsid w:val="71D27F8A"/>
    <w:rsid w:val="71D64AC4"/>
    <w:rsid w:val="71ED0060"/>
    <w:rsid w:val="71F744C6"/>
    <w:rsid w:val="71F960CF"/>
    <w:rsid w:val="721B4BCD"/>
    <w:rsid w:val="722F2426"/>
    <w:rsid w:val="72A067EA"/>
    <w:rsid w:val="72BB3CBA"/>
    <w:rsid w:val="72D70FCE"/>
    <w:rsid w:val="72F01BB6"/>
    <w:rsid w:val="72FA6ED8"/>
    <w:rsid w:val="72FD0005"/>
    <w:rsid w:val="731F5D5E"/>
    <w:rsid w:val="733B55FA"/>
    <w:rsid w:val="73424B26"/>
    <w:rsid w:val="73565C82"/>
    <w:rsid w:val="736111D0"/>
    <w:rsid w:val="739509AF"/>
    <w:rsid w:val="73B40A19"/>
    <w:rsid w:val="73B5797B"/>
    <w:rsid w:val="73BA58F2"/>
    <w:rsid w:val="73C56011"/>
    <w:rsid w:val="73D96AEE"/>
    <w:rsid w:val="74100FD5"/>
    <w:rsid w:val="741722EA"/>
    <w:rsid w:val="741E793C"/>
    <w:rsid w:val="74367F1C"/>
    <w:rsid w:val="743E2DF5"/>
    <w:rsid w:val="745368A0"/>
    <w:rsid w:val="745443C6"/>
    <w:rsid w:val="745C64E4"/>
    <w:rsid w:val="745D3125"/>
    <w:rsid w:val="74A8778A"/>
    <w:rsid w:val="74D43C38"/>
    <w:rsid w:val="74E162BD"/>
    <w:rsid w:val="74F20C46"/>
    <w:rsid w:val="74FC6F38"/>
    <w:rsid w:val="750D1D7B"/>
    <w:rsid w:val="751A73BE"/>
    <w:rsid w:val="751D3132"/>
    <w:rsid w:val="752E2E69"/>
    <w:rsid w:val="75680129"/>
    <w:rsid w:val="7572236F"/>
    <w:rsid w:val="757D16FB"/>
    <w:rsid w:val="758D75E2"/>
    <w:rsid w:val="75A82C1C"/>
    <w:rsid w:val="75B4336E"/>
    <w:rsid w:val="75C142CF"/>
    <w:rsid w:val="75C22304"/>
    <w:rsid w:val="75DC7658"/>
    <w:rsid w:val="760065B4"/>
    <w:rsid w:val="76055EE2"/>
    <w:rsid w:val="760D2FC2"/>
    <w:rsid w:val="762A587F"/>
    <w:rsid w:val="76452218"/>
    <w:rsid w:val="76674885"/>
    <w:rsid w:val="76BD1291"/>
    <w:rsid w:val="76C92E49"/>
    <w:rsid w:val="76CD220E"/>
    <w:rsid w:val="76DD06A3"/>
    <w:rsid w:val="76F81E53"/>
    <w:rsid w:val="77073972"/>
    <w:rsid w:val="7709593C"/>
    <w:rsid w:val="772207AC"/>
    <w:rsid w:val="77251384"/>
    <w:rsid w:val="773A43A6"/>
    <w:rsid w:val="773D2804"/>
    <w:rsid w:val="77476464"/>
    <w:rsid w:val="776C1A27"/>
    <w:rsid w:val="777033D5"/>
    <w:rsid w:val="77707769"/>
    <w:rsid w:val="77762421"/>
    <w:rsid w:val="77A17922"/>
    <w:rsid w:val="77AD714A"/>
    <w:rsid w:val="77C03C36"/>
    <w:rsid w:val="77DB3019"/>
    <w:rsid w:val="77DE0B76"/>
    <w:rsid w:val="77E80343"/>
    <w:rsid w:val="77E912C9"/>
    <w:rsid w:val="780F09F4"/>
    <w:rsid w:val="78112CFA"/>
    <w:rsid w:val="78252301"/>
    <w:rsid w:val="78267E28"/>
    <w:rsid w:val="78523FC8"/>
    <w:rsid w:val="78697682"/>
    <w:rsid w:val="787212BF"/>
    <w:rsid w:val="78873EC1"/>
    <w:rsid w:val="789C4F47"/>
    <w:rsid w:val="78A27DF6"/>
    <w:rsid w:val="78A90480"/>
    <w:rsid w:val="78B33DB1"/>
    <w:rsid w:val="78B9139F"/>
    <w:rsid w:val="78C87131"/>
    <w:rsid w:val="78E57CE3"/>
    <w:rsid w:val="78FA612B"/>
    <w:rsid w:val="79030169"/>
    <w:rsid w:val="7906574A"/>
    <w:rsid w:val="793842B6"/>
    <w:rsid w:val="795B7FA5"/>
    <w:rsid w:val="797C64A0"/>
    <w:rsid w:val="79811327"/>
    <w:rsid w:val="79973143"/>
    <w:rsid w:val="79BA084C"/>
    <w:rsid w:val="79DC2E94"/>
    <w:rsid w:val="79EB7193"/>
    <w:rsid w:val="7A093FF2"/>
    <w:rsid w:val="7A094544"/>
    <w:rsid w:val="7A364017"/>
    <w:rsid w:val="7A486D1D"/>
    <w:rsid w:val="7A4969E6"/>
    <w:rsid w:val="7A7C01D3"/>
    <w:rsid w:val="7A8265E1"/>
    <w:rsid w:val="7A903C7E"/>
    <w:rsid w:val="7A9B4AFD"/>
    <w:rsid w:val="7AB636E5"/>
    <w:rsid w:val="7AE91D0C"/>
    <w:rsid w:val="7B343CCB"/>
    <w:rsid w:val="7B4C38D7"/>
    <w:rsid w:val="7B656EB9"/>
    <w:rsid w:val="7B686D42"/>
    <w:rsid w:val="7B694BFB"/>
    <w:rsid w:val="7B841746"/>
    <w:rsid w:val="7B91191B"/>
    <w:rsid w:val="7B9C6D7F"/>
    <w:rsid w:val="7BB06386"/>
    <w:rsid w:val="7BD04C7A"/>
    <w:rsid w:val="7BD209F2"/>
    <w:rsid w:val="7BD823A4"/>
    <w:rsid w:val="7BE200D3"/>
    <w:rsid w:val="7C375382"/>
    <w:rsid w:val="7C517942"/>
    <w:rsid w:val="7C611D76"/>
    <w:rsid w:val="7C7D7B93"/>
    <w:rsid w:val="7C8732AD"/>
    <w:rsid w:val="7CAF4890"/>
    <w:rsid w:val="7D012C11"/>
    <w:rsid w:val="7D0239FF"/>
    <w:rsid w:val="7D2E4B27"/>
    <w:rsid w:val="7D366D5F"/>
    <w:rsid w:val="7D4625E5"/>
    <w:rsid w:val="7D5E40CD"/>
    <w:rsid w:val="7D693BED"/>
    <w:rsid w:val="7DAE0FEB"/>
    <w:rsid w:val="7DC600E3"/>
    <w:rsid w:val="7DC82822"/>
    <w:rsid w:val="7DC93E75"/>
    <w:rsid w:val="7DDB1A21"/>
    <w:rsid w:val="7DF542A8"/>
    <w:rsid w:val="7E5B3D19"/>
    <w:rsid w:val="7E6D574C"/>
    <w:rsid w:val="7E722019"/>
    <w:rsid w:val="7E7713DD"/>
    <w:rsid w:val="7E7D055C"/>
    <w:rsid w:val="7E8E6727"/>
    <w:rsid w:val="7E9E4241"/>
    <w:rsid w:val="7EB64559"/>
    <w:rsid w:val="7EC33B5B"/>
    <w:rsid w:val="7EE540FF"/>
    <w:rsid w:val="7EF0111F"/>
    <w:rsid w:val="7F0F7867"/>
    <w:rsid w:val="7F6531DB"/>
    <w:rsid w:val="7F7B6EB5"/>
    <w:rsid w:val="7F802D81"/>
    <w:rsid w:val="7F9B10FB"/>
    <w:rsid w:val="7FA426A6"/>
    <w:rsid w:val="7FB421BD"/>
    <w:rsid w:val="7FB56661"/>
    <w:rsid w:val="7FC44AF6"/>
    <w:rsid w:val="7FCD74F5"/>
    <w:rsid w:val="7FD665D7"/>
    <w:rsid w:val="7FDF548C"/>
    <w:rsid w:val="7FE27212"/>
    <w:rsid w:val="7FE47E50"/>
    <w:rsid w:val="7FE9455C"/>
    <w:rsid w:val="7FE9630A"/>
    <w:rsid w:val="7FF13411"/>
    <w:rsid w:val="7FF37189"/>
    <w:rsid w:val="7FF85F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ocked="1"/>
    <w:lsdException w:qFormat="1" w:unhideWhenUsed="0" w:uiPriority="0" w:semiHidden="0" w:name="heading 3" w:locked="1"/>
    <w:lsdException w:qFormat="1" w:unhideWhenUsed="0" w:uiPriority="1"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99"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ocked="1"/>
    <w:lsdException w:qFormat="1"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ocked="1"/>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ocked="1"/>
    <w:lsdException w:unhideWhenUsed="0" w:uiPriority="0" w:semiHidden="0" w:name="Salutation"/>
    <w:lsdException w:qFormat="1" w:unhideWhenUsed="0" w:uiPriority="0" w:semiHidden="0" w:name="Date"/>
    <w:lsdException w:qFormat="1"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ocked="1"/>
    <w:lsdException w:qFormat="1" w:unhideWhenUsed="0" w:uiPriority="0" w:semiHidden="0" w:name="Emphasis" w:locked="1"/>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Calibri"/>
      <w:kern w:val="2"/>
      <w:sz w:val="21"/>
      <w:szCs w:val="24"/>
      <w:lang w:val="en-US" w:eastAsia="zh-CN" w:bidi="ar-SA"/>
    </w:rPr>
  </w:style>
  <w:style w:type="paragraph" w:styleId="3">
    <w:name w:val="heading 1"/>
    <w:basedOn w:val="1"/>
    <w:next w:val="1"/>
    <w:qFormat/>
    <w:uiPriority w:val="0"/>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4">
    <w:name w:val="heading 2"/>
    <w:basedOn w:val="1"/>
    <w:next w:val="1"/>
    <w:link w:val="49"/>
    <w:qFormat/>
    <w:locked/>
    <w:uiPriority w:val="0"/>
    <w:pPr>
      <w:keepNext/>
      <w:keepLines/>
      <w:spacing w:before="260" w:after="260" w:line="416" w:lineRule="auto"/>
      <w:outlineLvl w:val="1"/>
    </w:pPr>
    <w:rPr>
      <w:rFonts w:ascii="等线 Light" w:hAnsi="等线 Light" w:eastAsia="等线 Light" w:cs="Times New Roman"/>
      <w:b/>
      <w:bCs/>
      <w:sz w:val="32"/>
      <w:szCs w:val="32"/>
    </w:rPr>
  </w:style>
  <w:style w:type="paragraph" w:styleId="5">
    <w:name w:val="heading 3"/>
    <w:basedOn w:val="1"/>
    <w:next w:val="1"/>
    <w:link w:val="50"/>
    <w:qFormat/>
    <w:locked/>
    <w:uiPriority w:val="0"/>
    <w:pPr>
      <w:keepNext/>
      <w:keepLines/>
      <w:spacing w:before="260" w:after="260" w:line="416" w:lineRule="auto"/>
      <w:outlineLvl w:val="2"/>
    </w:pPr>
    <w:rPr>
      <w:b/>
      <w:bCs/>
      <w:sz w:val="32"/>
      <w:szCs w:val="32"/>
    </w:rPr>
  </w:style>
  <w:style w:type="paragraph" w:styleId="6">
    <w:name w:val="heading 4"/>
    <w:basedOn w:val="1"/>
    <w:next w:val="1"/>
    <w:qFormat/>
    <w:locked/>
    <w:uiPriority w:val="1"/>
    <w:pPr>
      <w:ind w:left="100"/>
      <w:outlineLvl w:val="3"/>
    </w:pPr>
    <w:rPr>
      <w:rFonts w:ascii="宋体" w:hAnsi="宋体" w:cs="宋体"/>
      <w:sz w:val="28"/>
      <w:szCs w:val="28"/>
    </w:rPr>
  </w:style>
  <w:style w:type="paragraph" w:styleId="7">
    <w:name w:val="heading 5"/>
    <w:basedOn w:val="1"/>
    <w:next w:val="1"/>
    <w:link w:val="136"/>
    <w:semiHidden/>
    <w:unhideWhenUsed/>
    <w:qFormat/>
    <w:locked/>
    <w:uiPriority w:val="0"/>
    <w:pPr>
      <w:keepNext/>
      <w:keepLines/>
      <w:spacing w:before="280" w:after="290" w:line="376" w:lineRule="auto"/>
      <w:outlineLvl w:val="4"/>
    </w:pPr>
    <w:rPr>
      <w:b/>
      <w:bCs/>
      <w:sz w:val="28"/>
      <w:szCs w:val="28"/>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57"/>
    <w:qFormat/>
    <w:uiPriority w:val="0"/>
    <w:pPr>
      <w:widowControl/>
      <w:snapToGrid w:val="0"/>
      <w:spacing w:before="60" w:after="160" w:line="259" w:lineRule="auto"/>
      <w:ind w:right="113"/>
    </w:pPr>
    <w:rPr>
      <w:kern w:val="0"/>
      <w:sz w:val="18"/>
      <w:szCs w:val="18"/>
    </w:rPr>
  </w:style>
  <w:style w:type="paragraph" w:styleId="8">
    <w:name w:val="Normal Indent"/>
    <w:basedOn w:val="1"/>
    <w:next w:val="1"/>
    <w:link w:val="54"/>
    <w:qFormat/>
    <w:uiPriority w:val="99"/>
    <w:pPr>
      <w:spacing w:line="600" w:lineRule="exact"/>
      <w:ind w:firstLine="420"/>
    </w:pPr>
    <w:rPr>
      <w:rFonts w:ascii="宋体"/>
      <w:sz w:val="32"/>
      <w:szCs w:val="20"/>
    </w:rPr>
  </w:style>
  <w:style w:type="paragraph" w:styleId="9">
    <w:name w:val="caption"/>
    <w:basedOn w:val="1"/>
    <w:next w:val="1"/>
    <w:qFormat/>
    <w:locked/>
    <w:uiPriority w:val="0"/>
    <w:rPr>
      <w:rFonts w:ascii="Cambria" w:hAnsi="Cambria" w:eastAsia="黑体" w:cs="Times New Roman"/>
      <w:sz w:val="20"/>
      <w:szCs w:val="20"/>
    </w:rPr>
  </w:style>
  <w:style w:type="paragraph" w:styleId="10">
    <w:name w:val="annotation text"/>
    <w:basedOn w:val="1"/>
    <w:link w:val="60"/>
    <w:semiHidden/>
    <w:qFormat/>
    <w:uiPriority w:val="0"/>
    <w:pPr>
      <w:jc w:val="left"/>
    </w:pPr>
    <w:rPr>
      <w:kern w:val="0"/>
      <w:sz w:val="20"/>
    </w:rPr>
  </w:style>
  <w:style w:type="paragraph" w:styleId="11">
    <w:name w:val="Body Text Indent"/>
    <w:basedOn w:val="1"/>
    <w:link w:val="59"/>
    <w:semiHidden/>
    <w:qFormat/>
    <w:uiPriority w:val="0"/>
    <w:pPr>
      <w:spacing w:after="120"/>
      <w:ind w:left="420" w:leftChars="200"/>
    </w:pPr>
  </w:style>
  <w:style w:type="paragraph" w:styleId="12">
    <w:name w:val="List 2"/>
    <w:basedOn w:val="1"/>
    <w:qFormat/>
    <w:uiPriority w:val="0"/>
    <w:pPr>
      <w:spacing w:line="240" w:lineRule="auto"/>
      <w:jc w:val="center"/>
    </w:pPr>
    <w:rPr>
      <w:kern w:val="2"/>
      <w:sz w:val="21"/>
      <w:szCs w:val="20"/>
    </w:rPr>
  </w:style>
  <w:style w:type="paragraph" w:styleId="13">
    <w:name w:val="Plain Text"/>
    <w:basedOn w:val="1"/>
    <w:next w:val="1"/>
    <w:link w:val="75"/>
    <w:qFormat/>
    <w:uiPriority w:val="99"/>
    <w:rPr>
      <w:rFonts w:ascii="宋体" w:hAnsi="Courier New"/>
      <w:szCs w:val="20"/>
    </w:rPr>
  </w:style>
  <w:style w:type="paragraph" w:styleId="14">
    <w:name w:val="List Bullet 5"/>
    <w:basedOn w:val="1"/>
    <w:qFormat/>
    <w:uiPriority w:val="0"/>
    <w:pPr>
      <w:numPr>
        <w:ilvl w:val="0"/>
        <w:numId w:val="1"/>
      </w:numPr>
    </w:pPr>
  </w:style>
  <w:style w:type="paragraph" w:styleId="15">
    <w:name w:val="Date"/>
    <w:basedOn w:val="1"/>
    <w:next w:val="1"/>
    <w:link w:val="58"/>
    <w:qFormat/>
    <w:uiPriority w:val="0"/>
    <w:pPr>
      <w:ind w:left="100" w:leftChars="2500"/>
    </w:pPr>
    <w:rPr>
      <w:kern w:val="0"/>
      <w:sz w:val="20"/>
    </w:rPr>
  </w:style>
  <w:style w:type="paragraph" w:styleId="16">
    <w:name w:val="Body Text Indent 2"/>
    <w:basedOn w:val="1"/>
    <w:link w:val="138"/>
    <w:qFormat/>
    <w:uiPriority w:val="0"/>
    <w:pPr>
      <w:spacing w:after="120" w:line="480" w:lineRule="auto"/>
      <w:ind w:left="420" w:leftChars="200"/>
    </w:pPr>
  </w:style>
  <w:style w:type="paragraph" w:styleId="17">
    <w:name w:val="Balloon Text"/>
    <w:basedOn w:val="1"/>
    <w:link w:val="51"/>
    <w:semiHidden/>
    <w:qFormat/>
    <w:uiPriority w:val="0"/>
    <w:rPr>
      <w:sz w:val="18"/>
      <w:szCs w:val="18"/>
    </w:rPr>
  </w:style>
  <w:style w:type="paragraph" w:styleId="18">
    <w:name w:val="footer"/>
    <w:basedOn w:val="1"/>
    <w:link w:val="48"/>
    <w:qFormat/>
    <w:uiPriority w:val="0"/>
    <w:pPr>
      <w:tabs>
        <w:tab w:val="center" w:pos="4153"/>
        <w:tab w:val="right" w:pos="8306"/>
      </w:tabs>
      <w:snapToGrid w:val="0"/>
      <w:jc w:val="left"/>
    </w:pPr>
    <w:rPr>
      <w:sz w:val="18"/>
      <w:szCs w:val="18"/>
    </w:rPr>
  </w:style>
  <w:style w:type="paragraph" w:styleId="19">
    <w:name w:val="header"/>
    <w:basedOn w:val="1"/>
    <w:next w:val="20"/>
    <w:link w:val="62"/>
    <w:qFormat/>
    <w:uiPriority w:val="0"/>
    <w:pPr>
      <w:pBdr>
        <w:bottom w:val="single" w:color="auto" w:sz="6" w:space="1"/>
      </w:pBdr>
      <w:tabs>
        <w:tab w:val="center" w:pos="4153"/>
        <w:tab w:val="right" w:pos="8306"/>
      </w:tabs>
      <w:snapToGrid w:val="0"/>
      <w:jc w:val="center"/>
    </w:pPr>
    <w:rPr>
      <w:sz w:val="18"/>
      <w:szCs w:val="18"/>
    </w:rPr>
  </w:style>
  <w:style w:type="paragraph" w:customStyle="1" w:styleId="20">
    <w:name w:val="样式5"/>
    <w:basedOn w:val="21"/>
    <w:qFormat/>
    <w:uiPriority w:val="0"/>
    <w:pPr>
      <w:tabs>
        <w:tab w:val="left" w:pos="720"/>
      </w:tabs>
      <w:ind w:firstLine="0"/>
      <w:jc w:val="center"/>
    </w:pPr>
    <w:rPr>
      <w:rFonts w:ascii="黑体" w:hAnsi="黑体" w:eastAsia="黑体" w:cs="黑体"/>
      <w:sz w:val="28"/>
      <w:szCs w:val="30"/>
    </w:rPr>
  </w:style>
  <w:style w:type="paragraph" w:customStyle="1" w:styleId="21">
    <w:name w:val="正文1"/>
    <w:basedOn w:val="2"/>
    <w:next w:val="1"/>
    <w:qFormat/>
    <w:uiPriority w:val="0"/>
    <w:pPr>
      <w:jc w:val="both"/>
    </w:pPr>
    <w:rPr>
      <w:rFonts w:ascii="宋体" w:hAnsi="宋体" w:eastAsia="宋体" w:cs="宋体"/>
      <w:kern w:val="2"/>
      <w:sz w:val="21"/>
      <w:szCs w:val="21"/>
      <w:lang w:val="en-US" w:eastAsia="zh-CN" w:bidi="ar-SA"/>
    </w:rPr>
  </w:style>
  <w:style w:type="paragraph" w:styleId="22">
    <w:name w:val="index heading"/>
    <w:basedOn w:val="1"/>
    <w:next w:val="23"/>
    <w:qFormat/>
    <w:uiPriority w:val="0"/>
    <w:rPr>
      <w:szCs w:val="20"/>
    </w:rPr>
  </w:style>
  <w:style w:type="paragraph" w:styleId="23">
    <w:name w:val="index 1"/>
    <w:basedOn w:val="1"/>
    <w:next w:val="1"/>
    <w:qFormat/>
    <w:uiPriority w:val="0"/>
    <w:pPr>
      <w:spacing w:line="320" w:lineRule="exact"/>
      <w:jc w:val="center"/>
    </w:pPr>
    <w:rPr>
      <w:color w:val="000000"/>
      <w:szCs w:val="21"/>
    </w:rPr>
  </w:style>
  <w:style w:type="paragraph" w:styleId="24">
    <w:name w:val="List"/>
    <w:basedOn w:val="1"/>
    <w:qFormat/>
    <w:uiPriority w:val="0"/>
    <w:pPr>
      <w:ind w:left="200" w:hanging="200" w:hangingChars="200"/>
    </w:pPr>
  </w:style>
  <w:style w:type="paragraph" w:styleId="25">
    <w:name w:val="Body Text Indent 3"/>
    <w:basedOn w:val="1"/>
    <w:link w:val="101"/>
    <w:qFormat/>
    <w:uiPriority w:val="0"/>
    <w:pPr>
      <w:spacing w:after="120"/>
      <w:ind w:left="420" w:leftChars="200"/>
    </w:pPr>
    <w:rPr>
      <w:rFonts w:cs="Times New Roman"/>
      <w:sz w:val="16"/>
      <w:szCs w:val="16"/>
    </w:rPr>
  </w:style>
  <w:style w:type="paragraph" w:styleId="26">
    <w:name w:val="table of figures"/>
    <w:basedOn w:val="1"/>
    <w:next w:val="1"/>
    <w:qFormat/>
    <w:uiPriority w:val="0"/>
    <w:pPr>
      <w:spacing w:line="240" w:lineRule="auto"/>
      <w:ind w:firstLine="0" w:firstLineChars="0"/>
      <w:jc w:val="center"/>
    </w:pPr>
    <w:rPr>
      <w:rFonts w:ascii="Times New Roman" w:hAnsi="Times New Roman" w:eastAsia="宋体"/>
      <w:b/>
      <w:color w:val="000000"/>
      <w:spacing w:val="-4"/>
    </w:rPr>
  </w:style>
  <w:style w:type="paragraph" w:styleId="27">
    <w:name w:val="Body Text 2"/>
    <w:basedOn w:val="1"/>
    <w:next w:val="1"/>
    <w:qFormat/>
    <w:uiPriority w:val="0"/>
    <w:pPr>
      <w:spacing w:after="120" w:line="480" w:lineRule="auto"/>
    </w:pPr>
  </w:style>
  <w:style w:type="paragraph" w:styleId="28">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29">
    <w:name w:val="Normal (Web)"/>
    <w:basedOn w:val="1"/>
    <w:link w:val="63"/>
    <w:qFormat/>
    <w:uiPriority w:val="99"/>
    <w:pPr>
      <w:widowControl/>
      <w:spacing w:before="100" w:beforeAutospacing="1" w:after="100" w:afterAutospacing="1"/>
      <w:jc w:val="left"/>
    </w:pPr>
    <w:rPr>
      <w:rFonts w:ascii="宋体" w:hAnsi="宋体"/>
      <w:kern w:val="0"/>
      <w:sz w:val="24"/>
    </w:rPr>
  </w:style>
  <w:style w:type="paragraph" w:styleId="30">
    <w:name w:val="Title"/>
    <w:basedOn w:val="1"/>
    <w:qFormat/>
    <w:locked/>
    <w:uiPriority w:val="0"/>
    <w:pPr>
      <w:spacing w:before="240" w:after="60"/>
      <w:jc w:val="center"/>
    </w:pPr>
    <w:rPr>
      <w:rFonts w:ascii="Arial" w:hAnsi="Arial"/>
      <w:b/>
      <w:bCs/>
      <w:snapToGrid/>
      <w:kern w:val="2"/>
      <w:sz w:val="32"/>
      <w:szCs w:val="32"/>
      <w:lang w:val="zh-CN"/>
    </w:rPr>
  </w:style>
  <w:style w:type="paragraph" w:styleId="31">
    <w:name w:val="annotation subject"/>
    <w:basedOn w:val="10"/>
    <w:next w:val="10"/>
    <w:link w:val="69"/>
    <w:semiHidden/>
    <w:qFormat/>
    <w:uiPriority w:val="0"/>
    <w:rPr>
      <w:b/>
      <w:bCs/>
    </w:rPr>
  </w:style>
  <w:style w:type="paragraph" w:styleId="32">
    <w:name w:val="Body Text First Indent"/>
    <w:basedOn w:val="2"/>
    <w:unhideWhenUsed/>
    <w:qFormat/>
    <w:uiPriority w:val="0"/>
    <w:pPr>
      <w:spacing w:after="0"/>
      <w:ind w:firstLine="200"/>
    </w:pPr>
    <w:rPr>
      <w:rFonts w:ascii="Times New Roman" w:hAnsi="Times New Roman"/>
      <w:sz w:val="24"/>
    </w:rPr>
  </w:style>
  <w:style w:type="paragraph" w:styleId="33">
    <w:name w:val="Body Text First Indent 2"/>
    <w:basedOn w:val="11"/>
    <w:link w:val="111"/>
    <w:qFormat/>
    <w:uiPriority w:val="0"/>
    <w:pPr>
      <w:ind w:firstLine="420" w:firstLineChars="200"/>
    </w:pPr>
  </w:style>
  <w:style w:type="table" w:styleId="35">
    <w:name w:val="Table Grid"/>
    <w:basedOn w:val="34"/>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7">
    <w:name w:val="Strong"/>
    <w:basedOn w:val="36"/>
    <w:qFormat/>
    <w:locked/>
    <w:uiPriority w:val="0"/>
    <w:rPr>
      <w:b/>
    </w:rPr>
  </w:style>
  <w:style w:type="character" w:styleId="38">
    <w:name w:val="page number"/>
    <w:basedOn w:val="36"/>
    <w:qFormat/>
    <w:uiPriority w:val="0"/>
  </w:style>
  <w:style w:type="character" w:styleId="39">
    <w:name w:val="Emphasis"/>
    <w:basedOn w:val="36"/>
    <w:qFormat/>
    <w:locked/>
    <w:uiPriority w:val="0"/>
  </w:style>
  <w:style w:type="character" w:styleId="40">
    <w:name w:val="Hyperlink"/>
    <w:basedOn w:val="36"/>
    <w:unhideWhenUsed/>
    <w:qFormat/>
    <w:uiPriority w:val="99"/>
    <w:rPr>
      <w:color w:val="0000FF"/>
      <w:u w:val="single"/>
    </w:rPr>
  </w:style>
  <w:style w:type="character" w:styleId="41">
    <w:name w:val="annotation reference"/>
    <w:semiHidden/>
    <w:qFormat/>
    <w:uiPriority w:val="0"/>
    <w:rPr>
      <w:sz w:val="21"/>
    </w:rPr>
  </w:style>
  <w:style w:type="paragraph" w:customStyle="1" w:styleId="42">
    <w:name w:val="Default"/>
    <w:basedOn w:val="43"/>
    <w:next w:val="1"/>
    <w:qFormat/>
    <w:uiPriority w:val="0"/>
    <w:pPr>
      <w:widowControl w:val="0"/>
      <w:autoSpaceDE w:val="0"/>
      <w:autoSpaceDN w:val="0"/>
      <w:adjustRightInd w:val="0"/>
    </w:pPr>
    <w:rPr>
      <w:rFonts w:ascii="宋体" w:hAnsi="宋体" w:eastAsia="Calibri" w:cs="宋体"/>
      <w:color w:val="000000"/>
      <w:sz w:val="24"/>
      <w:szCs w:val="24"/>
      <w:lang w:val="en-US" w:eastAsia="zh-CN" w:bidi="ar-SA"/>
    </w:rPr>
  </w:style>
  <w:style w:type="paragraph" w:customStyle="1" w:styleId="43">
    <w:name w:val="1 表头"/>
    <w:basedOn w:val="1"/>
    <w:unhideWhenUsed/>
    <w:qFormat/>
    <w:uiPriority w:val="0"/>
    <w:pPr>
      <w:adjustRightInd w:val="0"/>
      <w:snapToGrid w:val="0"/>
      <w:jc w:val="center"/>
    </w:pPr>
    <w:rPr>
      <w:b/>
      <w:color w:val="000000"/>
      <w:sz w:val="21"/>
      <w:szCs w:val="21"/>
    </w:rPr>
  </w:style>
  <w:style w:type="paragraph" w:customStyle="1" w:styleId="44">
    <w:name w:val="表格"/>
    <w:basedOn w:val="26"/>
    <w:next w:val="1"/>
    <w:link w:val="64"/>
    <w:qFormat/>
    <w:uiPriority w:val="0"/>
    <w:pPr>
      <w:adjustRightInd w:val="0"/>
      <w:snapToGrid w:val="0"/>
      <w:spacing w:beforeLines="10" w:afterLines="10" w:line="259" w:lineRule="auto"/>
      <w:jc w:val="center"/>
    </w:pPr>
    <w:rPr>
      <w:rFonts w:ascii="宋体"/>
      <w:kern w:val="0"/>
      <w:sz w:val="20"/>
      <w:szCs w:val="21"/>
    </w:rPr>
  </w:style>
  <w:style w:type="paragraph" w:customStyle="1" w:styleId="45">
    <w:name w:val="图框文字"/>
    <w:basedOn w:val="1"/>
    <w:qFormat/>
    <w:uiPriority w:val="0"/>
    <w:pPr>
      <w:jc w:val="center"/>
      <w:textAlignment w:val="center"/>
    </w:pPr>
  </w:style>
  <w:style w:type="paragraph" w:customStyle="1" w:styleId="46">
    <w:name w:val="纯文本1"/>
    <w:basedOn w:val="1"/>
    <w:qFormat/>
    <w:uiPriority w:val="0"/>
    <w:pPr>
      <w:adjustRightInd w:val="0"/>
    </w:pPr>
    <w:rPr>
      <w:rFonts w:ascii="宋体" w:hAnsi="Courier New"/>
      <w:szCs w:val="20"/>
    </w:rPr>
  </w:style>
  <w:style w:type="paragraph" w:customStyle="1" w:styleId="47">
    <w:name w:val="Char"/>
    <w:qFormat/>
    <w:uiPriority w:val="0"/>
    <w:pPr>
      <w:widowControl w:val="0"/>
      <w:overflowPunct w:val="0"/>
      <w:snapToGrid w:val="0"/>
      <w:spacing w:line="360" w:lineRule="auto"/>
      <w:ind w:firstLine="480" w:firstLineChars="200"/>
    </w:pPr>
    <w:rPr>
      <w:rFonts w:ascii="仿宋_GB2312" w:hAnsi="宋体" w:eastAsia="仿宋_GB2312" w:cs="Times New Roman"/>
      <w:snapToGrid w:val="0"/>
      <w:sz w:val="24"/>
      <w:szCs w:val="24"/>
      <w:lang w:val="en-US" w:eastAsia="zh-CN" w:bidi="ar-SA"/>
    </w:rPr>
  </w:style>
  <w:style w:type="character" w:customStyle="1" w:styleId="48">
    <w:name w:val="页脚 Char"/>
    <w:link w:val="18"/>
    <w:qFormat/>
    <w:locked/>
    <w:uiPriority w:val="0"/>
    <w:rPr>
      <w:rFonts w:cs="Times New Roman"/>
      <w:sz w:val="18"/>
      <w:szCs w:val="18"/>
    </w:rPr>
  </w:style>
  <w:style w:type="character" w:customStyle="1" w:styleId="49">
    <w:name w:val="标题 2 Char"/>
    <w:link w:val="4"/>
    <w:semiHidden/>
    <w:qFormat/>
    <w:uiPriority w:val="0"/>
    <w:rPr>
      <w:rFonts w:ascii="等线 Light" w:hAnsi="等线 Light" w:eastAsia="等线 Light" w:cs="Times New Roman"/>
      <w:b/>
      <w:bCs/>
      <w:kern w:val="2"/>
      <w:sz w:val="32"/>
      <w:szCs w:val="32"/>
    </w:rPr>
  </w:style>
  <w:style w:type="character" w:customStyle="1" w:styleId="50">
    <w:name w:val="标题 3 Char"/>
    <w:link w:val="5"/>
    <w:qFormat/>
    <w:uiPriority w:val="0"/>
    <w:rPr>
      <w:b/>
      <w:bCs/>
      <w:kern w:val="2"/>
      <w:sz w:val="32"/>
      <w:szCs w:val="32"/>
    </w:rPr>
  </w:style>
  <w:style w:type="character" w:customStyle="1" w:styleId="51">
    <w:name w:val="批注框文本 Char"/>
    <w:link w:val="17"/>
    <w:semiHidden/>
    <w:qFormat/>
    <w:locked/>
    <w:uiPriority w:val="0"/>
    <w:rPr>
      <w:rFonts w:ascii="Times New Roman" w:hAnsi="Times New Roman" w:eastAsia="宋体" w:cs="Times New Roman"/>
      <w:sz w:val="18"/>
      <w:szCs w:val="18"/>
    </w:rPr>
  </w:style>
  <w:style w:type="character" w:customStyle="1" w:styleId="52">
    <w:name w:val="表格文字 Char"/>
    <w:link w:val="53"/>
    <w:qFormat/>
    <w:uiPriority w:val="0"/>
    <w:rPr>
      <w:rFonts w:ascii="Times New Roman" w:hAnsi="Times New Roman"/>
      <w:kern w:val="24"/>
      <w:sz w:val="24"/>
    </w:rPr>
  </w:style>
  <w:style w:type="paragraph" w:customStyle="1" w:styleId="53">
    <w:name w:val="表格文字"/>
    <w:basedOn w:val="1"/>
    <w:link w:val="52"/>
    <w:qFormat/>
    <w:uiPriority w:val="0"/>
    <w:pPr>
      <w:adjustRightInd w:val="0"/>
      <w:spacing w:line="400" w:lineRule="atLeast"/>
      <w:jc w:val="center"/>
    </w:pPr>
    <w:rPr>
      <w:rFonts w:ascii="Times New Roman" w:hAnsi="Times New Roman"/>
      <w:kern w:val="24"/>
      <w:sz w:val="24"/>
      <w:szCs w:val="20"/>
    </w:rPr>
  </w:style>
  <w:style w:type="character" w:customStyle="1" w:styleId="54">
    <w:name w:val="正文缩进 Char"/>
    <w:link w:val="8"/>
    <w:qFormat/>
    <w:uiPriority w:val="0"/>
    <w:rPr>
      <w:rFonts w:ascii="宋体"/>
      <w:kern w:val="2"/>
      <w:sz w:val="32"/>
    </w:rPr>
  </w:style>
  <w:style w:type="character" w:customStyle="1" w:styleId="55">
    <w:name w:val="font11"/>
    <w:qFormat/>
    <w:uiPriority w:val="0"/>
    <w:rPr>
      <w:rFonts w:hint="default" w:ascii="Times New Roman" w:hAnsi="Times New Roman" w:cs="Times New Roman"/>
      <w:color w:val="000000"/>
      <w:sz w:val="22"/>
      <w:szCs w:val="22"/>
      <w:u w:val="none"/>
    </w:rPr>
  </w:style>
  <w:style w:type="character" w:customStyle="1" w:styleId="56">
    <w:name w:val="批注文字 字符1"/>
    <w:semiHidden/>
    <w:qFormat/>
    <w:uiPriority w:val="0"/>
    <w:rPr>
      <w:rFonts w:ascii="Times New Roman" w:hAnsi="Times New Roman" w:eastAsia="宋体" w:cs="Times New Roman"/>
      <w:sz w:val="24"/>
      <w:szCs w:val="24"/>
    </w:rPr>
  </w:style>
  <w:style w:type="character" w:customStyle="1" w:styleId="57">
    <w:name w:val="正文文本 Char"/>
    <w:link w:val="2"/>
    <w:qFormat/>
    <w:locked/>
    <w:uiPriority w:val="0"/>
    <w:rPr>
      <w:sz w:val="18"/>
    </w:rPr>
  </w:style>
  <w:style w:type="character" w:customStyle="1" w:styleId="58">
    <w:name w:val="日期 Char"/>
    <w:link w:val="15"/>
    <w:qFormat/>
    <w:locked/>
    <w:uiPriority w:val="0"/>
    <w:rPr>
      <w:rFonts w:ascii="Times New Roman" w:hAnsi="Times New Roman" w:eastAsia="宋体"/>
      <w:sz w:val="24"/>
    </w:rPr>
  </w:style>
  <w:style w:type="character" w:customStyle="1" w:styleId="59">
    <w:name w:val="正文文本缩进 Char"/>
    <w:link w:val="11"/>
    <w:semiHidden/>
    <w:qFormat/>
    <w:locked/>
    <w:uiPriority w:val="0"/>
    <w:rPr>
      <w:rFonts w:ascii="Times New Roman" w:hAnsi="Times New Roman" w:eastAsia="宋体" w:cs="Times New Roman"/>
      <w:sz w:val="24"/>
      <w:szCs w:val="24"/>
    </w:rPr>
  </w:style>
  <w:style w:type="character" w:customStyle="1" w:styleId="60">
    <w:name w:val="批注文字 Char"/>
    <w:link w:val="10"/>
    <w:qFormat/>
    <w:locked/>
    <w:uiPriority w:val="0"/>
    <w:rPr>
      <w:rFonts w:ascii="Times New Roman" w:hAnsi="Times New Roman" w:eastAsia="宋体"/>
      <w:sz w:val="24"/>
    </w:rPr>
  </w:style>
  <w:style w:type="character" w:customStyle="1" w:styleId="61">
    <w:name w:val="日期 字符"/>
    <w:semiHidden/>
    <w:qFormat/>
    <w:uiPriority w:val="0"/>
    <w:rPr>
      <w:rFonts w:ascii="Times New Roman" w:hAnsi="Times New Roman" w:eastAsia="宋体" w:cs="Times New Roman"/>
      <w:sz w:val="24"/>
      <w:szCs w:val="24"/>
    </w:rPr>
  </w:style>
  <w:style w:type="character" w:customStyle="1" w:styleId="62">
    <w:name w:val="页眉 Char"/>
    <w:link w:val="19"/>
    <w:qFormat/>
    <w:locked/>
    <w:uiPriority w:val="0"/>
    <w:rPr>
      <w:rFonts w:cs="Times New Roman"/>
      <w:sz w:val="18"/>
      <w:szCs w:val="18"/>
    </w:rPr>
  </w:style>
  <w:style w:type="character" w:customStyle="1" w:styleId="63">
    <w:name w:val="普通(网站) Char1"/>
    <w:link w:val="29"/>
    <w:qFormat/>
    <w:locked/>
    <w:uiPriority w:val="0"/>
    <w:rPr>
      <w:rFonts w:ascii="宋体" w:hAnsi="宋体" w:eastAsia="宋体"/>
      <w:sz w:val="24"/>
    </w:rPr>
  </w:style>
  <w:style w:type="character" w:customStyle="1" w:styleId="64">
    <w:name w:val="表格 Char"/>
    <w:link w:val="44"/>
    <w:qFormat/>
    <w:locked/>
    <w:uiPriority w:val="0"/>
    <w:rPr>
      <w:rFonts w:ascii="宋体"/>
      <w:sz w:val="21"/>
    </w:rPr>
  </w:style>
  <w:style w:type="character" w:customStyle="1" w:styleId="65">
    <w:name w:val="正文文本 字符1"/>
    <w:semiHidden/>
    <w:qFormat/>
    <w:uiPriority w:val="0"/>
    <w:rPr>
      <w:rFonts w:ascii="Times New Roman" w:hAnsi="Times New Roman" w:eastAsia="宋体" w:cs="Times New Roman"/>
      <w:sz w:val="24"/>
      <w:szCs w:val="24"/>
    </w:rPr>
  </w:style>
  <w:style w:type="character" w:customStyle="1" w:styleId="66">
    <w:name w:val="正文文本_"/>
    <w:link w:val="67"/>
    <w:qFormat/>
    <w:uiPriority w:val="0"/>
    <w:rPr>
      <w:rFonts w:hint="eastAsia" w:ascii="微软雅黑" w:hAnsi="微软雅黑" w:eastAsia="微软雅黑"/>
      <w:kern w:val="0"/>
      <w:sz w:val="22"/>
      <w:szCs w:val="20"/>
    </w:rPr>
  </w:style>
  <w:style w:type="paragraph" w:customStyle="1" w:styleId="67">
    <w:name w:val="正文文本1"/>
    <w:basedOn w:val="1"/>
    <w:link w:val="66"/>
    <w:unhideWhenUsed/>
    <w:qFormat/>
    <w:uiPriority w:val="0"/>
    <w:pPr>
      <w:shd w:val="clear" w:color="auto" w:fill="FFFFFF"/>
      <w:spacing w:before="1320" w:line="1001" w:lineRule="exact"/>
      <w:ind w:hanging="500"/>
      <w:jc w:val="distribute"/>
    </w:pPr>
    <w:rPr>
      <w:rFonts w:hint="eastAsia" w:ascii="微软雅黑" w:hAnsi="微软雅黑" w:eastAsia="微软雅黑"/>
      <w:kern w:val="0"/>
      <w:sz w:val="22"/>
      <w:szCs w:val="20"/>
    </w:rPr>
  </w:style>
  <w:style w:type="character" w:customStyle="1" w:styleId="68">
    <w:name w:val="普通(网站) Char"/>
    <w:qFormat/>
    <w:locked/>
    <w:uiPriority w:val="0"/>
    <w:rPr>
      <w:rFonts w:ascii="宋体" w:hAnsi="宋体" w:eastAsia="宋体"/>
      <w:sz w:val="24"/>
    </w:rPr>
  </w:style>
  <w:style w:type="character" w:customStyle="1" w:styleId="69">
    <w:name w:val="批注主题 Char"/>
    <w:link w:val="31"/>
    <w:semiHidden/>
    <w:qFormat/>
    <w:locked/>
    <w:uiPriority w:val="0"/>
    <w:rPr>
      <w:rFonts w:ascii="Times New Roman" w:hAnsi="Times New Roman" w:eastAsia="宋体" w:cs="Times New Roman"/>
      <w:b/>
      <w:bCs/>
      <w:kern w:val="2"/>
      <w:sz w:val="24"/>
      <w:szCs w:val="24"/>
    </w:rPr>
  </w:style>
  <w:style w:type="character" w:customStyle="1" w:styleId="70">
    <w:name w:val="文章正文 Char Char"/>
    <w:link w:val="71"/>
    <w:qFormat/>
    <w:uiPriority w:val="0"/>
    <w:rPr>
      <w:rFonts w:ascii="Times New Roman" w:hAnsi="Times New Roman"/>
      <w:sz w:val="24"/>
    </w:rPr>
  </w:style>
  <w:style w:type="paragraph" w:customStyle="1" w:styleId="71">
    <w:name w:val="文章正文"/>
    <w:basedOn w:val="1"/>
    <w:next w:val="1"/>
    <w:link w:val="70"/>
    <w:qFormat/>
    <w:uiPriority w:val="0"/>
    <w:pPr>
      <w:spacing w:line="360" w:lineRule="auto"/>
      <w:ind w:firstLine="883" w:firstLineChars="200"/>
    </w:pPr>
    <w:rPr>
      <w:rFonts w:ascii="Times New Roman" w:hAnsi="Times New Roman"/>
      <w:kern w:val="0"/>
      <w:sz w:val="24"/>
      <w:szCs w:val="20"/>
    </w:rPr>
  </w:style>
  <w:style w:type="character" w:customStyle="1" w:styleId="72">
    <w:name w:val="表格 Char Char"/>
    <w:qFormat/>
    <w:uiPriority w:val="0"/>
    <w:rPr>
      <w:sz w:val="21"/>
    </w:rPr>
  </w:style>
  <w:style w:type="character" w:customStyle="1" w:styleId="73">
    <w:name w:val="表格标题 Char Char"/>
    <w:link w:val="74"/>
    <w:qFormat/>
    <w:uiPriority w:val="0"/>
    <w:rPr>
      <w:b/>
      <w:sz w:val="21"/>
    </w:rPr>
  </w:style>
  <w:style w:type="paragraph" w:customStyle="1" w:styleId="74">
    <w:name w:val="表格标题"/>
    <w:basedOn w:val="1"/>
    <w:link w:val="73"/>
    <w:qFormat/>
    <w:uiPriority w:val="0"/>
    <w:pPr>
      <w:jc w:val="center"/>
    </w:pPr>
    <w:rPr>
      <w:b/>
      <w:kern w:val="0"/>
      <w:szCs w:val="20"/>
    </w:rPr>
  </w:style>
  <w:style w:type="character" w:customStyle="1" w:styleId="75">
    <w:name w:val="纯文本 Char"/>
    <w:link w:val="13"/>
    <w:qFormat/>
    <w:uiPriority w:val="99"/>
    <w:rPr>
      <w:rFonts w:ascii="宋体" w:hAnsi="Courier New"/>
      <w:kern w:val="2"/>
      <w:sz w:val="21"/>
    </w:rPr>
  </w:style>
  <w:style w:type="character" w:customStyle="1" w:styleId="76">
    <w:name w:val="报告正文 Char Char"/>
    <w:link w:val="77"/>
    <w:qFormat/>
    <w:uiPriority w:val="0"/>
    <w:rPr>
      <w:rFonts w:ascii="Times New Roman" w:hAnsi="Times New Roman" w:cs="宋体"/>
      <w:sz w:val="24"/>
      <w:szCs w:val="24"/>
    </w:rPr>
  </w:style>
  <w:style w:type="paragraph" w:customStyle="1" w:styleId="77">
    <w:name w:val="报告正文"/>
    <w:link w:val="76"/>
    <w:qFormat/>
    <w:uiPriority w:val="0"/>
    <w:pPr>
      <w:spacing w:line="360" w:lineRule="auto"/>
      <w:ind w:firstLine="723" w:firstLineChars="200"/>
    </w:pPr>
    <w:rPr>
      <w:rFonts w:ascii="Times New Roman" w:hAnsi="Times New Roman" w:eastAsia="宋体" w:cs="宋体"/>
      <w:sz w:val="24"/>
      <w:szCs w:val="24"/>
      <w:lang w:val="en-US" w:eastAsia="zh-CN" w:bidi="ar-SA"/>
    </w:rPr>
  </w:style>
  <w:style w:type="character" w:customStyle="1" w:styleId="78">
    <w:name w:val="表格内容--1.15 Char"/>
    <w:link w:val="79"/>
    <w:qFormat/>
    <w:uiPriority w:val="0"/>
    <w:rPr>
      <w:color w:val="0D0D0D"/>
      <w:sz w:val="21"/>
      <w:szCs w:val="21"/>
    </w:rPr>
  </w:style>
  <w:style w:type="paragraph" w:customStyle="1" w:styleId="79">
    <w:name w:val="表格内容--1.15"/>
    <w:basedOn w:val="1"/>
    <w:link w:val="78"/>
    <w:qFormat/>
    <w:uiPriority w:val="0"/>
    <w:pPr>
      <w:tabs>
        <w:tab w:val="left" w:pos="567"/>
        <w:tab w:val="left" w:pos="1134"/>
        <w:tab w:val="right" w:leader="middleDot" w:pos="7938"/>
      </w:tabs>
      <w:spacing w:line="276" w:lineRule="auto"/>
      <w:jc w:val="center"/>
    </w:pPr>
    <w:rPr>
      <w:color w:val="0D0D0D"/>
      <w:kern w:val="0"/>
      <w:szCs w:val="21"/>
    </w:rPr>
  </w:style>
  <w:style w:type="character" w:customStyle="1" w:styleId="80">
    <w:name w:val="【表中文字】 Char"/>
    <w:link w:val="81"/>
    <w:qFormat/>
    <w:uiPriority w:val="0"/>
    <w:rPr>
      <w:rFonts w:ascii="Times New Roman" w:hAnsi="Times New Roman"/>
      <w:sz w:val="21"/>
      <w:szCs w:val="24"/>
    </w:rPr>
  </w:style>
  <w:style w:type="paragraph" w:customStyle="1" w:styleId="81">
    <w:name w:val="【表中文字】"/>
    <w:basedOn w:val="1"/>
    <w:link w:val="80"/>
    <w:qFormat/>
    <w:uiPriority w:val="0"/>
    <w:pPr>
      <w:jc w:val="center"/>
    </w:pPr>
    <w:rPr>
      <w:rFonts w:ascii="Times New Roman" w:hAnsi="Times New Roman"/>
      <w:kern w:val="0"/>
    </w:rPr>
  </w:style>
  <w:style w:type="character" w:customStyle="1" w:styleId="82">
    <w:name w:val="15"/>
    <w:qFormat/>
    <w:uiPriority w:val="0"/>
    <w:rPr>
      <w:sz w:val="24"/>
      <w:szCs w:val="24"/>
    </w:rPr>
  </w:style>
  <w:style w:type="character" w:customStyle="1" w:styleId="83">
    <w:name w:val="样式8 Char"/>
    <w:link w:val="84"/>
    <w:qFormat/>
    <w:uiPriority w:val="0"/>
    <w:rPr>
      <w:sz w:val="28"/>
    </w:rPr>
  </w:style>
  <w:style w:type="paragraph" w:customStyle="1" w:styleId="84">
    <w:name w:val="样式8"/>
    <w:basedOn w:val="1"/>
    <w:next w:val="1"/>
    <w:link w:val="83"/>
    <w:qFormat/>
    <w:uiPriority w:val="0"/>
    <w:pPr>
      <w:spacing w:line="360" w:lineRule="auto"/>
      <w:ind w:firstLine="640" w:firstLineChars="200"/>
    </w:pPr>
    <w:rPr>
      <w:kern w:val="0"/>
      <w:sz w:val="28"/>
      <w:szCs w:val="20"/>
    </w:rPr>
  </w:style>
  <w:style w:type="paragraph" w:customStyle="1" w:styleId="85">
    <w:name w:val="正文文本（1）"/>
    <w:basedOn w:val="2"/>
    <w:qFormat/>
    <w:uiPriority w:val="0"/>
    <w:pPr>
      <w:widowControl w:val="0"/>
      <w:autoSpaceDE w:val="0"/>
      <w:autoSpaceDN w:val="0"/>
      <w:snapToGrid/>
      <w:spacing w:before="100" w:beforeAutospacing="1" w:after="0" w:line="360" w:lineRule="auto"/>
      <w:ind w:right="0" w:firstLine="480" w:firstLineChars="200"/>
    </w:pPr>
    <w:rPr>
      <w:rFonts w:ascii="宋体" w:hAnsi="宋体" w:cs="宋体"/>
      <w:color w:val="000000"/>
      <w:sz w:val="24"/>
      <w:szCs w:val="24"/>
    </w:rPr>
  </w:style>
  <w:style w:type="paragraph" w:customStyle="1" w:styleId="86">
    <w:name w:val="hg正文文本"/>
    <w:basedOn w:val="2"/>
    <w:qFormat/>
    <w:uiPriority w:val="0"/>
    <w:pPr>
      <w:adjustRightInd w:val="0"/>
      <w:spacing w:line="360" w:lineRule="auto"/>
      <w:ind w:firstLine="200" w:firstLineChars="200"/>
    </w:pPr>
    <w:rPr>
      <w:rFonts w:ascii="Times New Roman" w:hAnsi="Times New Roman"/>
      <w:sz w:val="24"/>
    </w:rPr>
  </w:style>
  <w:style w:type="paragraph" w:customStyle="1" w:styleId="87">
    <w:name w:val="表格内容"/>
    <w:basedOn w:val="8"/>
    <w:next w:val="1"/>
    <w:qFormat/>
    <w:uiPriority w:val="0"/>
    <w:pPr>
      <w:overflowPunct w:val="0"/>
      <w:adjustRightInd w:val="0"/>
      <w:spacing w:before="40" w:after="60" w:line="200" w:lineRule="atLeast"/>
      <w:textAlignment w:val="baseline"/>
    </w:pPr>
    <w:rPr>
      <w:rFonts w:ascii="Arial" w:hAnsi="Arial" w:eastAsia="仿宋_GB2312"/>
      <w:kern w:val="0"/>
      <w:sz w:val="24"/>
    </w:rPr>
  </w:style>
  <w:style w:type="paragraph" w:customStyle="1" w:styleId="88">
    <w:name w:val="样式 正文 小四 行距: 1.5 倍行距 + 黑色 行距: 固定值 26 磅"/>
    <w:basedOn w:val="89"/>
    <w:qFormat/>
    <w:uiPriority w:val="0"/>
    <w:pPr>
      <w:spacing w:line="520" w:lineRule="exact"/>
    </w:pPr>
    <w:rPr>
      <w:color w:val="FF0000"/>
    </w:rPr>
  </w:style>
  <w:style w:type="paragraph" w:customStyle="1" w:styleId="89">
    <w:name w:val="正文 小四 行距: 1.5 倍行距"/>
    <w:basedOn w:val="1"/>
    <w:qFormat/>
    <w:uiPriority w:val="0"/>
    <w:pPr>
      <w:spacing w:line="360" w:lineRule="auto"/>
      <w:ind w:firstLine="480" w:firstLineChars="200"/>
    </w:pPr>
    <w:rPr>
      <w:rFonts w:cs="宋体"/>
      <w:sz w:val="24"/>
      <w:szCs w:val="20"/>
    </w:rPr>
  </w:style>
  <w:style w:type="paragraph" w:styleId="90">
    <w:name w:val="List Paragraph"/>
    <w:basedOn w:val="1"/>
    <w:qFormat/>
    <w:uiPriority w:val="1"/>
    <w:pPr>
      <w:ind w:left="1661" w:hanging="601"/>
    </w:pPr>
    <w:rPr>
      <w:rFonts w:ascii="宋体" w:hAnsi="宋体" w:cs="宋体"/>
    </w:rPr>
  </w:style>
  <w:style w:type="paragraph" w:customStyle="1" w:styleId="91">
    <w:name w:val="样式 首行缩进:  2 字符1"/>
    <w:basedOn w:val="1"/>
    <w:qFormat/>
    <w:uiPriority w:val="0"/>
    <w:pPr>
      <w:spacing w:line="360" w:lineRule="auto"/>
      <w:ind w:firstLine="200" w:firstLineChars="200"/>
    </w:pPr>
    <w:rPr>
      <w:rFonts w:cs="宋体"/>
      <w:sz w:val="24"/>
      <w:szCs w:val="20"/>
    </w:rPr>
  </w:style>
  <w:style w:type="paragraph" w:customStyle="1" w:styleId="92">
    <w:name w:val="报告正文 样式"/>
    <w:qFormat/>
    <w:uiPriority w:val="0"/>
    <w:pPr>
      <w:autoSpaceDE w:val="0"/>
      <w:autoSpaceDN w:val="0"/>
      <w:spacing w:line="360" w:lineRule="auto"/>
      <w:ind w:firstLine="480" w:firstLineChars="200"/>
      <w:jc w:val="both"/>
    </w:pPr>
    <w:rPr>
      <w:rFonts w:ascii="Times New Roman" w:hAnsi="Times New Roman" w:eastAsia="宋体" w:cs="Calibri"/>
      <w:color w:val="000000"/>
      <w:kern w:val="24"/>
      <w:sz w:val="24"/>
      <w:szCs w:val="21"/>
      <w:lang w:val="en-US" w:eastAsia="zh-CN" w:bidi="ar-SA"/>
    </w:rPr>
  </w:style>
  <w:style w:type="paragraph" w:customStyle="1" w:styleId="93">
    <w:name w:val="Table Paragraph"/>
    <w:basedOn w:val="1"/>
    <w:qFormat/>
    <w:uiPriority w:val="0"/>
    <w:pPr>
      <w:jc w:val="center"/>
    </w:pPr>
    <w:rPr>
      <w:rFonts w:ascii="Times New Roman" w:hAnsi="Times New Roman" w:eastAsia="Times New Roman" w:cs="Times New Roman"/>
      <w:lang w:val="zh-CN" w:bidi="zh-CN"/>
    </w:rPr>
  </w:style>
  <w:style w:type="paragraph" w:customStyle="1" w:styleId="94">
    <w:name w:val="表头，alt+D"/>
    <w:basedOn w:val="1"/>
    <w:qFormat/>
    <w:uiPriority w:val="0"/>
    <w:pPr>
      <w:spacing w:before="60" w:after="60" w:line="240" w:lineRule="atLeast"/>
      <w:ind w:left="-113" w:right="-113"/>
      <w:jc w:val="center"/>
    </w:pPr>
    <w:rPr>
      <w:rFonts w:ascii="宋体" w:hAnsi="Times New Roman" w:eastAsia="Times New Roman"/>
      <w:color w:val="808000"/>
      <w:kern w:val="0"/>
      <w:sz w:val="24"/>
      <w:szCs w:val="20"/>
    </w:rPr>
  </w:style>
  <w:style w:type="paragraph" w:customStyle="1" w:styleId="95">
    <w:name w:val="样式 13 磅 黑色 首行缩进:  0.92 厘米 行距: 1.5 倍行距"/>
    <w:basedOn w:val="1"/>
    <w:qFormat/>
    <w:uiPriority w:val="0"/>
    <w:pPr>
      <w:adjustRightInd w:val="0"/>
      <w:snapToGrid w:val="0"/>
      <w:spacing w:line="520" w:lineRule="exact"/>
      <w:ind w:firstLine="470" w:firstLineChars="196"/>
    </w:pPr>
    <w:rPr>
      <w:color w:val="000000"/>
      <w:sz w:val="24"/>
    </w:rPr>
  </w:style>
  <w:style w:type="paragraph" w:customStyle="1" w:styleId="96">
    <w:name w:val="样式 样式 样式 样式 样式 样式 样式 报告正文 + (符号) 宋体 左侧:  1 字符 + 左侧:  1 字符 首行缩进: ..."/>
    <w:basedOn w:val="1"/>
    <w:qFormat/>
    <w:uiPriority w:val="0"/>
    <w:pPr>
      <w:spacing w:line="480" w:lineRule="exact"/>
      <w:ind w:firstLine="200" w:firstLineChars="200"/>
    </w:pPr>
    <w:rPr>
      <w:rFonts w:hAnsi="宋体" w:cs="宋体"/>
      <w:sz w:val="24"/>
      <w:szCs w:val="20"/>
    </w:rPr>
  </w:style>
  <w:style w:type="paragraph" w:customStyle="1" w:styleId="97">
    <w:name w:val="普通(网站)2"/>
    <w:basedOn w:val="1"/>
    <w:qFormat/>
    <w:uiPriority w:val="0"/>
    <w:pPr>
      <w:widowControl/>
      <w:spacing w:before="100" w:beforeAutospacing="1" w:after="100" w:afterAutospacing="1"/>
      <w:jc w:val="left"/>
    </w:pPr>
    <w:rPr>
      <w:rFonts w:ascii="宋体" w:hAnsi="宋体"/>
      <w:sz w:val="24"/>
      <w:szCs w:val="20"/>
    </w:rPr>
  </w:style>
  <w:style w:type="paragraph" w:customStyle="1" w:styleId="98">
    <w:name w:val="样式9"/>
    <w:basedOn w:val="1"/>
    <w:qFormat/>
    <w:uiPriority w:val="0"/>
    <w:pPr>
      <w:spacing w:line="360" w:lineRule="auto"/>
    </w:pPr>
    <w:rPr>
      <w:rFonts w:ascii="Times New Roman" w:hAnsi="Times New Roman" w:eastAsia="黑体"/>
      <w:sz w:val="28"/>
      <w:szCs w:val="20"/>
    </w:rPr>
  </w:style>
  <w:style w:type="paragraph" w:customStyle="1" w:styleId="99">
    <w:name w:val="+正文"/>
    <w:basedOn w:val="1"/>
    <w:qFormat/>
    <w:uiPriority w:val="0"/>
    <w:pPr>
      <w:spacing w:line="360" w:lineRule="auto"/>
      <w:ind w:firstLine="200" w:firstLineChars="200"/>
    </w:pPr>
    <w:rPr>
      <w:rFonts w:ascii="Times New Roman" w:hAnsi="宋体"/>
      <w:color w:val="FF0000"/>
      <w:sz w:val="24"/>
    </w:rPr>
  </w:style>
  <w:style w:type="table" w:customStyle="1" w:styleId="100">
    <w:name w:val="Table Normal"/>
    <w:unhideWhenUsed/>
    <w:qFormat/>
    <w:uiPriority w:val="2"/>
    <w:tblPr>
      <w:tblCellMar>
        <w:top w:w="0" w:type="dxa"/>
        <w:left w:w="0" w:type="dxa"/>
        <w:bottom w:w="0" w:type="dxa"/>
        <w:right w:w="0" w:type="dxa"/>
      </w:tblCellMar>
    </w:tblPr>
  </w:style>
  <w:style w:type="character" w:customStyle="1" w:styleId="101">
    <w:name w:val="正文文本缩进 3 Char"/>
    <w:basedOn w:val="36"/>
    <w:link w:val="25"/>
    <w:qFormat/>
    <w:uiPriority w:val="0"/>
    <w:rPr>
      <w:rFonts w:cs="Times New Roman"/>
      <w:kern w:val="2"/>
      <w:sz w:val="16"/>
      <w:szCs w:val="16"/>
    </w:rPr>
  </w:style>
  <w:style w:type="paragraph" w:customStyle="1" w:styleId="102">
    <w:name w:val="【正文】"/>
    <w:basedOn w:val="1"/>
    <w:qFormat/>
    <w:uiPriority w:val="0"/>
    <w:pPr>
      <w:snapToGrid w:val="0"/>
      <w:spacing w:line="360" w:lineRule="auto"/>
      <w:ind w:firstLine="200" w:firstLineChars="200"/>
    </w:pPr>
    <w:rPr>
      <w:rFonts w:cs="Times New Roman"/>
      <w:color w:val="FF0000"/>
      <w:sz w:val="24"/>
    </w:rPr>
  </w:style>
  <w:style w:type="paragraph" w:customStyle="1" w:styleId="103">
    <w:name w:val="aa正文"/>
    <w:basedOn w:val="1"/>
    <w:qFormat/>
    <w:uiPriority w:val="0"/>
    <w:pPr>
      <w:spacing w:line="360" w:lineRule="auto"/>
      <w:ind w:firstLine="200" w:firstLineChars="200"/>
    </w:pPr>
    <w:rPr>
      <w:rFonts w:ascii="Times New Roman" w:hAnsi="Times New Roman" w:cs="Times New Roman"/>
      <w:szCs w:val="21"/>
    </w:rPr>
  </w:style>
  <w:style w:type="paragraph" w:customStyle="1" w:styleId="104">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105">
    <w:name w:val="正文3"/>
    <w:qFormat/>
    <w:uiPriority w:val="0"/>
    <w:pPr>
      <w:jc w:val="both"/>
    </w:pPr>
    <w:rPr>
      <w:rFonts w:ascii="Times New Roman" w:hAnsi="Times New Roman" w:eastAsia="宋体" w:cs="Times New Roman"/>
      <w:kern w:val="2"/>
      <w:sz w:val="21"/>
      <w:szCs w:val="21"/>
      <w:lang w:val="en-US" w:eastAsia="zh-CN" w:bidi="ar-SA"/>
    </w:rPr>
  </w:style>
  <w:style w:type="paragraph" w:customStyle="1" w:styleId="106">
    <w:name w:val="表格式"/>
    <w:basedOn w:val="1"/>
    <w:qFormat/>
    <w:uiPriority w:val="0"/>
    <w:pPr>
      <w:jc w:val="center"/>
    </w:pPr>
    <w:rPr>
      <w:rFonts w:ascii="宋体" w:hAnsi="Brush Script MT" w:cs="宋体"/>
      <w:szCs w:val="21"/>
    </w:rPr>
  </w:style>
  <w:style w:type="paragraph" w:customStyle="1" w:styleId="107">
    <w:name w:val="00正文"/>
    <w:basedOn w:val="1"/>
    <w:qFormat/>
    <w:uiPriority w:val="0"/>
    <w:pPr>
      <w:widowControl/>
      <w:spacing w:line="480" w:lineRule="exact"/>
      <w:ind w:firstLine="200" w:firstLineChars="200"/>
      <w:jc w:val="left"/>
    </w:pPr>
    <w:rPr>
      <w:rFonts w:ascii="Times New Roman" w:hAnsi="Times New Roman" w:cs="Times New Roman"/>
      <w:sz w:val="24"/>
    </w:rPr>
  </w:style>
  <w:style w:type="paragraph" w:customStyle="1" w:styleId="108">
    <w:name w:val="列出段落1"/>
    <w:basedOn w:val="1"/>
    <w:qFormat/>
    <w:uiPriority w:val="0"/>
    <w:pPr>
      <w:autoSpaceDE w:val="0"/>
      <w:autoSpaceDN w:val="0"/>
      <w:ind w:left="2001" w:hanging="530"/>
      <w:jc w:val="left"/>
    </w:pPr>
    <w:rPr>
      <w:rFonts w:ascii="宋体" w:hAnsi="宋体" w:cs="宋体"/>
      <w:kern w:val="0"/>
      <w:sz w:val="22"/>
      <w:szCs w:val="22"/>
    </w:rPr>
  </w:style>
  <w:style w:type="paragraph" w:customStyle="1" w:styleId="109">
    <w:name w:val="1表格"/>
    <w:basedOn w:val="1"/>
    <w:link w:val="110"/>
    <w:qFormat/>
    <w:uiPriority w:val="0"/>
    <w:pPr>
      <w:snapToGrid w:val="0"/>
      <w:jc w:val="center"/>
      <w:outlineLvl w:val="4"/>
    </w:pPr>
    <w:rPr>
      <w:rFonts w:ascii="Times New Roman" w:hAnsi="Times New Roman" w:cs="Times New Roman"/>
      <w:spacing w:val="4"/>
    </w:rPr>
  </w:style>
  <w:style w:type="character" w:customStyle="1" w:styleId="110">
    <w:name w:val="1表格 Char"/>
    <w:link w:val="109"/>
    <w:qFormat/>
    <w:uiPriority w:val="0"/>
    <w:rPr>
      <w:rFonts w:ascii="Times New Roman" w:hAnsi="Times New Roman" w:cs="Times New Roman"/>
      <w:spacing w:val="4"/>
      <w:kern w:val="2"/>
      <w:sz w:val="21"/>
      <w:szCs w:val="24"/>
    </w:rPr>
  </w:style>
  <w:style w:type="character" w:customStyle="1" w:styleId="111">
    <w:name w:val="正文首行缩进 2 Char"/>
    <w:basedOn w:val="59"/>
    <w:link w:val="33"/>
    <w:qFormat/>
    <w:uiPriority w:val="0"/>
    <w:rPr>
      <w:rFonts w:ascii="Times New Roman" w:hAnsi="Times New Roman" w:eastAsia="宋体" w:cs="Times New Roman"/>
      <w:kern w:val="2"/>
      <w:sz w:val="21"/>
      <w:szCs w:val="24"/>
    </w:rPr>
  </w:style>
  <w:style w:type="paragraph" w:customStyle="1" w:styleId="112">
    <w:name w:val="正文文字"/>
    <w:basedOn w:val="1"/>
    <w:qFormat/>
    <w:uiPriority w:val="0"/>
    <w:pPr>
      <w:adjustRightInd w:val="0"/>
      <w:snapToGrid w:val="0"/>
      <w:spacing w:line="360" w:lineRule="auto"/>
      <w:ind w:firstLine="480" w:firstLineChars="200"/>
    </w:pPr>
    <w:rPr>
      <w:rFonts w:ascii="宋体" w:hAnsi="Times New Roman" w:eastAsia="Times New Roman" w:cs="Times New Roman"/>
      <w:kern w:val="0"/>
      <w:sz w:val="24"/>
    </w:rPr>
  </w:style>
  <w:style w:type="paragraph" w:customStyle="1" w:styleId="113">
    <w:name w:val="A 正文"/>
    <w:basedOn w:val="1"/>
    <w:qFormat/>
    <w:uiPriority w:val="0"/>
    <w:pPr>
      <w:spacing w:line="360" w:lineRule="auto"/>
      <w:ind w:firstLine="200" w:firstLineChars="200"/>
    </w:pPr>
    <w:rPr>
      <w:rFonts w:ascii="宋体" w:hAnsi="Times New Roman" w:eastAsia="Times New Roman" w:cs="Times New Roman"/>
      <w:kern w:val="0"/>
      <w:sz w:val="24"/>
    </w:rPr>
  </w:style>
  <w:style w:type="paragraph" w:customStyle="1" w:styleId="114">
    <w:name w:val="..表格内容"/>
    <w:basedOn w:val="1"/>
    <w:qFormat/>
    <w:uiPriority w:val="0"/>
    <w:pPr>
      <w:jc w:val="center"/>
    </w:pPr>
    <w:rPr>
      <w:rFonts w:ascii="Times New Roman" w:hAnsi="宋体" w:cs="Times New Roman"/>
      <w:kern w:val="0"/>
      <w:szCs w:val="21"/>
    </w:rPr>
  </w:style>
  <w:style w:type="paragraph" w:customStyle="1" w:styleId="115">
    <w:name w:val="3级标题"/>
    <w:basedOn w:val="1"/>
    <w:next w:val="1"/>
    <w:link w:val="122"/>
    <w:qFormat/>
    <w:uiPriority w:val="0"/>
    <w:pPr>
      <w:widowControl/>
      <w:adjustRightInd w:val="0"/>
      <w:snapToGrid w:val="0"/>
      <w:spacing w:line="360" w:lineRule="auto"/>
      <w:jc w:val="left"/>
      <w:outlineLvl w:val="2"/>
    </w:pPr>
    <w:rPr>
      <w:rFonts w:ascii="Times New Roman" w:hAnsi="Times New Roman" w:cs="Times New Roman"/>
      <w:b/>
      <w:bCs/>
      <w:sz w:val="24"/>
    </w:rPr>
  </w:style>
  <w:style w:type="paragraph" w:customStyle="1" w:styleId="116">
    <w:name w:val="~~~正文"/>
    <w:basedOn w:val="1"/>
    <w:qFormat/>
    <w:uiPriority w:val="0"/>
    <w:pPr>
      <w:widowControl/>
      <w:spacing w:line="360" w:lineRule="auto"/>
      <w:ind w:firstLine="200" w:firstLineChars="200"/>
      <w:jc w:val="left"/>
    </w:pPr>
    <w:rPr>
      <w:rFonts w:cs="Times New Roman"/>
      <w:sz w:val="24"/>
    </w:rPr>
  </w:style>
  <w:style w:type="paragraph" w:customStyle="1" w:styleId="117">
    <w:name w:val="List Paragraph1"/>
    <w:basedOn w:val="1"/>
    <w:qFormat/>
    <w:uiPriority w:val="0"/>
    <w:pPr>
      <w:spacing w:before="100" w:beforeAutospacing="1" w:after="100" w:afterAutospacing="1"/>
      <w:ind w:left="1661" w:hanging="601"/>
    </w:pPr>
    <w:rPr>
      <w:rFonts w:ascii="宋体" w:hAnsi="宋体" w:cs="宋体"/>
      <w:szCs w:val="21"/>
    </w:rPr>
  </w:style>
  <w:style w:type="paragraph" w:customStyle="1" w:styleId="118">
    <w:name w:val="正文4"/>
    <w:qFormat/>
    <w:uiPriority w:val="0"/>
    <w:pPr>
      <w:jc w:val="both"/>
    </w:pPr>
    <w:rPr>
      <w:rFonts w:ascii="Calibri" w:hAnsi="Calibri" w:eastAsia="宋体" w:cs="Calibri"/>
      <w:kern w:val="2"/>
      <w:sz w:val="21"/>
      <w:szCs w:val="21"/>
      <w:lang w:val="en-US" w:eastAsia="zh-CN" w:bidi="ar-SA"/>
    </w:rPr>
  </w:style>
  <w:style w:type="character" w:customStyle="1" w:styleId="119">
    <w:name w:val="b正文 Char"/>
    <w:link w:val="120"/>
    <w:qFormat/>
    <w:uiPriority w:val="0"/>
    <w:rPr>
      <w:rFonts w:ascii="宋体" w:hAnsi="宋体"/>
      <w:kern w:val="2"/>
      <w:sz w:val="28"/>
      <w:szCs w:val="28"/>
    </w:rPr>
  </w:style>
  <w:style w:type="paragraph" w:customStyle="1" w:styleId="120">
    <w:name w:val="b正文"/>
    <w:basedOn w:val="1"/>
    <w:link w:val="119"/>
    <w:qFormat/>
    <w:uiPriority w:val="0"/>
    <w:pPr>
      <w:spacing w:line="500" w:lineRule="exact"/>
      <w:ind w:firstLine="560" w:firstLineChars="200"/>
    </w:pPr>
    <w:rPr>
      <w:rFonts w:ascii="宋体" w:hAnsi="宋体"/>
      <w:sz w:val="28"/>
      <w:szCs w:val="28"/>
    </w:rPr>
  </w:style>
  <w:style w:type="character" w:customStyle="1" w:styleId="121">
    <w:name w:val="5级标题"/>
    <w:qFormat/>
    <w:uiPriority w:val="0"/>
    <w:rPr>
      <w:b/>
      <w:bCs/>
    </w:rPr>
  </w:style>
  <w:style w:type="character" w:customStyle="1" w:styleId="122">
    <w:name w:val="3级标题 Char"/>
    <w:link w:val="115"/>
    <w:qFormat/>
    <w:uiPriority w:val="0"/>
    <w:rPr>
      <w:rFonts w:ascii="Times New Roman" w:hAnsi="Times New Roman" w:cs="Times New Roman"/>
      <w:b/>
      <w:bCs/>
      <w:kern w:val="2"/>
      <w:sz w:val="24"/>
      <w:szCs w:val="24"/>
    </w:rPr>
  </w:style>
  <w:style w:type="paragraph" w:customStyle="1" w:styleId="123">
    <w:name w:val="b表头"/>
    <w:basedOn w:val="1"/>
    <w:qFormat/>
    <w:uiPriority w:val="0"/>
    <w:pPr>
      <w:spacing w:line="480" w:lineRule="exact"/>
      <w:jc w:val="left"/>
    </w:pPr>
    <w:rPr>
      <w:rFonts w:ascii="Times New Roman" w:hAnsi="Times New Roman" w:cs="Times New Roman"/>
      <w:b/>
      <w:sz w:val="26"/>
      <w:szCs w:val="22"/>
    </w:rPr>
  </w:style>
  <w:style w:type="character" w:customStyle="1" w:styleId="124">
    <w:name w:val="2级标题 Char"/>
    <w:link w:val="125"/>
    <w:qFormat/>
    <w:uiPriority w:val="0"/>
    <w:rPr>
      <w:rFonts w:ascii="宋体" w:hAnsi="宋体"/>
      <w:b/>
      <w:bCs/>
      <w:sz w:val="28"/>
      <w:szCs w:val="28"/>
    </w:rPr>
  </w:style>
  <w:style w:type="paragraph" w:customStyle="1" w:styleId="125">
    <w:name w:val="2级标题"/>
    <w:basedOn w:val="4"/>
    <w:link w:val="124"/>
    <w:qFormat/>
    <w:uiPriority w:val="0"/>
    <w:pPr>
      <w:keepNext w:val="0"/>
      <w:keepLines w:val="0"/>
      <w:adjustRightInd w:val="0"/>
      <w:snapToGrid w:val="0"/>
      <w:spacing w:before="0" w:after="0" w:line="500" w:lineRule="exact"/>
      <w:jc w:val="left"/>
    </w:pPr>
    <w:rPr>
      <w:rFonts w:ascii="宋体" w:hAnsi="宋体" w:eastAsia="宋体" w:cs="Calibri"/>
      <w:kern w:val="0"/>
      <w:sz w:val="28"/>
      <w:szCs w:val="28"/>
    </w:rPr>
  </w:style>
  <w:style w:type="character" w:customStyle="1" w:styleId="126">
    <w:name w:val="表头 Char1"/>
    <w:link w:val="127"/>
    <w:qFormat/>
    <w:uiPriority w:val="0"/>
    <w:rPr>
      <w:rFonts w:ascii="宋体" w:hAnsi="宋体"/>
      <w:b/>
      <w:kern w:val="2"/>
      <w:sz w:val="24"/>
      <w:szCs w:val="21"/>
    </w:rPr>
  </w:style>
  <w:style w:type="paragraph" w:customStyle="1" w:styleId="127">
    <w:name w:val="表头"/>
    <w:basedOn w:val="1"/>
    <w:next w:val="1"/>
    <w:link w:val="126"/>
    <w:qFormat/>
    <w:uiPriority w:val="0"/>
    <w:pPr>
      <w:spacing w:line="500" w:lineRule="exact"/>
      <w:jc w:val="left"/>
    </w:pPr>
    <w:rPr>
      <w:rFonts w:ascii="宋体" w:hAnsi="宋体"/>
      <w:b/>
      <w:sz w:val="24"/>
      <w:szCs w:val="21"/>
    </w:rPr>
  </w:style>
  <w:style w:type="character" w:customStyle="1" w:styleId="128">
    <w:name w:val="样式文字 Char"/>
    <w:link w:val="129"/>
    <w:qFormat/>
    <w:uiPriority w:val="0"/>
    <w:rPr>
      <w:rFonts w:ascii="宋体" w:hAnsi="宋体"/>
      <w:kern w:val="2"/>
      <w:sz w:val="28"/>
      <w:szCs w:val="21"/>
    </w:rPr>
  </w:style>
  <w:style w:type="paragraph" w:customStyle="1" w:styleId="129">
    <w:name w:val="样式文字"/>
    <w:basedOn w:val="127"/>
    <w:link w:val="128"/>
    <w:qFormat/>
    <w:uiPriority w:val="0"/>
    <w:pPr>
      <w:ind w:firstLine="200" w:firstLineChars="200"/>
      <w:jc w:val="both"/>
    </w:pPr>
    <w:rPr>
      <w:b w:val="0"/>
      <w:sz w:val="28"/>
    </w:rPr>
  </w:style>
  <w:style w:type="character" w:customStyle="1" w:styleId="130">
    <w:name w:val="font51"/>
    <w:basedOn w:val="36"/>
    <w:qFormat/>
    <w:uiPriority w:val="0"/>
    <w:rPr>
      <w:rFonts w:hint="eastAsia" w:ascii="MingLiU" w:hAnsi="MingLiU" w:eastAsia="MingLiU"/>
      <w:color w:val="000000"/>
      <w:sz w:val="28"/>
      <w:szCs w:val="28"/>
      <w:u w:val="none"/>
    </w:rPr>
  </w:style>
  <w:style w:type="character" w:customStyle="1" w:styleId="131">
    <w:name w:val="font01"/>
    <w:basedOn w:val="36"/>
    <w:qFormat/>
    <w:uiPriority w:val="0"/>
    <w:rPr>
      <w:rFonts w:hint="eastAsia" w:ascii="MingLiU" w:hAnsi="MingLiU" w:eastAsia="MingLiU"/>
      <w:color w:val="000000"/>
      <w:sz w:val="36"/>
      <w:szCs w:val="36"/>
      <w:u w:val="none"/>
    </w:rPr>
  </w:style>
  <w:style w:type="character" w:customStyle="1" w:styleId="132">
    <w:name w:val="font61"/>
    <w:basedOn w:val="36"/>
    <w:qFormat/>
    <w:uiPriority w:val="0"/>
    <w:rPr>
      <w:rFonts w:hint="eastAsia" w:ascii="MingLiU" w:hAnsi="MingLiU" w:eastAsia="MingLiU"/>
      <w:i/>
      <w:iCs/>
      <w:strike/>
      <w:color w:val="000000"/>
      <w:sz w:val="28"/>
      <w:szCs w:val="28"/>
    </w:rPr>
  </w:style>
  <w:style w:type="character" w:customStyle="1" w:styleId="133">
    <w:name w:val="font21"/>
    <w:basedOn w:val="36"/>
    <w:qFormat/>
    <w:uiPriority w:val="0"/>
    <w:rPr>
      <w:rFonts w:hint="eastAsia" w:ascii="MingLiU" w:hAnsi="MingLiU" w:eastAsia="MingLiU"/>
      <w:color w:val="000000"/>
      <w:sz w:val="28"/>
      <w:szCs w:val="28"/>
      <w:u w:val="single"/>
    </w:rPr>
  </w:style>
  <w:style w:type="character" w:customStyle="1" w:styleId="134">
    <w:name w:val="font31"/>
    <w:basedOn w:val="36"/>
    <w:qFormat/>
    <w:uiPriority w:val="0"/>
    <w:rPr>
      <w:rFonts w:hint="eastAsia" w:ascii="MingLiU" w:hAnsi="MingLiU" w:eastAsia="MingLiU"/>
      <w:color w:val="000000"/>
      <w:sz w:val="28"/>
      <w:szCs w:val="28"/>
      <w:u w:val="none"/>
      <w:vertAlign w:val="superscript"/>
    </w:rPr>
  </w:style>
  <w:style w:type="character" w:customStyle="1" w:styleId="135">
    <w:name w:val="font71"/>
    <w:basedOn w:val="36"/>
    <w:qFormat/>
    <w:uiPriority w:val="0"/>
    <w:rPr>
      <w:rFonts w:hint="default" w:ascii="Courier New" w:hAnsi="Courier New" w:cs="Courier New"/>
      <w:i/>
      <w:iCs/>
      <w:color w:val="000000"/>
      <w:sz w:val="14"/>
      <w:szCs w:val="14"/>
      <w:u w:val="none"/>
    </w:rPr>
  </w:style>
  <w:style w:type="character" w:customStyle="1" w:styleId="136">
    <w:name w:val="标题 5 Char"/>
    <w:basedOn w:val="36"/>
    <w:link w:val="7"/>
    <w:semiHidden/>
    <w:qFormat/>
    <w:uiPriority w:val="0"/>
    <w:rPr>
      <w:b/>
      <w:bCs/>
      <w:kern w:val="2"/>
      <w:sz w:val="28"/>
      <w:szCs w:val="28"/>
    </w:rPr>
  </w:style>
  <w:style w:type="paragraph" w:customStyle="1" w:styleId="137">
    <w:name w:val="正文5"/>
    <w:qFormat/>
    <w:uiPriority w:val="0"/>
    <w:pPr>
      <w:jc w:val="both"/>
    </w:pPr>
    <w:rPr>
      <w:rFonts w:ascii="Calibri" w:hAnsi="Calibri" w:eastAsia="宋体" w:cs="Calibri"/>
      <w:kern w:val="2"/>
      <w:sz w:val="21"/>
      <w:szCs w:val="21"/>
      <w:lang w:val="en-US" w:eastAsia="zh-CN" w:bidi="ar-SA"/>
    </w:rPr>
  </w:style>
  <w:style w:type="character" w:customStyle="1" w:styleId="138">
    <w:name w:val="正文文本缩进 2 Char"/>
    <w:basedOn w:val="36"/>
    <w:link w:val="16"/>
    <w:qFormat/>
    <w:uiPriority w:val="0"/>
    <w:rPr>
      <w:kern w:val="2"/>
      <w:sz w:val="21"/>
      <w:szCs w:val="24"/>
    </w:rPr>
  </w:style>
  <w:style w:type="paragraph" w:customStyle="1" w:styleId="139">
    <w:name w:val="表格正文"/>
    <w:basedOn w:val="1"/>
    <w:next w:val="1"/>
    <w:qFormat/>
    <w:uiPriority w:val="0"/>
    <w:pPr>
      <w:spacing w:line="360" w:lineRule="auto"/>
      <w:ind w:firstLine="200" w:firstLineChars="200"/>
      <w:jc w:val="center"/>
    </w:pPr>
    <w:rPr>
      <w:rFonts w:ascii="Times New Roman" w:hAnsi="Times New Roman" w:cs="Times New Roman"/>
      <w:kern w:val="0"/>
      <w:szCs w:val="21"/>
    </w:rPr>
  </w:style>
  <w:style w:type="paragraph" w:customStyle="1" w:styleId="140">
    <w:name w:val="Normal"/>
    <w:qFormat/>
    <w:uiPriority w:val="0"/>
    <w:pPr>
      <w:jc w:val="both"/>
    </w:pPr>
    <w:rPr>
      <w:rFonts w:ascii="Times New Roman" w:hAnsi="Times New Roman" w:eastAsia="宋体" w:cs="Times New Roman"/>
      <w:kern w:val="2"/>
      <w:sz w:val="21"/>
      <w:szCs w:val="21"/>
      <w:lang w:val="en-US" w:eastAsia="zh-CN" w:bidi="ar-SA"/>
    </w:rPr>
  </w:style>
  <w:style w:type="character" w:customStyle="1" w:styleId="141">
    <w:name w:val="font41"/>
    <w:basedOn w:val="36"/>
    <w:qFormat/>
    <w:uiPriority w:val="0"/>
    <w:rPr>
      <w:rFonts w:hint="eastAsia" w:ascii="宋体" w:hAnsi="宋体" w:eastAsia="宋体" w:cs="宋体"/>
      <w:color w:val="000000"/>
      <w:sz w:val="21"/>
      <w:szCs w:val="21"/>
      <w:u w:val="none"/>
    </w:rPr>
  </w:style>
  <w:style w:type="paragraph" w:customStyle="1" w:styleId="142">
    <w:name w:val="Other|1"/>
    <w:basedOn w:val="1"/>
    <w:qFormat/>
    <w:uiPriority w:val="0"/>
    <w:pPr>
      <w:widowControl w:val="0"/>
      <w:shd w:val="clear" w:color="auto" w:fill="auto"/>
      <w:spacing w:after="600"/>
      <w:ind w:firstLine="400"/>
    </w:pPr>
    <w:rPr>
      <w:rFonts w:ascii="宋体" w:hAnsi="宋体" w:eastAsia="宋体" w:cs="宋体"/>
      <w:b/>
      <w:bCs/>
      <w:sz w:val="32"/>
      <w:szCs w:val="32"/>
      <w:u w:val="none"/>
      <w:shd w:val="clear" w:color="auto" w:fill="auto"/>
      <w:lang w:val="zh-TW" w:eastAsia="zh-TW" w:bidi="zh-TW"/>
    </w:rPr>
  </w:style>
  <w:style w:type="paragraph" w:customStyle="1" w:styleId="143">
    <w:name w:val="Body text|2"/>
    <w:basedOn w:val="1"/>
    <w:qFormat/>
    <w:uiPriority w:val="0"/>
    <w:pPr>
      <w:widowControl w:val="0"/>
      <w:shd w:val="clear" w:color="auto" w:fill="auto"/>
      <w:spacing w:after="280"/>
      <w:ind w:firstLine="760"/>
    </w:pPr>
    <w:rPr>
      <w:sz w:val="22"/>
      <w:szCs w:val="22"/>
      <w:u w:val="none"/>
      <w:shd w:val="clear" w:color="auto" w:fill="auto"/>
    </w:rPr>
  </w:style>
  <w:style w:type="paragraph" w:customStyle="1" w:styleId="144">
    <w:name w:val="Body text|1"/>
    <w:basedOn w:val="1"/>
    <w:qFormat/>
    <w:uiPriority w:val="0"/>
    <w:pPr>
      <w:widowControl w:val="0"/>
      <w:shd w:val="clear" w:color="auto" w:fill="auto"/>
      <w:spacing w:after="70" w:line="427" w:lineRule="auto"/>
      <w:ind w:firstLine="400"/>
    </w:pPr>
    <w:rPr>
      <w:rFonts w:ascii="宋体" w:hAnsi="宋体" w:eastAsia="宋体" w:cs="宋体"/>
      <w:u w:val="none"/>
      <w:shd w:val="clear" w:color="auto" w:fill="auto"/>
      <w:lang w:val="zh-TW" w:eastAsia="zh-TW" w:bidi="zh-TW"/>
    </w:rPr>
  </w:style>
  <w:style w:type="paragraph" w:customStyle="1" w:styleId="145">
    <w:name w:val="Heading #3|1"/>
    <w:basedOn w:val="1"/>
    <w:qFormat/>
    <w:uiPriority w:val="0"/>
    <w:pPr>
      <w:widowControl w:val="0"/>
      <w:shd w:val="clear" w:color="auto" w:fill="auto"/>
      <w:spacing w:after="80"/>
      <w:outlineLvl w:val="2"/>
    </w:pPr>
    <w:rPr>
      <w:rFonts w:ascii="宋体" w:hAnsi="宋体" w:eastAsia="宋体" w:cs="宋体"/>
      <w:b/>
      <w:bCs/>
      <w:sz w:val="30"/>
      <w:szCs w:val="30"/>
      <w:u w:val="none"/>
      <w:shd w:val="clear" w:color="auto" w:fill="auto"/>
      <w:lang w:val="zh-TW" w:eastAsia="zh-TW" w:bidi="zh-TW"/>
    </w:rPr>
  </w:style>
  <w:style w:type="paragraph" w:customStyle="1" w:styleId="146">
    <w:name w:val="报告书 正文"/>
    <w:qFormat/>
    <w:uiPriority w:val="0"/>
    <w:pPr>
      <w:widowControl w:val="0"/>
      <w:adjustRightInd w:val="0"/>
      <w:snapToGrid w:val="0"/>
      <w:spacing w:line="360" w:lineRule="auto"/>
      <w:ind w:firstLine="566" w:firstLineChars="200"/>
      <w:jc w:val="both"/>
    </w:pPr>
    <w:rPr>
      <w:rFonts w:ascii="Times New Roman" w:hAnsi="Times New Roman" w:eastAsia="宋体" w:cs="Times New Roman"/>
      <w:snapToGrid w:val="0"/>
      <w:sz w:val="24"/>
      <w:szCs w:val="24"/>
      <w:lang w:val="en-US" w:eastAsia="zh-CN" w:bidi="ar-SA"/>
    </w:rPr>
  </w:style>
  <w:style w:type="paragraph" w:customStyle="1" w:styleId="147">
    <w:name w:val="表内文字"/>
    <w:basedOn w:val="1"/>
    <w:qFormat/>
    <w:uiPriority w:val="0"/>
    <w:pPr>
      <w:adjustRightInd w:val="0"/>
      <w:jc w:val="center"/>
    </w:pPr>
    <w:rPr>
      <w:rFonts w:ascii="宋体" w:hAnsi="宋体"/>
      <w:szCs w:val="21"/>
    </w:rPr>
  </w:style>
  <w:style w:type="paragraph" w:customStyle="1" w:styleId="148">
    <w:name w:val="Header or footer|1"/>
    <w:basedOn w:val="1"/>
    <w:qFormat/>
    <w:uiPriority w:val="0"/>
    <w:pPr>
      <w:widowControl w:val="0"/>
      <w:shd w:val="clear" w:color="auto" w:fill="auto"/>
    </w:pPr>
    <w:rPr>
      <w:sz w:val="18"/>
      <w:szCs w:val="18"/>
      <w:u w:val="none"/>
      <w:shd w:val="clear" w:color="auto" w:fill="auto"/>
      <w:lang w:val="zh-TW" w:eastAsia="zh-TW" w:bidi="zh-TW"/>
    </w:rPr>
  </w:style>
  <w:style w:type="paragraph" w:customStyle="1" w:styleId="149">
    <w:name w:val="Table Text"/>
    <w:basedOn w:val="1"/>
    <w:semiHidden/>
    <w:qFormat/>
    <w:uiPriority w:val="0"/>
    <w:rPr>
      <w:rFonts w:ascii="Arial" w:hAnsi="Arial" w:eastAsia="Arial" w:cs="Arial"/>
      <w:sz w:val="21"/>
      <w:szCs w:val="21"/>
      <w:lang w:val="en-US" w:eastAsia="en-US" w:bidi="ar-SA"/>
    </w:rPr>
  </w:style>
  <w:style w:type="character" w:customStyle="1" w:styleId="150">
    <w:name w:val="exap"/>
    <w:basedOn w:val="36"/>
    <w:qFormat/>
    <w:uiPriority w:val="0"/>
    <w:rPr>
      <w:sz w:val="27"/>
      <w:szCs w:val="27"/>
    </w:rPr>
  </w:style>
  <w:style w:type="character" w:customStyle="1" w:styleId="151">
    <w:name w:val="a_p_3"/>
    <w:basedOn w:val="36"/>
    <w:qFormat/>
    <w:uiPriority w:val="0"/>
    <w:rPr>
      <w:sz w:val="27"/>
      <w:szCs w:val="27"/>
    </w:rPr>
  </w:style>
  <w:style w:type="character" w:customStyle="1" w:styleId="152">
    <w:name w:val="a_p_1"/>
    <w:basedOn w:val="36"/>
    <w:qFormat/>
    <w:uiPriority w:val="0"/>
    <w:rPr>
      <w:sz w:val="27"/>
      <w:szCs w:val="27"/>
    </w:rPr>
  </w:style>
  <w:style w:type="character" w:customStyle="1" w:styleId="153">
    <w:name w:val="ul_li_a_1"/>
    <w:basedOn w:val="36"/>
    <w:qFormat/>
    <w:uiPriority w:val="0"/>
    <w:rPr>
      <w:b/>
      <w:bCs/>
      <w:color w:val="FFFFFF"/>
    </w:rPr>
  </w:style>
  <w:style w:type="character" w:customStyle="1" w:styleId="154">
    <w:name w:val="a_p_2"/>
    <w:basedOn w:val="36"/>
    <w:qFormat/>
    <w:uiPriority w:val="0"/>
  </w:style>
  <w:style w:type="character" w:customStyle="1" w:styleId="155">
    <w:name w:val="a_p_21"/>
    <w:basedOn w:val="36"/>
    <w:qFormat/>
    <w:uiPriority w:val="0"/>
    <w:rPr>
      <w:sz w:val="27"/>
      <w:szCs w:val="27"/>
    </w:rPr>
  </w:style>
  <w:style w:type="paragraph" w:customStyle="1" w:styleId="156">
    <w:name w:val="a-表内"/>
    <w:qFormat/>
    <w:uiPriority w:val="0"/>
    <w:pPr>
      <w:adjustRightInd w:val="0"/>
      <w:snapToGrid w:val="0"/>
      <w:jc w:val="center"/>
    </w:pPr>
    <w:rPr>
      <w:rFonts w:ascii="Times New Roman" w:hAnsi="Times New Roman" w:eastAsia="宋体" w:cs="Times New Roman"/>
      <w:color w:val="000000"/>
      <w:szCs w:val="21"/>
      <w:lang w:val="en-US" w:eastAsia="zh-CN" w:bidi="ar-SA"/>
    </w:rPr>
  </w:style>
  <w:style w:type="character" w:customStyle="1" w:styleId="157">
    <w:name w:val="bjh-p"/>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customXml" Target="../customXml/item3.xml"/><Relationship Id="rId28" Type="http://schemas.openxmlformats.org/officeDocument/2006/relationships/customXml" Target="../customXml/item2.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wmf"/><Relationship Id="rId20" Type="http://schemas.openxmlformats.org/officeDocument/2006/relationships/image" Target="media/image16.wmf"/><Relationship Id="rId2" Type="http://schemas.openxmlformats.org/officeDocument/2006/relationships/settings" Target="settings.xml"/><Relationship Id="rId19" Type="http://schemas.openxmlformats.org/officeDocument/2006/relationships/image" Target="media/image15.wmf"/><Relationship Id="rId18" Type="http://schemas.openxmlformats.org/officeDocument/2006/relationships/image" Target="media/image14.wmf"/><Relationship Id="rId17" Type="http://schemas.openxmlformats.org/officeDocument/2006/relationships/image" Target="media/image13.wmf"/><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ontractReview xmlns="http://schemas.wps.cn/vas-ai-hub/contract-review">
  <reviewItems>
    <reviewItem>
      <errorID>15ab2a97-876a-4080-a755-2c90d6e15d62</errorID>
      <errorWord>国家发改委</errorWord>
      <group>L1_Knowledge</group>
      <groupName>知识性问题</groupName>
      <ability>L2_Knowledge</ability>
      <abilityName>其他知识</abilityName>
      <candidateList>
        <item>国家发展改革委</item>
      </candidateList>
      <explain/>
      <paraID> 2BBCAFE</paraID>
      <start>11</start>
      <end>18</end>
      <status>modified</status>
      <modifiedWord>国家发展改革委</modifiedWord>
      <trackRevisions>false</trackRevisions>
    </reviewItem>
    <reviewItem>
      <errorID>e04e9a9b-23f2-4e60-acf9-2f478a61049c</errorID>
      <errorWord>《产业结构调整指导目录》（2024年本）</errorWord>
      <group>L1_Knowledge</group>
      <groupName>知识性问题</groupName>
      <ability>L2_Knowledge</ability>
      <abilityName>其他知识</abilityName>
      <candidateList>
        <item>《产业结构调整指导目录（2024年本）》</item>
      </candidateList>
      <explain>疑似政策文件、法律法规名称等书写不规范，请注意检查。</explain>
      <paraID> 2BBCAFE</paraID>
      <start>21</start>
      <end>41</end>
      <status>modified</status>
      <modifiedWord>《产业结构调整指导目录（2024年本）》</modifiedWord>
      <trackRevisions>false</trackRevisions>
    </reviewItem>
    <reviewItem>
      <errorID>5c6f86fc-a45e-4987-83dd-13156e97559d</errorID>
      <errorWord>。</errorWord>
      <group>L1_Grammar</group>
      <groupName>语法问题</groupName>
      <ability>L2_Collocation</ability>
      <abilityName>搭配不当</abilityName>
      <candidateList>
        <item>的要求。</item>
      </candidateList>
      <explain>句子中可能存在主谓、动宾、定语中心语、状语中心语、补语中心语、关联词搭配不当等问题。</explain>
      <paraID>1959ABE3</paraID>
      <start>79</start>
      <end>80</end>
      <status>unmodified</status>
      <modifiedWord/>
      <trackRevisions>false</trackRevisions>
    </reviewItem>
    <reviewItem>
      <errorID>22568c16-0095-40b5-9b8d-45ae68c92fd1</errorID>
      <errorWord>位</errorWord>
      <group>L1_Word</group>
      <groupName>字词问题</groupName>
      <ability>L2_Typo</ability>
      <abilityName>字词错误</abilityName>
      <candidateList>
        <item>位在</item>
      </candidateList>
      <explain/>
      <paraID>1959ABE3</paraID>
      <start>199</start>
      <end>201</end>
      <status>modified</status>
      <modifiedWord>位在</modifiedWord>
      <trackRevisions>false</trackRevisions>
    </reviewItem>
    <reviewItem>
      <errorID>3bd1c15f-3ee6-45b2-b2c9-d9c80d3afd12</errorID>
      <errorWord>水生生境</errorWord>
      <group>L1_Word</group>
      <groupName>字词问题</groupName>
      <ability>L2_Typo</ability>
      <abilityName>字词错误</abilityName>
      <candidateList>
        <item>水生环境</item>
      </candidateList>
      <explain/>
      <paraID>1959ABE3</paraID>
      <start>364</start>
      <end>368</end>
      <status>modified</status>
      <modifiedWord>水生环境</modifiedWord>
      <trackRevisions>false</trackRevisions>
    </reviewItem>
    <reviewItem>
      <errorID>92b10e17-9474-446e-846d-4691bd6ae0d7</errorID>
      <errorWord>上线</errorWord>
      <group>L1_Word</group>
      <groupName>字词问题</groupName>
      <ability>L2_Typo</ability>
      <abilityName>字词错误</abilityName>
      <candidateList>
        <item>上限</item>
      </candidateList>
      <explain/>
      <paraID>1959ABE3</paraID>
      <start>426</start>
      <end>428</end>
      <status>unmodified</status>
      <modifiedWord/>
      <trackRevisions>false</trackRevisions>
    </reviewItem>
    <reviewItem>
      <errorID>1ced9009-c7e1-49ea-9db1-c92e188b8d3d</errorID>
      <errorWord>其它</errorWord>
      <group>L1_Word</group>
      <groupName>字词问题</groupName>
      <ability>L2_Alias</ability>
      <abilityName>也作/曾用词</abilityName>
      <candidateList>
        <item>其他</item>
      </candidateList>
      <explain>词汇[其它]为不规范表述或旧称，其规范书面表述为[其他]。</explain>
      <paraID>75DB5A0A</paraID>
      <start>5</start>
      <end>7</end>
      <status>unmodified</status>
      <modifiedWord/>
      <trackRevisions>false</trackRevisions>
    </reviewItem>
    <reviewItem>
      <errorID>13c09a61-e6fc-4379-a365-d78a376fdb95</errorID>
      <errorWord>联防联动机制</errorWord>
      <group>L1_Word</group>
      <groupName>字词问题</groupName>
      <ability>L2_Typo</ability>
      <abilityName>字词错误</abilityName>
      <candidateList>
        <item>联防联控机制</item>
      </candidateList>
      <explain/>
      <paraID>4FF9F557</paraID>
      <start>24</start>
      <end>30</end>
      <status>unmodified</status>
      <modifiedWord/>
      <trackRevisions>false</trackRevisions>
    </reviewItem>
    <reviewItem>
      <errorID>9dda857c-1853-478b-b5a3-2da839e326a8</errorID>
      <errorWord>上线</errorWord>
      <group>L1_Word</group>
      <groupName>字词问题</groupName>
      <ability>L2_Typo</ability>
      <abilityName>字词错误</abilityName>
      <candidateList>
        <item>上限</item>
      </candidateList>
      <explain/>
      <paraID>660978A1</paraID>
      <start>12</start>
      <end>14</end>
      <status>unmodified</status>
      <modifiedWord/>
      <trackRevisions>false</trackRevisions>
    </reviewItem>
    <reviewItem>
      <errorID>82e2dd1d-f3ce-4e81-90c8-ec7b9a44a95f</errorID>
      <errorWord>上线</errorWord>
      <group>L1_Word</group>
      <groupName>字词问题</groupName>
      <ability>L2_Typo</ability>
      <abilityName>字词错误</abilityName>
      <candidateList>
        <item>上限</item>
      </candidateList>
      <explain/>
      <paraID>2B167859</paraID>
      <start>65</start>
      <end>67</end>
      <status>unmodified</status>
      <modifiedWord/>
      <trackRevisions>false</trackRevisions>
    </reviewItem>
    <reviewItem>
      <errorID>5409bfe5-4de6-438a-b894-16796d9945dc</errorID>
      <errorWord>山水林田湖草沙治理</errorWord>
      <group>L1_Political</group>
      <groupName>政治性问题</groupName>
      <ability>L2_Keyword</ability>
      <abilityName>固定表述</abilityName>
      <candidateList>
        <item>山水林田湖草沙系统治理</item>
      </candidateList>
      <explain>词汇“山水林田湖草沙系统治理”在特定场景下为固定表述形式，请确认此处的“山水林田湖草沙治理”是否存在不当。</explain>
      <paraID>7CB85EC2</paraID>
      <start>79</start>
      <end>88</end>
      <status>unmodified</status>
      <modifiedWord/>
      <trackRevisions>false</trackRevisions>
    </reviewItem>
    <reviewItem>
      <errorID>38afc199-4ed6-48bb-8bbe-78834b23214f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3B27982B</paraID>
      <start>0</start>
      <end>2</end>
      <status>unmodified</status>
      <modifiedWord/>
      <trackRevisions>false</trackRevisions>
    </reviewItem>
    <reviewItem>
      <errorID>fd21132c-095d-45b2-8338-6a7b650cf309</errorID>
      <errorWord>围</errorWord>
      <group>L1_Word</group>
      <groupName>字词问题</groupName>
      <ability>L2_Typo</ability>
      <abilityName>字词错误</abilityName>
      <candidateList>
        <item>围内</item>
      </candidateList>
      <explain/>
      <paraID>3B27982B</paraID>
      <start>10</start>
      <end>12</end>
      <status>modified</status>
      <modifiedWord>围内</modifiedWord>
      <trackRevisions>false</trackRevisions>
    </reviewItem>
    <reviewItem>
      <errorID>e428a116-272d-4b8c-83b6-eb6b45a80634</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16641C2B</paraID>
      <start>0</start>
      <end>2</end>
      <status>unmodified</status>
      <modifiedWord/>
      <trackRevisions>false</trackRevisions>
    </reviewItem>
    <reviewItem>
      <errorID>f23cba1d-2c54-4b30-8f0a-a9ac2edb6692</errorID>
      <errorWord>农村面源污染</errorWord>
      <group>L1_Political</group>
      <groupName>政治性问题</groupName>
      <ability>L2_Keyword</ability>
      <abilityName>固定表述</abilityName>
      <candidateList>
        <item>农业面源污染</item>
      </candidateList>
      <explain>词汇“农业面源污染”在特定场景下为固定表述形式，请确认此处的“农村面源污染”是否存在不当。</explain>
      <paraID>7A4C7E88</paraID>
      <start>9</start>
      <end>15</end>
      <status>unmodified</status>
      <modifiedWord/>
      <trackRevisions>false</trackRevisions>
    </reviewItem>
    <reviewItem>
      <errorID>ac641ad1-e18b-4c0d-9744-0a75adec5ffd</errorID>
      <errorWord>农村面源污染</errorWord>
      <group>L1_Political</group>
      <groupName>政治性问题</groupName>
      <ability>L2_Keyword</ability>
      <abilityName>固定表述</abilityName>
      <candidateList>
        <item>农业面源污染</item>
      </candidateList>
      <explain>词汇“农业面源污染”在特定场景下为固定表述形式，请确认此处的“农村面源污染”是否存在不当。</explain>
      <paraID>7CCC76AB</paraID>
      <start>6</start>
      <end>12</end>
      <status>unmodified</status>
      <modifiedWord/>
      <trackRevisions>false</trackRevisions>
    </reviewItem>
    <reviewItem>
      <errorID>61536350-6e5a-4ade-818f-903b42d4a62b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30C7C800</paraID>
      <start>0</start>
      <end>2</end>
      <status>unmodified</status>
      <modifiedWord/>
      <trackRevisions>false</trackRevisions>
    </reviewItem>
    <reviewItem>
      <errorID>840a0332-e179-4545-bab2-b2a42167d4f6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5D7CE27F</paraID>
      <start>0</start>
      <end>2</end>
      <status>unmodified</status>
      <modifiedWord/>
      <trackRevisions>false</trackRevisions>
    </reviewItem>
    <reviewItem>
      <errorID>6dd6c580-f884-42a6-b50d-12aaa5a1fe04</errorID>
      <errorWord>必须要</errorWord>
      <group>L1_Word</group>
      <groupName>字词问题</groupName>
      <ability>L2_Typo</ability>
      <abilityName>字词错误</abilityName>
      <candidateList>
        <item>必须</item>
      </candidateList>
      <explain>〈副〉❶表示事理上和情理上必要；一定要：学习～刻苦钻研。❷加强命令语气：明天你～来。‖注意“必须”的否定是“无须”、“不须”或“不必”。</explain>
      <paraID>290DCC25</paraID>
      <start>56</start>
      <end>58</end>
      <status>modified</status>
      <modifiedWord>必须</modifiedWord>
      <trackRevisions>false</trackRevisions>
    </reviewItem>
    <reviewItem>
      <errorID>70fe90aa-f5e0-43d8-8bda-0c9a05f78b03</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7B37673A</paraID>
      <start>0</start>
      <end>2</end>
      <status>unmodified</status>
      <modifiedWord/>
      <trackRevisions>false</trackRevisions>
    </reviewItem>
    <reviewItem>
      <errorID>f5f6515b-8e98-4d3b-80fa-22e92909fef2</errorID>
      <errorWord>围</errorWord>
      <group>L1_Word</group>
      <groupName>字词问题</groupName>
      <ability>L2_Typo</ability>
      <abilityName>字词错误</abilityName>
      <candidateList>
        <item>围内</item>
      </candidateList>
      <explain/>
      <paraID>7B37673A</paraID>
      <start>10</start>
      <end>11</end>
      <status>unmodified</status>
      <modifiedWord/>
      <trackRevisions>false</trackRevisions>
    </reviewItem>
    <reviewItem>
      <errorID>7e3827ad-1c18-4c4d-94ab-59e2ffc4c94e</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6D2E02E9</paraID>
      <start>0</start>
      <end>2</end>
      <status>unmodified</status>
      <modifiedWord/>
      <trackRevisions>false</trackRevisions>
    </reviewItem>
    <reviewItem>
      <errorID>2543989a-f93b-4324-95d0-82fba64627c5</errorID>
      <errorWord>农村面源污染</errorWord>
      <group>L1_Political</group>
      <groupName>政治性问题</groupName>
      <ability>L2_Keyword</ability>
      <abilityName>固定表述</abilityName>
      <candidateList>
        <item>农业面源污染</item>
      </candidateList>
      <explain>词汇“农业面源污染”在特定场景下为固定表述形式，请确认此处的“农村面源污染”是否存在不当。</explain>
      <paraID>59EAF52C</paraID>
      <start>14</start>
      <end>20</end>
      <status>unmodified</status>
      <modifiedWord/>
      <trackRevisions>false</trackRevisions>
    </reviewItem>
    <reviewItem>
      <errorID>9b925ce1-cc71-4396-b703-6f3c51aebf00</errorID>
      <errorWord>农村面源污染</errorWord>
      <group>L1_Political</group>
      <groupName>政治性问题</groupName>
      <ability>L2_Keyword</ability>
      <abilityName>固定表述</abilityName>
      <candidateList>
        <item>农业面源污染</item>
      </candidateList>
      <explain>词汇“农业面源污染”在特定场景下为固定表述形式，请确认此处的“农村面源污染”是否存在不当。</explain>
      <paraID>465350C5</paraID>
      <start>6</start>
      <end>12</end>
      <status>unmodified</status>
      <modifiedWord/>
      <trackRevisions>false</trackRevisions>
    </reviewItem>
    <reviewItem>
      <errorID>293906d3-ec42-43ee-b044-669a418522b6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286B698B</paraID>
      <start>0</start>
      <end>2</end>
      <status>unmodified</status>
      <modifiedWord/>
      <trackRevisions>false</trackRevisions>
    </reviewItem>
    <reviewItem>
      <errorID>61492edf-5846-4c6e-952d-92e666e44a50</errorID>
      <errorWord>亟需</errorWord>
      <group>L1_Word</group>
      <groupName>字词问题</groupName>
      <ability>L2_Typo</ability>
      <abilityName>字词错误</abilityName>
      <candidateList>
        <item>亟须</item>
      </candidateList>
      <explain/>
      <paraID>7538CAF5</paraID>
      <start>159</start>
      <end>161</end>
      <status>unmodified</status>
      <modifiedWord/>
      <trackRevisions>false</trackRevisions>
    </reviewItem>
    <reviewItem>
      <errorID>ed68c02e-5060-406d-8999-908f6baa8de2</errorID>
      <errorWord>IV</errorWord>
      <group>L1_Knowledge</group>
      <groupName>知识性问题</groupName>
      <ability>L2_Knowledge</ability>
      <abilityName>其他知识</abilityName>
      <candidateList>
        <item>Ⅳ</item>
      </candidateList>
      <explain>中文环境下罗马数字格式错误。</explain>
      <paraID>405B99B3</paraID>
      <start>92</start>
      <end>94</end>
      <status>unmodified</status>
      <modifiedWord/>
      <trackRevisions>false</trackRevisions>
    </reviewItem>
    <reviewItem>
      <errorID>89347b50-6f84-4b51-9fa7-748d9b281b27</errorID>
      <errorWord>,</errorWord>
      <group>L1_Format</group>
      <groupName>格式问题</groupName>
      <ability>L2_HalfPunc_CN</ability>
      <abilityName>全半角问题</abilityName>
      <candidateList>
        <item>，</item>
      </candidateList>
      <explain>文本全半角错误。</explain>
      <paraID>405B99B3</paraID>
      <start>125</start>
      <end>126</end>
      <status>unmodified</status>
      <modifiedWord/>
      <trackRevisions>false</trackRevisions>
    </reviewItem>
    <reviewItem>
      <errorID>d72d2017-54a0-4ec6-b152-90f1872e88f5</errorID>
      <errorWord>沿</errorWord>
      <group>L1_Word</group>
      <groupName>字词问题</groupName>
      <ability>L2_Typo</ability>
      <abilityName>字词错误</abilityName>
      <candidateList>
        <item>缘</item>
      </candidateList>
      <explain>存在发音相近字词的误用。</explain>
      <paraID>447CE6AB</paraID>
      <start>49</start>
      <end>50</end>
      <status>unmodified</status>
      <modifiedWord/>
      <trackRevisions>false</trackRevisions>
    </reviewItem>
    <reviewItem>
      <errorID>f7368ecb-002f-4db1-921b-49b8679e9d09</errorID>
      <errorWord>沿</errorWord>
      <group>L1_Word</group>
      <groupName>字词问题</groupName>
      <ability>L2_Typo</ability>
      <abilityName>字词错误</abilityName>
      <candidateList>
        <item>缘</item>
      </candidateList>
      <explain>存在发音相近字词的误用。</explain>
      <paraID>54B88BF7</paraID>
      <start>1</start>
      <end>2</end>
      <status>unmodified</status>
      <modifiedWord/>
      <trackRevisions>false</trackRevisions>
    </reviewItem>
    <reviewItem>
      <errorID>9f6f5291-6866-4b7c-9fb0-7cb8b6b5f651</errorID>
      <errorWord>计</errorWord>
      <group>L1_Word</group>
      <groupName>字词问题</groupName>
      <ability>L2_Typo</ability>
      <abilityName>字词错误</abilityName>
      <candidateList>
        <item>计算</item>
      </candidateList>
      <explain/>
      <paraID>2B0993FB</paraID>
      <start>25</start>
      <end>27</end>
      <status>modified</status>
      <modifiedWord>计算</modifiedWord>
      <trackRevisions>false</trackRevisions>
    </reviewItem>
    <reviewItem>
      <errorID>c7b81e82-3906-4679-a2f0-d6f6c1aba245</errorID>
      <errorWord>"</errorWord>
      <group>L1_Format</group>
      <groupName>格式问题</groupName>
      <ability>L2_HalfPunc_CN</ability>
      <abilityName>全半角问题</abilityName>
      <candidateList/>
      <explain>文本全半角错误。</explain>
      <paraID>26809680</paraID>
      <start>35</start>
      <end>36</end>
      <status>unmodified</status>
      <modifiedWord/>
      <trackRevisions>false</trackRevisions>
    </reviewItem>
    <reviewItem>
      <errorID>ed2a7d07-7309-40c5-8f5d-2d3376373df1</errorID>
      <errorWord>"</errorWord>
      <group>L1_Format</group>
      <groupName>格式问题</groupName>
      <ability>L2_HalfPunc_CN</ability>
      <abilityName>全半角问题</abilityName>
      <candidateList>
        <item>”</item>
      </candidateList>
      <explain>文本全半角错误。</explain>
      <paraID>26809680</paraID>
      <start>47</start>
      <end>48</end>
      <status>unmodified</status>
      <modifiedWord/>
      <trackRevisions>false</trackRevisions>
    </reviewItem>
    <reviewItem>
      <errorID>1ac82653-87d4-4515-a730-c37e65cea86c</errorID>
      <errorWord>沿</errorWord>
      <group>L1_Word</group>
      <groupName>字词问题</groupName>
      <ability>L2_Typo</ability>
      <abilityName>字词错误</abilityName>
      <candidateList>
        <item>缘</item>
      </candidateList>
      <explain>存在发音相近字词的误用。</explain>
      <paraID>22B54635</paraID>
      <start>12</start>
      <end>13</end>
      <status>unmodified</status>
      <modifiedWord/>
      <trackRevisions>false</trackRevisions>
    </reviewItem>
    <reviewItem>
      <errorID>5b4c59e9-706d-43d3-9fc0-47758e7c47f1</errorID>
      <errorWord>孔目</errorWord>
      <group>L1_Word</group>
      <groupName>字词问题</groupName>
      <ability>L2_Typo</ability>
      <abilityName>字词错误</abilityName>
      <candidateList>
        <item>孔径</item>
      </candidateList>
      <explain/>
      <paraID> 3AC95B9</paraID>
      <start>163</start>
      <end>165</end>
      <status>unmodified</status>
      <modifiedWord/>
      <trackRevisions>false</trackRevisions>
    </reviewItem>
    <reviewItem>
      <errorID>120a349f-5f72-433f-bff1-c4a95cba2bb9</errorID>
      <errorWord>(</errorWord>
      <group>L1_Format</group>
      <groupName>格式问题</groupName>
      <ability>L2_HalfPunc_CN</ability>
      <abilityName>全半角问题</abilityName>
      <candidateList>
        <item>（</item>
      </candidateList>
      <explain>文本全半角错误。</explain>
      <paraID>5E6F5A9C</paraID>
      <start>2</start>
      <end>3</end>
      <status>unmodified</status>
      <modifiedWord/>
      <trackRevisions>false</trackRevisions>
    </reviewItem>
    <reviewItem>
      <errorID>b519c008-ceea-4442-8806-2bccfbc4f161</errorID>
      <errorWord>)</errorWord>
      <group>L1_Format</group>
      <groupName>格式问题</groupName>
      <ability>L2_HalfPunc_CN</ability>
      <abilityName>全半角问题</abilityName>
      <candidateList>
        <item>）</item>
      </candidateList>
      <explain>文本全半角错误。</explain>
      <paraID>5E6F5A9C</paraID>
      <start>7</start>
      <end>8</end>
      <status>unmodified</status>
      <modifiedWord/>
      <trackRevisions>false</trackRevisions>
    </reviewItem>
    <reviewItem>
      <errorID>978550df-57bd-4fcf-afdc-2665e78a9e80</errorID>
      <errorWord>IV</errorWord>
      <group>L1_Knowledge</group>
      <groupName>知识性问题</groupName>
      <ability>L2_Knowledge</ability>
      <abilityName>其他知识</abilityName>
      <candidateList>
        <item>Ⅳ</item>
      </candidateList>
      <explain>中文环境下罗马数字格式错误。</explain>
      <paraID>3637CF48</paraID>
      <start>80</start>
      <end>82</end>
      <status>unmodified</status>
      <modifiedWord/>
      <trackRevisions>false</trackRevisions>
    </reviewItem>
    <reviewItem>
      <errorID>7303fe19-93f3-437e-ba9c-2e85bb0e1659</errorID>
      <errorWord>IV</errorWord>
      <group>L1_Knowledge</group>
      <groupName>知识性问题</groupName>
      <ability>L2_Knowledge</ability>
      <abilityName>其他知识</abilityName>
      <candidateList>
        <item>Ⅳ</item>
      </candidateList>
      <explain>中文环境下罗马数字格式错误。</explain>
      <paraID>6359C4D2</paraID>
      <start>16</start>
      <end>18</end>
      <status>unmodified</status>
      <modifiedWord/>
      <trackRevisions>false</trackRevisions>
    </reviewItem>
    <reviewItem>
      <errorID>94f51d80-f5f4-412d-9fcd-8ef30141272a</errorID>
      <errorWord>IV</errorWord>
      <group>L1_Knowledge</group>
      <groupName>知识性问题</groupName>
      <ability>L2_Knowledge</ability>
      <abilityName>其他知识</abilityName>
      <candidateList>
        <item>Ⅳ</item>
      </candidateList>
      <explain>中文环境下罗马数字格式错误。</explain>
      <paraID>2339B151</paraID>
      <start>16</start>
      <end>18</end>
      <status>unmodified</status>
      <modifiedWord/>
      <trackRevisions>false</trackRevisions>
    </reviewItem>
    <reviewItem>
      <errorID>942e7d85-a641-4488-883d-6cb0a5c83b61</errorID>
      <errorWord>58．</errorWord>
      <group>L1_Format</group>
      <groupName>格式问题</groupName>
      <ability>L2_Ordinal</ability>
      <abilityName>序号格式</abilityName>
      <candidateList>
        <item>58.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7DD1B523</paraID>
      <start>0</start>
      <end>3</end>
      <status>unmodified</status>
      <modifiedWord/>
      <trackRevisions>false</trackRevisions>
    </reviewItem>
    <reviewItem>
      <errorID>bcca9935-3bd7-4597-a560-4fa975cc6804</errorID>
      <errorWord>生态红线保护区</errorWord>
      <group>L1_Political</group>
      <groupName>政治性问题</groupName>
      <ability>L2_Keyword</ability>
      <abilityName>固定表述</abilityName>
      <candidateList>
        <item>生态功能保护区</item>
      </candidateList>
      <explain>词汇“生态功能保护区”在特定场景下为固定表述形式，请确认此处的“生态红线保护区”是否存在不当。</explain>
      <paraID>1AFC707C</paraID>
      <start>94</start>
      <end>101</end>
      <status>unmodified</status>
      <modifiedWord/>
      <trackRevisions>false</trackRevisions>
    </reviewItem>
    <reviewItem>
      <errorID>5006d331-803c-4097-a26d-fa029eb807a2</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14CBA3C2</paraID>
      <start>126</start>
      <end>127</end>
      <status>unmodified</status>
      <modifiedWord/>
      <trackRevisions>false</trackRevisions>
    </reviewItem>
    <reviewItem>
      <errorID>c8fa4e13-cc2b-4a37-b83b-8f40a61c5777</errorID>
      <errorWord>)</errorWord>
      <group>L1_Format</group>
      <groupName>格式问题</groupName>
      <ability>L2_HalfPunc_CN</ability>
      <abilityName>全半角问题</abilityName>
      <candidateList>
        <item>）</item>
      </candidateList>
      <explain>文本全半角错误。</explain>
      <paraID>14CBA3C2</paraID>
      <start>139</start>
      <end>140</end>
      <status>unmodified</status>
      <modifiedWord/>
      <trackRevisions>false</trackRevisions>
    </reviewItem>
    <reviewItem>
      <errorID>ffe4750c-a77b-4b20-9637-cd2b474ffb1c</errorID>
      <errorWord>)</errorWord>
      <group>L1_Format</group>
      <groupName>格式问题</groupName>
      <ability>L2_HalfPunc_CN</ability>
      <abilityName>全半角问题</abilityName>
      <candidateList>
        <item>）</item>
      </candidateList>
      <explain>文本全半角错误。</explain>
      <paraID>14CBA3C2</paraID>
      <start>181</start>
      <end>182</end>
      <status>unmodified</status>
      <modifiedWord/>
      <trackRevisions>false</trackRevisions>
    </reviewItem>
    <reviewItem>
      <errorID>e3c509e7-6450-4792-b821-2a466a921b3a</errorID>
      <errorWord>)</errorWord>
      <group>L1_Format</group>
      <groupName>格式问题</groupName>
      <ability>L2_HalfPunc_CN</ability>
      <abilityName>全半角问题</abilityName>
      <candidateList>
        <item>）</item>
      </candidateList>
      <explain>文本全半角错误。</explain>
      <paraID>14CBA3C2</paraID>
      <start>212</start>
      <end>213</end>
      <status>unmodified</status>
      <modifiedWord/>
      <trackRevisions>false</trackRevisions>
    </reviewItem>
    <reviewItem>
      <errorID>02e00882-4a34-4a04-aa35-38f7d46c2476</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3E5E31B1</paraID>
      <start>13</start>
      <end>14</end>
      <status>unmodified</status>
      <modifiedWord/>
      <trackRevisions>false</trackRevisions>
    </reviewItem>
    <reviewItem>
      <errorID>f12d50ab-90b1-4b5a-aa1c-a338b4a7d359</errorID>
      <errorWord>(</errorWord>
      <group>L1_Format</group>
      <groupName>格式问题</groupName>
      <ability>L2_HalfPunc_CN</ability>
      <abilityName>全半角问题</abilityName>
      <candidateList>
        <item>（</item>
      </candidateList>
      <explain>文本全半角错误。</explain>
      <paraID> 2B8A668</paraID>
      <start>5</start>
      <end>6</end>
      <status>unmodified</status>
      <modifiedWord/>
      <trackRevisions>false</trackRevisions>
    </reviewItem>
    <reviewItem>
      <errorID>86a519fe-11a3-40ea-a7dd-a0b0dc7a64da</errorID>
      <errorWord>)</errorWord>
      <group>L1_Format</group>
      <groupName>格式问题</groupName>
      <ability>L2_HalfPunc_CN</ability>
      <abilityName>全半角问题</abilityName>
      <candidateList>
        <item>）</item>
      </candidateList>
      <explain>文本全半角错误。</explain>
      <paraID> 2B8A668</paraID>
      <start>16</start>
      <end>17</end>
      <status>unmodified</status>
      <modifiedWord/>
      <trackRevisions>false</trackRevisions>
    </reviewItem>
    <reviewItem>
      <errorID>44e5888e-9c5a-473e-b0dd-e1b74207bb86</errorID>
      <errorWord>(</errorWord>
      <group>L1_Format</group>
      <groupName>格式问题</groupName>
      <ability>L2_HalfPunc_CN</ability>
      <abilityName>全半角问题</abilityName>
      <candidateList>
        <item>（</item>
      </candidateList>
      <explain>文本全半角错误。</explain>
      <paraID>75839E0D</paraID>
      <start>5</start>
      <end>6</end>
      <status>unmodified</status>
      <modifiedWord/>
      <trackRevisions>false</trackRevisions>
    </reviewItem>
    <reviewItem>
      <errorID>a60f3b3b-54e0-4a20-9f93-1f993e871809</errorID>
      <errorWord>)</errorWord>
      <group>L1_Format</group>
      <groupName>格式问题</groupName>
      <ability>L2_HalfPunc_CN</ability>
      <abilityName>全半角问题</abilityName>
      <candidateList>
        <item>）</item>
      </candidateList>
      <explain>文本全半角错误。</explain>
      <paraID>75839E0D</paraID>
      <start>16</start>
      <end>17</end>
      <status>unmodified</status>
      <modifiedWord/>
      <trackRevisions>false</trackRevisions>
    </reviewItem>
    <reviewItem>
      <errorID>a56387c8-f3f8-4971-b84f-f678a03c2c4e</errorID>
      <errorWord>(</errorWord>
      <group>L1_Format</group>
      <groupName>格式问题</groupName>
      <ability>L2_HalfPunc_CN</ability>
      <abilityName>全半角问题</abilityName>
      <candidateList>
        <item>（</item>
      </candidateList>
      <explain>文本全半角错误。</explain>
      <paraID>14B924D3</paraID>
      <start>5</start>
      <end>6</end>
      <status>unmodified</status>
      <modifiedWord/>
      <trackRevisions>false</trackRevisions>
    </reviewItem>
    <reviewItem>
      <errorID>ae6e7ca8-2049-460a-96e5-1be1d9927962</errorID>
      <errorWord>)</errorWord>
      <group>L1_Format</group>
      <groupName>格式问题</groupName>
      <ability>L2_HalfPunc_CN</ability>
      <abilityName>全半角问题</abilityName>
      <candidateList>
        <item>）</item>
      </candidateList>
      <explain>文本全半角错误。</explain>
      <paraID>14B924D3</paraID>
      <start>16</start>
      <end>17</end>
      <status>unmodified</status>
      <modifiedWord/>
      <trackRevisions>false</trackRevisions>
    </reviewItem>
    <reviewItem>
      <errorID>6615528a-d540-45e7-acee-cac98d671fe8</errorID>
      <errorWord>(</errorWord>
      <group>L1_Format</group>
      <groupName>格式问题</groupName>
      <ability>L2_HalfPunc_CN</ability>
      <abilityName>全半角问题</abilityName>
      <candidateList>
        <item>（</item>
      </candidateList>
      <explain>文本全半角错误。</explain>
      <paraID>767201AA</paraID>
      <start>5</start>
      <end>6</end>
      <status>unmodified</status>
      <modifiedWord/>
      <trackRevisions>false</trackRevisions>
    </reviewItem>
    <reviewItem>
      <errorID>b265767d-0f63-4c32-b2c1-c31bd89ecef5</errorID>
      <errorWord>)</errorWord>
      <group>L1_Format</group>
      <groupName>格式问题</groupName>
      <ability>L2_HalfPunc_CN</ability>
      <abilityName>全半角问题</abilityName>
      <candidateList>
        <item>）</item>
      </candidateList>
      <explain>文本全半角错误。</explain>
      <paraID>767201AA</paraID>
      <start>16</start>
      <end>17</end>
      <status>unmodified</status>
      <modifiedWord/>
      <trackRevisions>false</trackRevisions>
    </reviewItem>
    <reviewItem>
      <errorID>0e05cc1e-0fda-42e8-a076-28b9724e9052</errorID>
      <errorWord>(</errorWord>
      <group>L1_Format</group>
      <groupName>格式问题</groupName>
      <ability>L2_HalfPunc_CN</ability>
      <abilityName>全半角问题</abilityName>
      <candidateList>
        <item>（</item>
      </candidateList>
      <explain>文本全半角错误。</explain>
      <paraID>7504E4D0</paraID>
      <start>117</start>
      <end>118</end>
      <status>unmodified</status>
      <modifiedWord/>
      <trackRevisions>false</trackRevisions>
    </reviewItem>
    <reviewItem>
      <errorID>b57b8d60-3862-44cc-abd4-a7ba18a696b0</errorID>
      <errorWord>)</errorWord>
      <group>L1_Format</group>
      <groupName>格式问题</groupName>
      <ability>L2_HalfPunc_CN</ability>
      <abilityName>全半角问题</abilityName>
      <candidateList>
        <item>）</item>
      </candidateList>
      <explain>文本全半角错误。</explain>
      <paraID>7504E4D0</paraID>
      <start>120</start>
      <end>121</end>
      <status>unmodified</status>
      <modifiedWord/>
      <trackRevisions>false</trackRevisions>
    </reviewItem>
    <reviewItem>
      <errorID>0af039bf-4268-4002-9eb0-cc5706cd209a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5B6A5FDA</paraID>
      <start>0</start>
      <end>2</end>
      <status>unmodified</status>
      <modifiedWord/>
      <trackRevisions>false</trackRevisions>
    </reviewItem>
    <reviewItem>
      <errorID>57288370-d7a2-4112-929b-011d1460df87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48A9969C</paraID>
      <start>0</start>
      <end>2</end>
      <status>unmodified</status>
      <modifiedWord/>
      <trackRevisions>false</trackRevisions>
    </reviewItem>
    <reviewItem>
      <errorID>99cc8737-9714-4c1d-8ebc-4edae8742a55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221A8D3F</paraID>
      <start>0</start>
      <end>2</end>
      <status>unmodified</status>
      <modifiedWord/>
      <trackRevisions>false</trackRevisions>
    </reviewItem>
    <reviewItem>
      <errorID>6e741da4-20c2-4b0d-8a1c-4f0d275200cb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42904F47</paraID>
      <start>0</start>
      <end>2</end>
      <status>unmodified</status>
      <modifiedWord/>
      <trackRevisions>false</trackRevisions>
    </reviewItem>
    <reviewItem>
      <errorID>b2672ce4-c572-404b-8dc6-5d974ee8125b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178B543F</paraID>
      <start>0</start>
      <end>2</end>
      <status>unmodified</status>
      <modifiedWord/>
      <trackRevisions>false</trackRevisions>
    </reviewItem>
    <reviewItem>
      <errorID>e01e7c43-4674-4335-b969-415a8175b55d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403AC02B</paraID>
      <start>0</start>
      <end>2</end>
      <status>unmodified</status>
      <modifiedWord/>
      <trackRevisions>false</trackRevisions>
    </reviewItem>
    <reviewItem>
      <errorID>244e8090-28c6-441d-b867-2c7c6d840330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6D0642E</paraID>
      <start>0</start>
      <end>2</end>
      <status>unmodified</status>
      <modifiedWord/>
      <trackRevisions>false</trackRevisions>
    </reviewItem>
    <reviewItem>
      <errorID>fe93e719-e207-4820-b6be-67db1e9cf6a7</errorID>
      <errorWord>,</errorWord>
      <group>L1_Format</group>
      <groupName>格式问题</groupName>
      <ability>L2_HalfPunc_CN</ability>
      <abilityName>全半角问题</abilityName>
      <candidateList>
        <item>，</item>
      </candidateList>
      <explain>文本全半角错误。</explain>
      <paraID>7E92C422</paraID>
      <start>1</start>
      <end>2</end>
      <status>unmodified</status>
      <modifiedWord/>
      <trackRevisions>false</trackRevisions>
    </reviewItem>
    <reviewItem>
      <errorID>e9706b48-9c78-40a2-b399-8fdbac4476e1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430EAA25</paraID>
      <start>0</start>
      <end>2</end>
      <status>unmodified</status>
      <modifiedWord/>
      <trackRevisions>false</trackRevisions>
    </reviewItem>
    <reviewItem>
      <errorID>b775c814-d02b-44ce-9e22-ebe229490baa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7A36F2E4</paraID>
      <start>0</start>
      <end>2</end>
      <status>unmodified</status>
      <modifiedWord/>
      <trackRevisions>false</trackRevisions>
    </reviewItem>
    <reviewItem>
      <errorID>3b09c186-57f5-44fb-9b0b-5ff01cb41d23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4921A422</paraID>
      <start>0</start>
      <end>2</end>
      <status>unmodified</status>
      <modifiedWord/>
      <trackRevisions>false</trackRevisions>
    </reviewItem>
    <reviewItem>
      <errorID>9246555f-65df-4b20-b6b4-67f41c19991b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43461206</paraID>
      <start>0</start>
      <end>2</end>
      <status>unmodified</status>
      <modifiedWord/>
      <trackRevisions>false</trackRevisions>
    </reviewItem>
    <reviewItem>
      <errorID>1ff26f3e-2abb-49ac-9885-917c3bdbe950</errorID>
      <errorWord>(</errorWord>
      <group>L1_Format</group>
      <groupName>格式问题</groupName>
      <ability>L2_HalfPunc_CN</ability>
      <abilityName>全半角问题</abilityName>
      <candidateList>
        <item>（</item>
      </candidateList>
      <explain>文本全半角错误。</explain>
      <paraID>4C4297A3</paraID>
      <start>1</start>
      <end>2</end>
      <status>unmodified</status>
      <modifiedWord/>
      <trackRevisions>false</trackRevisions>
    </reviewItem>
    <reviewItem>
      <errorID>d3f5782b-2726-4e72-9607-936c8fee35da</errorID>
      <errorWord>＜</errorWord>
      <group>L1_Format</group>
      <groupName>格式问题</groupName>
      <ability>L2_HalfPunc_CN</ability>
      <abilityName>全半角问题</abilityName>
      <candidateList>
        <item>&lt;</item>
      </candidateList>
      <explain>文本全半角错误。</explain>
      <paraID>3F6CAC80</paraID>
      <start>0</start>
      <end>1</end>
      <status>unmodified</status>
      <modifiedWord/>
      <trackRevisions>false</trackRevisions>
    </reviewItem>
    <reviewItem>
      <errorID>67efded2-6a92-4909-a2db-da11f8f1e090</errorID>
      <errorWord>＜</errorWord>
      <group>L1_Format</group>
      <groupName>格式问题</groupName>
      <ability>L2_HalfPunc_CN</ability>
      <abilityName>全半角问题</abilityName>
      <candidateList>
        <item>&lt;</item>
      </candidateList>
      <explain>文本全半角错误。</explain>
      <paraID>19CC25F5</paraID>
      <start>0</start>
      <end>1</end>
      <status>unmodified</status>
      <modifiedWord/>
      <trackRevisions>false</trackRevisions>
    </reviewItem>
    <reviewItem>
      <errorID>9c3ada10-1f9b-4d18-8a25-036efb63d885</errorID>
      <errorWord>(</errorWord>
      <group>L1_Format</group>
      <groupName>格式问题</groupName>
      <ability>L2_HalfPunc_CN</ability>
      <abilityName>全半角问题</abilityName>
      <candidateList>
        <item>（</item>
      </candidateList>
      <explain>文本全半角错误。</explain>
      <paraID>5910E5B9</paraID>
      <start>52</start>
      <end>53</end>
      <status>unmodified</status>
      <modifiedWord/>
      <trackRevisions>false</trackRevisions>
    </reviewItem>
    <reviewItem>
      <errorID>1fde9a89-6daa-4243-93b2-f68b5711d8ba</errorID>
      <errorWord>)</errorWord>
      <group>L1_Format</group>
      <groupName>格式问题</groupName>
      <ability>L2_HalfPunc_CN</ability>
      <abilityName>全半角问题</abilityName>
      <candidateList>
        <item>）</item>
      </candidateList>
      <explain>文本全半角错误。</explain>
      <paraID>5910E5B9</paraID>
      <start>55</start>
      <end>56</end>
      <status>unmodified</status>
      <modifiedWord/>
      <trackRevisions>false</trackRevisions>
    </reviewItem>
    <reviewItem>
      <errorID>aa30d162-8b4f-419b-9b4a-b7d2b29bf02e</errorID>
      <errorWord>(</errorWord>
      <group>L1_Format</group>
      <groupName>格式问题</groupName>
      <ability>L2_HalfPunc_CN</ability>
      <abilityName>全半角问题</abilityName>
      <candidateList>
        <item>（</item>
      </candidateList>
      <explain>文本全半角错误。</explain>
      <paraID>5910E5B9</paraID>
      <start>123</start>
      <end>124</end>
      <status>unmodified</status>
      <modifiedWord/>
      <trackRevisions>false</trackRevisions>
    </reviewItem>
    <reviewItem>
      <errorID>52c7ebd5-92f0-4c03-ae3b-f3ec23e57007</errorID>
      <errorWord>)</errorWord>
      <group>L1_Format</group>
      <groupName>格式问题</groupName>
      <ability>L2_HalfPunc_CN</ability>
      <abilityName>全半角问题</abilityName>
      <candidateList>
        <item>）</item>
      </candidateList>
      <explain>文本全半角错误。</explain>
      <paraID>5910E5B9</paraID>
      <start>126</start>
      <end>127</end>
      <status>unmodified</status>
      <modifiedWord/>
      <trackRevisions>false</trackRevisions>
    </reviewItem>
    <reviewItem>
      <errorID>cdefb18d-af41-488f-a967-50704ba10300</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590C224A</paraID>
      <start>25</start>
      <end>26</end>
      <status>unmodified</status>
      <modifiedWord/>
      <trackRevisions>false</trackRevisions>
    </reviewItem>
    <reviewItem>
      <errorID>94713d59-2fdc-4a49-8d44-9b1d3249d0aa</errorID>
      <errorWord>(</errorWord>
      <group>L1_Format</group>
      <groupName>格式问题</groupName>
      <ability>L2_HalfPunc_CN</ability>
      <abilityName>全半角问题</abilityName>
      <candidateList>
        <item>（</item>
      </candidateList>
      <explain>文本全半角错误。</explain>
      <paraID>23D2AE9B</paraID>
      <start>20</start>
      <end>21</end>
      <status>unmodified</status>
      <modifiedWord/>
      <trackRevisions>false</trackRevisions>
    </reviewItem>
    <reviewItem>
      <errorID>1a223783-b84e-4731-a1fc-dfd0775186f4</errorID>
      <errorWord>)</errorWord>
      <group>L1_Format</group>
      <groupName>格式问题</groupName>
      <ability>L2_HalfPunc_CN</ability>
      <abilityName>全半角问题</abilityName>
      <candidateList>
        <item>）</item>
      </candidateList>
      <explain>文本全半角错误。</explain>
      <paraID>23D2AE9B</paraID>
      <start>23</start>
      <end>24</end>
      <status>unmodified</status>
      <modifiedWord/>
      <trackRevisions>false</trackRevisions>
    </reviewItem>
    <reviewItem>
      <errorID>0df5088f-ee8a-4db2-b2b5-a4e15df3a0c5</errorID>
      <errorWord>(</errorWord>
      <group>L1_Format</group>
      <groupName>格式问题</groupName>
      <ability>L2_HalfPunc_CN</ability>
      <abilityName>全半角问题</abilityName>
      <candidateList>
        <item>（</item>
      </candidateList>
      <explain>文本全半角错误。</explain>
      <paraID>23D2AE9B</paraID>
      <start>75</start>
      <end>76</end>
      <status>unmodified</status>
      <modifiedWord/>
      <trackRevisions>false</trackRevisions>
    </reviewItem>
    <reviewItem>
      <errorID>f6b56b29-3309-48f9-b117-b41e26b89e36</errorID>
      <errorWord>)</errorWord>
      <group>L1_Format</group>
      <groupName>格式问题</groupName>
      <ability>L2_HalfPunc_CN</ability>
      <abilityName>全半角问题</abilityName>
      <candidateList>
        <item>）</item>
      </candidateList>
      <explain>文本全半角错误。</explain>
      <paraID>23D2AE9B</paraID>
      <start>78</start>
      <end>79</end>
      <status>unmodified</status>
      <modifiedWord/>
      <trackRevisions>false</trackRevisions>
    </reviewItem>
    <reviewItem>
      <errorID>8eaa6a89-70f8-49a4-a7ca-f74846d833ca</errorID>
      <errorWord>～</errorWord>
      <group>L1_Format</group>
      <groupName>格式问题</groupName>
      <ability>L2_HalfPunc_CN</ability>
      <abilityName>全半角问题</abilityName>
      <candidateList>
        <item>~</item>
      </candidateList>
      <explain>文本全半角错误。</explain>
      <paraID>296C2C4B</paraID>
      <start>1</start>
      <end>2</end>
      <status>unmodified</status>
      <modifiedWord/>
      <trackRevisions>false</trackRevisions>
    </reviewItem>
    <reviewItem>
      <errorID>bceeea19-8734-4915-8e64-804d7e1d5b51</errorID>
      <errorWord>(</errorWord>
      <group>L1_Format</group>
      <groupName>格式问题</groupName>
      <ability>L2_HalfPunc_CN</ability>
      <abilityName>全半角问题</abilityName>
      <candidateList>
        <item>（</item>
      </candidateList>
      <explain>文本全半角错误。</explain>
      <paraID>2C8DCDEF</paraID>
      <start>32</start>
      <end>33</end>
      <status>unmodified</status>
      <modifiedWord/>
      <trackRevisions>false</trackRevisions>
    </reviewItem>
    <reviewItem>
      <errorID>7417a551-f7a4-4365-bda3-9b240bf00c7d</errorID>
      <errorWord>)</errorWord>
      <group>L1_Format</group>
      <groupName>格式问题</groupName>
      <ability>L2_HalfPunc_CN</ability>
      <abilityName>全半角问题</abilityName>
      <candidateList>
        <item>）</item>
      </candidateList>
      <explain>文本全半角错误。</explain>
      <paraID>2C8DCDEF</paraID>
      <start>35</start>
      <end>36</end>
      <status>unmodified</status>
      <modifiedWord/>
      <trackRevisions>false</trackRevisions>
    </reviewItem>
    <reviewItem>
      <errorID>f65fa95c-f701-4096-b337-6e892d1cc41d</errorID>
      <errorWord>(</errorWord>
      <group>L1_Format</group>
      <groupName>格式问题</groupName>
      <ability>L2_HalfPunc_CN</ability>
      <abilityName>全半角问题</abilityName>
      <candidateList>
        <item>（</item>
      </candidateList>
      <explain>文本全半角错误。</explain>
      <paraID>2E6182F3</paraID>
      <start>1</start>
      <end>2</end>
      <status>unmodified</status>
      <modifiedWord/>
      <trackRevisions>false</trackRevisions>
    </reviewItem>
    <reviewItem>
      <errorID>020ef32d-200b-4083-8037-238a5b904dbd</errorID>
      <errorWord>)</errorWord>
      <group>L1_Format</group>
      <groupName>格式问题</groupName>
      <ability>L2_HalfPunc_CN</ability>
      <abilityName>全半角问题</abilityName>
      <candidateList>
        <item>）</item>
      </candidateList>
      <explain>文本全半角错误。</explain>
      <paraID>2E6182F3</paraID>
      <start>4</start>
      <end>5</end>
      <status>unmodified</status>
      <modifiedWord/>
      <trackRevisions>false</trackRevisions>
    </reviewItem>
    <reviewItem>
      <errorID>e5681cf6-1f5f-4f06-8496-55c2bd321456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75089050</paraID>
      <start>0</start>
      <end>2</end>
      <status>unmodified</status>
      <modifiedWord/>
      <trackRevisions>false</trackRevisions>
    </reviewItem>
    <reviewItem>
      <errorID>eff1831b-e507-4b64-bb6e-2e7e049efb82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1729E5E3</paraID>
      <start>0</start>
      <end>2</end>
      <status>unmodified</status>
      <modifiedWord/>
      <trackRevisions>false</trackRevisions>
    </reviewItem>
    <reviewItem>
      <errorID>cde5653b-1dbe-40f7-8020-ca3dc8cc8561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69209CC1</paraID>
      <start>0</start>
      <end>2</end>
      <status>unmodified</status>
      <modifiedWord/>
      <trackRevisions>false</trackRevisions>
    </reviewItem>
    <reviewItem>
      <errorID>04fabc1b-7a63-4bda-9c9a-9b8d2c3f3d91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483F9DFF</paraID>
      <start>0</start>
      <end>2</end>
      <status>unmodified</status>
      <modifiedWord/>
      <trackRevisions>false</trackRevisions>
    </reviewItem>
    <reviewItem>
      <errorID>c0de79c8-625d-4f0f-a4e9-5766f834a6c7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3B107D58</paraID>
      <start>0</start>
      <end>2</end>
      <status>unmodified</status>
      <modifiedWord/>
      <trackRevisions>false</trackRevisions>
    </reviewItem>
    <reviewItem>
      <errorID>aff77115-e215-490e-a764-ffbeb1b5c7f4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5FEA48E7</paraID>
      <start>0</start>
      <end>2</end>
      <status>unmodified</status>
      <modifiedWord/>
      <trackRevisions>false</trackRevisions>
    </reviewItem>
    <reviewItem>
      <errorID>9a7f31e7-7671-4758-83f4-461c9bca0fa3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32A03EB8</paraID>
      <start>0</start>
      <end>2</end>
      <status>unmodified</status>
      <modifiedWord/>
      <trackRevisions>false</trackRevisions>
    </reviewItem>
    <reviewItem>
      <errorID>7b600d99-a43d-41a0-85e1-92976aafaeb7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3A551D32</paraID>
      <start>0</start>
      <end>2</end>
      <status>unmodified</status>
      <modifiedWord/>
      <trackRevisions>false</trackRevisions>
    </reviewItem>
    <reviewItem>
      <errorID>491156db-af07-45d2-a12a-1fa973dc115f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60CDBDB4</paraID>
      <start>0</start>
      <end>2</end>
      <status>unmodified</status>
      <modifiedWord/>
      <trackRevisions>false</trackRevisions>
    </reviewItem>
    <reviewItem>
      <errorID>427fb8aa-d6ba-4fc9-aee3-7054fbc58d7b</errorID>
      <errorWord>(</errorWord>
      <group>L1_Format</group>
      <groupName>格式问题</groupName>
      <ability>L2_HalfPunc_CN</ability>
      <abilityName>全半角问题</abilityName>
      <candidateList>
        <item>（</item>
      </candidateList>
      <explain>文本全半角错误。</explain>
      <paraID>4EA83B13</paraID>
      <start>2</start>
      <end>3</end>
      <status>unmodified</status>
      <modifiedWord/>
      <trackRevisions>false</trackRevisions>
    </reviewItem>
    <reviewItem>
      <errorID>9282a354-f92e-4ae9-bc04-3c47a3f18f6c</errorID>
      <errorWord>)</errorWord>
      <group>L1_Format</group>
      <groupName>格式问题</groupName>
      <ability>L2_HalfPunc_CN</ability>
      <abilityName>全半角问题</abilityName>
      <candidateList>
        <item>）</item>
      </candidateList>
      <explain>文本全半角错误。</explain>
      <paraID>4EA83B13</paraID>
      <start>4</start>
      <end>5</end>
      <status>unmodified</status>
      <modifiedWord/>
      <trackRevisions>false</trackRevisions>
    </reviewItem>
    <reviewItem>
      <errorID>96fc87bf-1a81-419b-bdf1-3ea5e9d3c2ec</errorID>
      <errorWord>(</errorWord>
      <group>L1_Format</group>
      <groupName>格式问题</groupName>
      <ability>L2_HalfPunc_CN</ability>
      <abilityName>全半角问题</abilityName>
      <candidateList>
        <item>（</item>
      </candidateList>
      <explain>文本全半角错误。</explain>
      <paraID>2D0B1211</paraID>
      <start>2</start>
      <end>3</end>
      <status>unmodified</status>
      <modifiedWord/>
      <trackRevisions>false</trackRevisions>
    </reviewItem>
    <reviewItem>
      <errorID>6609ea0b-216e-4dc5-9264-ded000a0c058</errorID>
      <errorWord>)</errorWord>
      <group>L1_Format</group>
      <groupName>格式问题</groupName>
      <ability>L2_HalfPunc_CN</ability>
      <abilityName>全半角问题</abilityName>
      <candidateList>
        <item>）</item>
      </candidateList>
      <explain>文本全半角错误。</explain>
      <paraID>2D0B1211</paraID>
      <start>4</start>
      <end>5</end>
      <status>unmodified</status>
      <modifiedWord/>
      <trackRevisions>false</trackRevisions>
    </reviewItem>
    <reviewItem>
      <errorID>beb26d18-2d00-479e-b97c-82d0f1d9eea2</errorID>
      <errorWord>(</errorWord>
      <group>L1_Format</group>
      <groupName>格式问题</groupName>
      <ability>L2_HalfPunc_CN</ability>
      <abilityName>全半角问题</abilityName>
      <candidateList>
        <item>（</item>
      </candidateList>
      <explain>文本全半角错误。</explain>
      <paraID>6A853326</paraID>
      <start>2</start>
      <end>3</end>
      <status>unmodified</status>
      <modifiedWord/>
      <trackRevisions>false</trackRevisions>
    </reviewItem>
    <reviewItem>
      <errorID>2edea492-eeaf-4a05-b0ec-65879b5cfd9f</errorID>
      <errorWord>)</errorWord>
      <group>L1_Format</group>
      <groupName>格式问题</groupName>
      <ability>L2_HalfPunc_CN</ability>
      <abilityName>全半角问题</abilityName>
      <candidateList>
        <item>）</item>
      </candidateList>
      <explain>文本全半角错误。</explain>
      <paraID>6A853326</paraID>
      <start>4</start>
      <end>5</end>
      <status>unmodified</status>
      <modifiedWord/>
      <trackRevisions>false</trackRevisions>
    </reviewItem>
    <reviewItem>
      <errorID>7f98b0f6-be53-40d0-a73f-21c0e31423d1</errorID>
      <errorWord>(</errorWord>
      <group>L1_Format</group>
      <groupName>格式问题</groupName>
      <ability>L2_HalfPunc_CN</ability>
      <abilityName>全半角问题</abilityName>
      <candidateList>
        <item>（</item>
      </candidateList>
      <explain>文本全半角错误。</explain>
      <paraID>1470CFFF</paraID>
      <start>2</start>
      <end>3</end>
      <status>unmodified</status>
      <modifiedWord/>
      <trackRevisions>false</trackRevisions>
    </reviewItem>
    <reviewItem>
      <errorID>cc55ee2c-fd7e-4ebb-ace0-1d17f1b75250</errorID>
      <errorWord>)</errorWord>
      <group>L1_Format</group>
      <groupName>格式问题</groupName>
      <ability>L2_HalfPunc_CN</ability>
      <abilityName>全半角问题</abilityName>
      <candidateList>
        <item>）</item>
      </candidateList>
      <explain>文本全半角错误。</explain>
      <paraID>1470CFFF</paraID>
      <start>4</start>
      <end>5</end>
      <status>unmodified</status>
      <modifiedWord/>
      <trackRevisions>false</trackRevisions>
    </reviewItem>
    <reviewItem>
      <errorID>cd8a1a28-2a1d-43be-9948-2440533867ea</errorID>
      <errorWord>(</errorWord>
      <group>L1_Format</group>
      <groupName>格式问题</groupName>
      <ability>L2_HalfPunc_CN</ability>
      <abilityName>全半角问题</abilityName>
      <candidateList>
        <item>（</item>
      </candidateList>
      <explain>文本全半角错误。</explain>
      <paraID>69F5447C</paraID>
      <start>2</start>
      <end>3</end>
      <status>unmodified</status>
      <modifiedWord/>
      <trackRevisions>false</trackRevisions>
    </reviewItem>
    <reviewItem>
      <errorID>9bf9f407-f8db-47a8-855b-079e545e9206</errorID>
      <errorWord>)</errorWord>
      <group>L1_Format</group>
      <groupName>格式问题</groupName>
      <ability>L2_HalfPunc_CN</ability>
      <abilityName>全半角问题</abilityName>
      <candidateList>
        <item>）</item>
      </candidateList>
      <explain>文本全半角错误。</explain>
      <paraID>69F5447C</paraID>
      <start>11</start>
      <end>12</end>
      <status>unmodified</status>
      <modifiedWord/>
      <trackRevisions>false</trackRevisions>
    </reviewItem>
    <reviewItem>
      <errorID>2b6c8c24-abf7-4708-9792-726140554a67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4439987F</paraID>
      <start>0</start>
      <end>2</end>
      <status>unmodified</status>
      <modifiedWord/>
      <trackRevisions>false</trackRevisions>
    </reviewItem>
    <reviewItem>
      <errorID>1af962d7-bba0-4198-97e4-3cd72259a9dd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4A35142F</paraID>
      <start>0</start>
      <end>2</end>
      <status>unmodified</status>
      <modifiedWord/>
      <trackRevisions>false</trackRevisions>
    </reviewItem>
    <reviewItem>
      <errorID>f6e6ea6f-e360-4dd9-8204-c28903aad327</errorID>
      <errorWord>回覆</errorWord>
      <group>L1_Word</group>
      <groupName>字词问题</groupName>
      <ability>L2_Fanti</ability>
      <abilityName>繁转简</abilityName>
      <candidateList>
        <item>回复</item>
      </candidateList>
      <explain/>
      <paraID>73A6FB0D</paraID>
      <start>195</start>
      <end>197</end>
      <status>unmodified</status>
      <modifiedWord/>
      <trackRevisions>false</trackRevisions>
    </reviewItem>
    <reviewItem>
      <errorID>97fb7a3b-6907-40fb-8b33-69320259fc13</errorID>
      <errorWord>洒</errorWord>
      <group>L1_Word</group>
      <groupName>字词问题</groupName>
      <ability>L2_Typo</ability>
      <abilityName>字词错误</abilityName>
      <candidateList>
        <item>撒</item>
      </candidateList>
      <explain>存在发音相同字词的误用。</explain>
      <paraID>3CD40325</paraID>
      <start>29</start>
      <end>30</end>
      <status>modified</status>
      <modifiedWord>撒</modifiedWord>
      <trackRevisions>false</trackRevisions>
    </reviewItem>
    <reviewItem>
      <errorID>e873f271-a09b-4c74-be43-494aee212975</errorID>
      <errorWord>间</errorWord>
      <group>L1_Word</group>
      <groupName>字词问题</groupName>
      <ability>L2_Typo</ability>
      <abilityName>字词错误</abilityName>
      <candidateList>
        <item>间内</item>
      </candidateList>
      <explain/>
      <paraID>769F5804</paraID>
      <start>53</start>
      <end>54</end>
      <status>unmodified</status>
      <modifiedWord/>
      <trackRevisions>false</trackRevisions>
    </reviewItem>
    <reviewItem>
      <errorID>e34d54f0-b636-4d50-9a73-1d1403dfc324</errorID>
      <errorWord>产生了</errorWord>
      <group>L1_Word</group>
      <groupName>字词问题</groupName>
      <ability>L2_Typo</ability>
      <abilityName>字词错误</abilityName>
      <candidateList>
        <item>产生</item>
      </candidateList>
      <explain/>
      <paraID>2BD91D80</paraID>
      <start>158</start>
      <end>160</end>
      <status>modified</status>
      <modifiedWord>产生</modifiedWord>
      <trackRevisions>false</trackRevisions>
    </reviewItem>
    <reviewItem>
      <errorID>0ac9d43b-04e7-4eda-b2a3-2e3a935d907b</errorID>
      <errorWord>对其</errorWord>
      <group>L1_Word</group>
      <groupName>字词问题</groupName>
      <ability>L2_Typo</ability>
      <abilityName>字词错误</abilityName>
      <candidateList>
        <item>对</item>
      </candidateList>
      <explain>（對）duì❶回答：～答｜无言以～。❷〈动〉对待；对付：～事不～人｜～症下药｜刀～刀，枪～枪。❸〈动〉朝着；向着（常跟“着”）：～着镜子理理头发｜枪口～着敌人。❹二者相对；彼此相向：～调｜～流｜～立｜～抗。❺对面的；敌对的：～岸｜～方｜～手｜作～。❻〈动〉使两个东西配合或接触：～对子｜把门～上｜～个火儿。</explain>
      <paraID>4270962B</paraID>
      <start>60</start>
      <end>61</end>
      <status>modified</status>
      <modifiedWord>对</modifiedWord>
      <trackRevisions>false</trackRevisions>
    </reviewItem>
    <reviewItem>
      <errorID>0302ba1b-81e4-4a0c-acff-4f06528f30e6</errorID>
      <errorWord>拌合站</errorWord>
      <group>L1_Word</group>
      <groupName>字词问题</groupName>
      <ability>L2_Typo</ability>
      <abilityName>字词错误</abilityName>
      <candidateList>
        <item>拌和站</item>
      </candidateList>
      <explain>存在发音相同字词的误用。</explain>
      <paraID>24A8A210</paraID>
      <start>35</start>
      <end>38</end>
      <status>modified</status>
      <modifiedWord>拌和站</modifiedWord>
      <trackRevisions>false</trackRevisions>
    </reviewItem>
    <reviewItem>
      <errorID>4aede4ee-a57e-4d8b-b9e3-aa06b51d7309</errorID>
      <errorWord>)</errorWord>
      <group>L1_Format</group>
      <groupName>格式问题</groupName>
      <ability>L2_HalfPunc_CN</ability>
      <abilityName>全半角问题</abilityName>
      <candidateList>
        <item>）</item>
      </candidateList>
      <explain>文本全半角错误。</explain>
      <paraID>3A322937</paraID>
      <start>28</start>
      <end>29</end>
      <status>unmodified</status>
      <modifiedWord/>
      <trackRevisions>false</trackRevisions>
    </reviewItem>
    <reviewItem>
      <errorID>5aa7d3c3-ee1b-4a71-80a0-f8328cef0185</errorID>
      <errorWord>（</errorWord>
      <group>L1_Format</group>
      <groupName>格式问题</groupName>
      <ability>L2_HalfPunc_CN</ability>
      <abilityName>全半角问题</abilityName>
      <candidateList>
        <item>(</item>
      </candidateList>
      <explain>文本全半角错误。</explain>
      <paraID>5311139D</paraID>
      <start>0</start>
      <end>1</end>
      <status>unmodified</status>
      <modifiedWord/>
      <trackRevisions>false</trackRevisions>
    </reviewItem>
    <reviewItem>
      <errorID>58b99591-6c9f-459a-8bf1-7c7a9fc27de6</errorID>
      <errorWord>）</errorWord>
      <group>L1_Format</group>
      <groupName>格式问题</groupName>
      <ability>L2_HalfPunc_CN</ability>
      <abilityName>全半角问题</abilityName>
      <candidateList>
        <item>)</item>
      </candidateList>
      <explain>文本全半角错误。</explain>
      <paraID>5311139D</paraID>
      <start>6</start>
      <end>7</end>
      <status>unmodified</status>
      <modifiedWord/>
      <trackRevisions>false</trackRevisions>
    </reviewItem>
    <reviewItem>
      <errorID>0879c877-0875-4a26-9d3d-e3b61be7dd86</errorID>
      <errorWord>（</errorWord>
      <group>L1_Format</group>
      <groupName>格式问题</groupName>
      <ability>L2_HalfPunc_CN</ability>
      <abilityName>全半角问题</abilityName>
      <candidateList>
        <item>(</item>
      </candidateList>
      <explain>文本全半角错误。</explain>
      <paraID>652B468A</paraID>
      <start>0</start>
      <end>1</end>
      <status>unmodified</status>
      <modifiedWord/>
      <trackRevisions>false</trackRevisions>
    </reviewItem>
    <reviewItem>
      <errorID>c4525f79-0817-4c35-86ea-3c63cbf58c8f</errorID>
      <errorWord>）</errorWord>
      <group>L1_Format</group>
      <groupName>格式问题</groupName>
      <ability>L2_HalfPunc_CN</ability>
      <abilityName>全半角问题</abilityName>
      <candidateList>
        <item>)</item>
      </candidateList>
      <explain>文本全半角错误。</explain>
      <paraID>652B468A</paraID>
      <start>6</start>
      <end>7</end>
      <status>unmodified</status>
      <modifiedWord/>
      <trackRevisions>false</trackRevisions>
    </reviewItem>
    <reviewItem>
      <errorID>92bc2ac0-0ccc-49a5-857f-1e6ee166f0da</errorID>
      <errorWord>（</errorWord>
      <group>L1_Format</group>
      <groupName>格式问题</groupName>
      <ability>L2_HalfPunc_CN</ability>
      <abilityName>全半角问题</abilityName>
      <candidateList>
        <item>(</item>
      </candidateList>
      <explain>文本全半角错误。</explain>
      <paraID> 94EFE63</paraID>
      <start>0</start>
      <end>1</end>
      <status>unmodified</status>
      <modifiedWord/>
      <trackRevisions>false</trackRevisions>
    </reviewItem>
    <reviewItem>
      <errorID>bf7ab312-f500-437f-8352-0c42fd15d6d8</errorID>
      <errorWord>）</errorWord>
      <group>L1_Format</group>
      <groupName>格式问题</groupName>
      <ability>L2_HalfPunc_CN</ability>
      <abilityName>全半角问题</abilityName>
      <candidateList>
        <item>)</item>
      </candidateList>
      <explain>文本全半角错误。</explain>
      <paraID> 94EFE63</paraID>
      <start>6</start>
      <end>7</end>
      <status>unmodified</status>
      <modifiedWord/>
      <trackRevisions>false</trackRevisions>
    </reviewItem>
    <reviewItem>
      <errorID>c89a0236-556d-450d-acc6-641866653043</errorID>
      <errorWord>（</errorWord>
      <group>L1_Format</group>
      <groupName>格式问题</groupName>
      <ability>L2_HalfPunc_CN</ability>
      <abilityName>全半角问题</abilityName>
      <candidateList>
        <item>(</item>
      </candidateList>
      <explain>文本全半角错误。</explain>
      <paraID>5286B0F5</paraID>
      <start>0</start>
      <end>1</end>
      <status>unmodified</status>
      <modifiedWord/>
      <trackRevisions>false</trackRevisions>
    </reviewItem>
    <reviewItem>
      <errorID>eeb881bd-a547-4ffb-8ded-5cfce8b13bf1</errorID>
      <errorWord>）</errorWord>
      <group>L1_Format</group>
      <groupName>格式问题</groupName>
      <ability>L2_HalfPunc_CN</ability>
      <abilityName>全半角问题</abilityName>
      <candidateList>
        <item>)</item>
      </candidateList>
      <explain>文本全半角错误。</explain>
      <paraID>5286B0F5</paraID>
      <start>6</start>
      <end>7</end>
      <status>unmodified</status>
      <modifiedWord/>
      <trackRevisions>false</trackRevisions>
    </reviewItem>
    <reviewItem>
      <errorID>0a59c0ed-289a-4681-a119-b2c0dfff8b11</errorID>
      <errorWord>（</errorWord>
      <group>L1_Format</group>
      <groupName>格式问题</groupName>
      <ability>L2_HalfPunc_CN</ability>
      <abilityName>全半角问题</abilityName>
      <candidateList>
        <item>(</item>
      </candidateList>
      <explain>文本全半角错误。</explain>
      <paraID>6EBDD6B0</paraID>
      <start>0</start>
      <end>1</end>
      <status>unmodified</status>
      <modifiedWord/>
      <trackRevisions>false</trackRevisions>
    </reviewItem>
    <reviewItem>
      <errorID>9cb87fd7-b442-4eee-b3bf-0b4caaf54cba</errorID>
      <errorWord>）</errorWord>
      <group>L1_Format</group>
      <groupName>格式问题</groupName>
      <ability>L2_HalfPunc_CN</ability>
      <abilityName>全半角问题</abilityName>
      <candidateList>
        <item>)</item>
      </candidateList>
      <explain>文本全半角错误。</explain>
      <paraID>6EBDD6B0</paraID>
      <start>6</start>
      <end>7</end>
      <status>unmodified</status>
      <modifiedWord/>
      <trackRevisions>false</trackRevisions>
    </reviewItem>
    <reviewItem>
      <errorID>dd801daa-ffcc-4802-adf6-adf0579e5187</errorID>
      <errorWord>（</errorWord>
      <group>L1_Format</group>
      <groupName>格式问题</groupName>
      <ability>L2_HalfPunc_CN</ability>
      <abilityName>全半角问题</abilityName>
      <candidateList>
        <item>(</item>
      </candidateList>
      <explain>文本全半角错误。</explain>
      <paraID>357A0995</paraID>
      <start>0</start>
      <end>1</end>
      <status>unmodified</status>
      <modifiedWord/>
      <trackRevisions>false</trackRevisions>
    </reviewItem>
    <reviewItem>
      <errorID>4acf110e-6646-4522-971f-2f568c5d7fc6</errorID>
      <errorWord>）</errorWord>
      <group>L1_Format</group>
      <groupName>格式问题</groupName>
      <ability>L2_HalfPunc_CN</ability>
      <abilityName>全半角问题</abilityName>
      <candidateList>
        <item>)</item>
      </candidateList>
      <explain>文本全半角错误。</explain>
      <paraID>357A0995</paraID>
      <start>6</start>
      <end>7</end>
      <status>unmodified</status>
      <modifiedWord/>
      <trackRevisions>false</trackRevisions>
    </reviewItem>
    <reviewItem>
      <errorID>930e3fc6-42ec-4248-ab5d-67ef43c107c2</errorID>
      <errorWord>（</errorWord>
      <group>L1_Format</group>
      <groupName>格式问题</groupName>
      <ability>L2_HalfPunc_CN</ability>
      <abilityName>全半角问题</abilityName>
      <candidateList>
        <item>(</item>
      </candidateList>
      <explain>文本全半角错误。</explain>
      <paraID>115935EE</paraID>
      <start>1</start>
      <end>2</end>
      <status>unmodified</status>
      <modifiedWord/>
      <trackRevisions>false</trackRevisions>
    </reviewItem>
    <reviewItem>
      <errorID>3471c585-43e2-4d57-8db5-30217606d394</errorID>
      <errorWord>）</errorWord>
      <group>L1_Format</group>
      <groupName>格式问题</groupName>
      <ability>L2_HalfPunc_CN</ability>
      <abilityName>全半角问题</abilityName>
      <candidateList>
        <item>)</item>
      </candidateList>
      <explain>文本全半角错误。</explain>
      <paraID>115935EE</paraID>
      <start>7</start>
      <end>8</end>
      <status>unmodified</status>
      <modifiedWord/>
      <trackRevisions>false</trackRevisions>
    </reviewItem>
    <reviewItem>
      <errorID>64cb3bbe-5bf5-47c6-8ab9-8fb0029847c7</errorID>
      <errorWord>（</errorWord>
      <group>L1_Format</group>
      <groupName>格式问题</groupName>
      <ability>L2_HalfPunc_CN</ability>
      <abilityName>全半角问题</abilityName>
      <candidateList>
        <item>(</item>
      </candidateList>
      <explain>文本全半角错误。</explain>
      <paraID>3916D91D</paraID>
      <start>2</start>
      <end>3</end>
      <status>unmodified</status>
      <modifiedWord/>
      <trackRevisions>false</trackRevisions>
    </reviewItem>
    <reviewItem>
      <errorID>c64bbae1-8341-4d48-97ab-1542b9fe1dd2</errorID>
      <errorWord>）</errorWord>
      <group>L1_Format</group>
      <groupName>格式问题</groupName>
      <ability>L2_HalfPunc_CN</ability>
      <abilityName>全半角问题</abilityName>
      <candidateList>
        <item>)</item>
      </candidateList>
      <explain>文本全半角错误。</explain>
      <paraID>3916D91D</paraID>
      <start>8</start>
      <end>9</end>
      <status>unmodified</status>
      <modifiedWord/>
      <trackRevisions>false</trackRevisions>
    </reviewItem>
    <reviewItem>
      <errorID>4217a421-ff0d-4baa-9217-e6f6c05b6fea</errorID>
      <errorWord>（</errorWord>
      <group>L1_Format</group>
      <groupName>格式问题</groupName>
      <ability>L2_HalfPunc_CN</ability>
      <abilityName>全半角问题</abilityName>
      <candidateList>
        <item>(</item>
      </candidateList>
      <explain>文本全半角错误。</explain>
      <paraID>114614C9</paraID>
      <start>2</start>
      <end>3</end>
      <status>unmodified</status>
      <modifiedWord/>
      <trackRevisions>false</trackRevisions>
    </reviewItem>
    <reviewItem>
      <errorID>bb5d91ca-9fdd-4e8a-82ec-ffccf7ec2ce9</errorID>
      <errorWord>）</errorWord>
      <group>L1_Format</group>
      <groupName>格式问题</groupName>
      <ability>L2_HalfPunc_CN</ability>
      <abilityName>全半角问题</abilityName>
      <candidateList>
        <item>)</item>
      </candidateList>
      <explain>文本全半角错误。</explain>
      <paraID>114614C9</paraID>
      <start>8</start>
      <end>9</end>
      <status>unmodified</status>
      <modifiedWord/>
      <trackRevisions>false</trackRevisions>
    </reviewItem>
    <reviewItem>
      <errorID>41d751ce-fbca-47ff-a76d-0f3388bbbbb6</errorID>
      <errorWord>（</errorWord>
      <group>L1_Format</group>
      <groupName>格式问题</groupName>
      <ability>L2_HalfPunc_CN</ability>
      <abilityName>全半角问题</abilityName>
      <candidateList>
        <item>(</item>
      </candidateList>
      <explain>文本全半角错误。</explain>
      <paraID>3832DA97</paraID>
      <start>2</start>
      <end>3</end>
      <status>unmodified</status>
      <modifiedWord/>
      <trackRevisions>false</trackRevisions>
    </reviewItem>
    <reviewItem>
      <errorID>606e89ed-3301-4111-a996-7cdd35fe1673</errorID>
      <errorWord>）</errorWord>
      <group>L1_Format</group>
      <groupName>格式问题</groupName>
      <ability>L2_HalfPunc_CN</ability>
      <abilityName>全半角问题</abilityName>
      <candidateList>
        <item>)</item>
      </candidateList>
      <explain>文本全半角错误。</explain>
      <paraID>3832DA97</paraID>
      <start>8</start>
      <end>9</end>
      <status>unmodified</status>
      <modifiedWord/>
      <trackRevisions>false</trackRevisions>
    </reviewItem>
    <reviewItem>
      <errorID>06aa242a-6762-4224-abd2-4cc28cc11d6c</errorID>
      <errorWord>~</errorWord>
      <group>L1_Format</group>
      <groupName>格式问题</groupName>
      <ability>L2_HalfPunc_CN</ability>
      <abilityName>全半角问题</abilityName>
      <candidateList>
        <item>～</item>
      </candidateList>
      <explain>文本全半角错误。</explain>
      <paraID>108D2AEE</paraID>
      <start>78</start>
      <end>79</end>
      <status>unmodified</status>
      <modifiedWord/>
      <trackRevisions>false</trackRevisions>
    </reviewItem>
    <reviewItem>
      <errorID>e8db819e-0188-4baf-b580-4bf288bb415a</errorID>
      <errorWord>~</errorWord>
      <group>L1_Format</group>
      <groupName>格式问题</groupName>
      <ability>L2_HalfPunc_CN</ability>
      <abilityName>全半角问题</abilityName>
      <candidateList>
        <item>～</item>
      </candidateList>
      <explain>文本全半角错误。</explain>
      <paraID>108D2AEE</paraID>
      <start>100</start>
      <end>101</end>
      <status>unmodified</status>
      <modifiedWord/>
      <trackRevisions>false</trackRevisions>
    </reviewItem>
    <reviewItem>
      <errorID>92b7af55-cf02-48f1-92bb-2a2a6595d2b5</errorID>
      <errorWord>~</errorWord>
      <group>L1_Format</group>
      <groupName>格式问题</groupName>
      <ability>L2_HalfPunc_CN</ability>
      <abilityName>全半角问题</abilityName>
      <candidateList>
        <item>～</item>
      </candidateList>
      <explain>文本全半角错误。</explain>
      <paraID>53763773</paraID>
      <start>87</start>
      <end>88</end>
      <status>unmodified</status>
      <modifiedWord/>
      <trackRevisions>false</trackRevisions>
    </reviewItem>
    <reviewItem>
      <errorID>28ce8f7f-b5cb-41bd-b4d0-6323a1803ff8</errorID>
      <errorWord>期</errorWord>
      <group>L1_Word</group>
      <groupName>字词问题</groupName>
      <ability>L2_Typo</ability>
      <abilityName>字词错误</abilityName>
      <candidateList>
        <item>期间</item>
      </candidateList>
      <explain>〈名〉某个时期里面：农忙～｜春节～｜抗战～。</explain>
      <paraID>2E087682</paraID>
      <start>4</start>
      <end>5</end>
      <status>unmodified</status>
      <modifiedWord/>
      <trackRevisions>false</trackRevisions>
    </reviewItem>
    <reviewItem>
      <errorID>0c00894e-23c8-472a-aaa4-a4c516ffe76d</errorID>
      <errorWord>，</errorWord>
      <group>L1_Word</group>
      <groupName>字词问题</groupName>
      <ability>L2_Typo</ability>
      <abilityName>字词错误</abilityName>
      <candidateList>
        <item>，在</item>
      </candidateList>
      <explain/>
      <paraID>2E087682</paraID>
      <start>25</start>
      <end>27</end>
      <status>modified</status>
      <modifiedWord>，在</modifiedWord>
      <trackRevisions>false</trackRevisions>
    </reviewItem>
    <reviewItem>
      <errorID>ad1a5227-4551-47e1-8282-4321aac051b0</errorID>
      <errorWord>强</errorWord>
      <group>L1_Word</group>
      <groupName>字词问题</groupName>
      <ability>L2_Typo</ability>
      <abilityName>字词错误</abilityName>
      <candidateList>
        <item>强对</item>
      </candidateList>
      <explain/>
      <paraID>7219C686</paraID>
      <start>25</start>
      <end>27</end>
      <status>modified</status>
      <modifiedWord>强对</modifiedWord>
      <trackRevisions>false</trackRevisions>
    </reviewItem>
    <reviewItem>
      <errorID>e29ed89c-11c4-4460-a714-1f72174e7534</errorID>
      <errorWord>期</errorWord>
      <group>L1_Word</group>
      <groupName>字词问题</groupName>
      <ability>L2_Typo</ability>
      <abilityName>字词错误</abilityName>
      <candidateList>
        <item>期间</item>
      </candidateList>
      <explain>〈名〉某个时期里面：农忙～｜春节～｜抗战～。</explain>
      <paraID>4A1CBDC5</paraID>
      <start>24</start>
      <end>26</end>
      <status>modified</status>
      <modifiedWord>期间</modifiedWord>
      <trackRevisions>false</trackRevisions>
    </reviewItem>
    <reviewItem>
      <errorID>fafc1689-803d-4c2b-ae11-7db1ff72e610</errorID>
      <errorWord>树立</errorWord>
      <group>L1_Word</group>
      <groupName>字词问题</groupName>
      <ability>L2_Typo</ability>
      <abilityName>字词错误</abilityName>
      <candidateList>
        <item>竖立</item>
      </candidateList>
      <explain>〈动〉物体垂直，一端向上，一端接触地面或埋在地里：门前～一根旗杆。</explain>
      <paraID>5D255AB2</paraID>
      <start>11</start>
      <end>13</end>
      <status>unmodified</status>
      <modifiedWord/>
      <trackRevisions>false</trackRevisions>
    </reviewItem>
    <reviewItem>
      <errorID>c319ebbf-9d0d-4248-99d2-7bb04a88e396</errorID>
      <errorWord>作</errorWord>
      <group>L1_Word</group>
      <groupName>字词问题</groupName>
      <ability>L2_Typo</ability>
      <abilityName>字词错误</abilityName>
      <candidateList>
        <item>做</item>
      </candidateList>
      <explain>存在发音相同字词的误用。</explain>
      <paraID>1A7BFF8B</paraID>
      <start>39</start>
      <end>40</end>
      <status>unmodified</status>
      <modifiedWord/>
      <trackRevisions>false</trackRevisions>
    </reviewItem>
    <reviewItem>
      <errorID>aa14a28c-ce37-4ef7-be43-2980c8954c01</errorID>
      <errorWord>位</errorWord>
      <group>L1_Word</group>
      <groupName>字词问题</groupName>
      <ability>L2_Typo</ability>
      <abilityName>字词错误</abilityName>
      <candidateList>
        <item>位在</item>
      </candidateList>
      <explain/>
      <paraID>2FBCCD77</paraID>
      <start>6</start>
      <end>8</end>
      <status>modified</status>
      <modifiedWord>位在</modifiedWord>
      <trackRevisions>false</trackRevisions>
    </reviewItem>
    <reviewItem>
      <errorID>e7053248-e340-4f12-876e-2552a867609b</errorID>
      <errorWord>程</errorWord>
      <group>L1_Word</group>
      <groupName>字词问题</groupName>
      <ability>L2_Typo</ability>
      <abilityName>字词错误</abilityName>
      <candidateList>
        <item>程中</item>
      </candidateList>
      <explain/>
      <paraID>5B46ED9C</paraID>
      <start>10</start>
      <end>12</end>
      <status>modified</status>
      <modifiedWord>程中</modifiedWord>
      <trackRevisions>false</trackRevisions>
    </reviewItem>
    <reviewItem>
      <errorID>b2aa4637-b78f-4694-a85a-dde0a5231fcd</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5121E981</paraID>
      <start>0</start>
      <end>1</end>
      <status>unmodified</status>
      <modifiedWord/>
      <trackRevisions>false</trackRevisions>
    </reviewItem>
    <reviewItem>
      <errorID>cd35c098-4fce-4eee-acee-b44936129bf9</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3C542DD3</paraID>
      <start>20</start>
      <end>21</end>
      <status>unmodified</status>
      <modifiedWord/>
      <trackRevisions>false</trackRevisions>
    </reviewItem>
    <reviewItem>
      <errorID>b160b866-dce4-4ffa-8113-17e7826c5bd1</errorID>
      <errorWord>制定出</errorWord>
      <group>L1_Word</group>
      <groupName>字词问题</groupName>
      <ability>L2_Typo</ability>
      <abilityName>字词错误</abilityName>
      <candidateList>
        <item>制定</item>
      </candidateList>
      <explain>〈动〉定出（法律、规程、政策等）：～宪法｜～学会章程。</explain>
      <paraID>267EFEA6</paraID>
      <start>10</start>
      <end>12</end>
      <status>modified</status>
      <modifiedWord>制定</modifiedWord>
      <trackRevisions>false</trackRevisions>
    </reviewItem>
    <reviewItem>
      <errorID>44581113-44a1-436c-b9fc-380260c554c8</errorID>
      <errorWord>提高</errorWord>
      <group>L1_Grammar</group>
      <groupName>语法问题</groupName>
      <ability>L2_Grammar</ability>
      <abilityName>语法错误</abilityName>
      <candidateList>
        <item>增强</item>
      </candidateList>
      <explain>“提高～意识”搭配不当，建议修改为“增强～意识”。</explain>
      <paraID>71DCFEBF</paraID>
      <start>20</start>
      <end>22</end>
      <status>unmodified</status>
      <modifiedWord/>
      <trackRevisions>false</trackRevisions>
    </reviewItem>
    <reviewItem>
      <errorID>3389a68b-6745-4568-8532-82b815af9958</errorID>
      <errorWord>）</errorWord>
      <group>L1_Format</group>
      <groupName>格式问题</groupName>
      <ability>L2_HalfPunc_CN</ability>
      <abilityName>全半角问题</abilityName>
      <candidateList>
        <item>)</item>
      </candidateList>
      <explain>文本全半角错误。</explain>
      <paraID>318F89C4</paraID>
      <start>2</start>
      <end>3</end>
      <status>unmodified</status>
      <modifiedWord/>
      <trackRevisions>false</trackRevisions>
    </reviewItem>
    <reviewItem>
      <errorID>158bf3e5-7f72-4a9d-a4d6-4851bc9d01b9</errorID>
      <errorWord>选</errorWord>
      <group>L1_Word</group>
      <groupName>字词问题</groupName>
      <ability>L2_Typo</ability>
      <abilityName>字词错误</abilityName>
      <candidateList>
        <item>选择</item>
      </candidateList>
      <explain>〈动〉挑选：～对象｜～地点。</explain>
      <paraID> 3F374F1</paraID>
      <start>26</start>
      <end>28</end>
      <status>modified</status>
      <modifiedWord>选择</modifiedWord>
      <trackRevisions>false</trackRevisions>
    </reviewItem>
    <reviewItem>
      <errorID>6710c98f-f026-43b4-a165-f79498335564</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4B942798</paraID>
      <start>15</start>
      <end>16</end>
      <status>unmodified</status>
      <modifiedWord/>
      <trackRevisions>false</trackRevisions>
    </reviewItem>
    <reviewItem>
      <errorID>c6ba8cd1-30a9-4c51-b06c-c98616a358c6</errorID>
      <errorWord>后回覆</errorWord>
      <group>L1_Word</group>
      <groupName>字词问题</groupName>
      <ability>L2_Fanti</ability>
      <abilityName>繁转简</abilityName>
      <candidateList>
        <item>后回复</item>
      </candidateList>
      <explain/>
      <paraID>25E455DC</paraID>
      <start>105</start>
      <end>108</end>
      <status>unmodified</status>
      <modifiedWord/>
      <trackRevisions>false</trackRevisions>
    </reviewItem>
    <reviewItem>
      <errorID>6712d866-32aa-4cd7-a5f7-5b5f5acf850d</errorID>
      <errorWord>（</errorWord>
      <group>L1_Punc</group>
      <groupName>标点问题</groupName>
      <ability>L2_Punc_CN</ability>
      <abilityName>标点符号问题</abilityName>
      <candidateList/>
      <explain>同一形式括号套用。</explain>
      <paraID> CF7E006</paraID>
      <start>38</start>
      <end>39</end>
      <status>unmodified</status>
      <modifiedWord/>
      <trackRevisions>false</trackRevisions>
    </reviewItem>
    <reviewItem>
      <errorID>08eaecaf-e5ee-4aec-bbcd-e55d941de513</errorID>
      <errorWord>(</errorWord>
      <group>L1_Punc</group>
      <groupName>标点问题</groupName>
      <ability>L2_Punc_CN</ability>
      <abilityName>标点符号问题</abilityName>
      <candidateList/>
      <explain>同一形式括号套用。</explain>
      <paraID> CF7E006</paraID>
      <start>46</start>
      <end>47</end>
      <status>unmodified</status>
      <modifiedWord/>
      <trackRevisions>false</trackRevisions>
    </reviewItem>
    <reviewItem>
      <errorID>65930455-ab4c-4f75-a73e-3c77b5ec55eb</errorID>
      <errorWord>)</errorWord>
      <group>L1_Punc</group>
      <groupName>标点问题</groupName>
      <ability>L2_Punc_CN</ability>
      <abilityName>标点符号问题</abilityName>
      <candidateList/>
      <explain>同一形式括号套用。</explain>
      <paraID> CF7E006</paraID>
      <start>48</start>
      <end>49</end>
      <status>unmodified</status>
      <modifiedWord/>
      <trackRevisions>false</trackRevisions>
    </reviewItem>
    <reviewItem>
      <errorID>c1adcbb3-9657-4cca-a33e-96a78f2c6876</errorID>
      <errorWord>(</errorWord>
      <group>L1_Punc</group>
      <groupName>标点问题</groupName>
      <ability>L2_Punc_CN</ability>
      <abilityName>标点符号问题</abilityName>
      <candidateList/>
      <explain>同一形式括号套用。</explain>
      <paraID> CF7E006</paraID>
      <start>57</start>
      <end>58</end>
      <status>unmodified</status>
      <modifiedWord/>
      <trackRevisions>false</trackRevisions>
    </reviewItem>
    <reviewItem>
      <errorID>ecc9fcf4-c80a-4e3c-8be1-e48d59029dec</errorID>
      <errorWord>)</errorWord>
      <group>L1_Punc</group>
      <groupName>标点问题</groupName>
      <ability>L2_Punc_CN</ability>
      <abilityName>标点符号问题</abilityName>
      <candidateList/>
      <explain>同一形式括号套用。</explain>
      <paraID> CF7E006</paraID>
      <start>59</start>
      <end>60</end>
      <status>unmodified</status>
      <modifiedWord/>
      <trackRevisions>false</trackRevisions>
    </reviewItem>
    <reviewItem>
      <errorID>20f00fa2-c53b-4e83-90e1-c23e48857d38</errorID>
      <errorWord>）</errorWord>
      <group>L1_Punc</group>
      <groupName>标点问题</groupName>
      <ability>L2_Punc_CN</ability>
      <abilityName>标点符号问题</abilityName>
      <candidateList/>
      <explain>同一形式括号套用。</explain>
      <paraID> CF7E006</paraID>
      <start>60</start>
      <end>61</end>
      <status>unmodified</status>
      <modifiedWord/>
      <trackRevisions>false</trackRevisions>
    </reviewItem>
    <reviewItem>
      <errorID>8abe4451-1a79-45b1-8d29-06d4a1fbb1f6</errorID>
      <errorWord>回覆</errorWord>
      <group>L1_Word</group>
      <groupName>字词问题</groupName>
      <ability>L2_Fanti</ability>
      <abilityName>繁转简</abilityName>
      <candidateList>
        <item>回复</item>
      </candidateList>
      <explain/>
      <paraID>51FDFC38</paraID>
      <start>22</start>
      <end>24</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F30431-FAE4-4DF1-B41E-94C535F1CA0C}">
  <ds:schemaRefs/>
</ds:datastoreItem>
</file>

<file path=customXml/itemProps3.xml><?xml version="1.0" encoding="utf-8"?>
<ds:datastoreItem xmlns:ds="http://schemas.openxmlformats.org/officeDocument/2006/customXml" ds:itemID="{5c99fc05-9348-436a-b279-ce3e4ea58e7d}">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96</Pages>
  <Words>16858</Words>
  <Characters>18168</Characters>
  <Lines>282</Lines>
  <Paragraphs>79</Paragraphs>
  <TotalTime>39</TotalTime>
  <ScaleCrop>false</ScaleCrop>
  <LinksUpToDate>false</LinksUpToDate>
  <CharactersWithSpaces>18168</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2021-08-17T02:55:00Z</dcterms:created>
  <dc:creator>lhj</dc:creator>
  <cp:lastModifiedBy>一蓑烟雨任平生</cp:lastModifiedBy>
  <cp:lastPrinted>2026-06-24T03:09:00Z</cp:lastPrinted>
  <dcterms:modified xsi:type="dcterms:W3CDTF">2026-08-04T09:07:10Z</dcterms:modified>
  <cp:revision>161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078918B54C0F41989D01CC2F3AC22A8E_13</vt:lpwstr>
  </property>
  <property fmtid="{D5CDD505-2E9C-101B-9397-08002B2CF9AE}" pid="4" name="KSOTemplateDocerSaveRecord">
    <vt:lpwstr>eyJoZGlkIjoiMzkxMTJjNDZkY2Q1NTM5YjJjYTc5YWM1ZjkyODI3OWIiLCJ1c2VySWQiOiIyMjMwMjM4NTgifQ==</vt:lpwstr>
  </property>
</Properties>
</file>