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jc w:val="center"/>
        <w:rPr>
          <w:rFonts w:hint="default" w:ascii="Times New Roman" w:hAnsi="Times New Roman" w:eastAsia="宋体" w:cs="Times New Roman"/>
          <w:b/>
          <w:color w:val="000000"/>
          <w:kern w:val="2"/>
          <w:sz w:val="72"/>
          <w:szCs w:val="72"/>
          <w:highlight w:val="none"/>
        </w:rPr>
      </w:pPr>
    </w:p>
    <w:p>
      <w:pPr>
        <w:widowControl w:val="0"/>
        <w:jc w:val="center"/>
        <w:rPr>
          <w:rFonts w:hint="default" w:ascii="Times New Roman" w:hAnsi="Times New Roman" w:eastAsia="宋体" w:cs="Times New Roman"/>
          <w:b/>
          <w:color w:val="000000"/>
          <w:kern w:val="2"/>
          <w:sz w:val="72"/>
          <w:szCs w:val="72"/>
          <w:highlight w:val="none"/>
        </w:rPr>
      </w:pPr>
    </w:p>
    <w:p>
      <w:pPr>
        <w:widowControl w:val="0"/>
        <w:jc w:val="center"/>
        <w:rPr>
          <w:rFonts w:hint="default" w:ascii="Times New Roman" w:hAnsi="Times New Roman" w:eastAsia="宋体" w:cs="Times New Roman"/>
          <w:b/>
          <w:color w:val="000000"/>
          <w:kern w:val="2"/>
          <w:sz w:val="72"/>
          <w:szCs w:val="72"/>
          <w:highlight w:val="none"/>
        </w:rPr>
      </w:pPr>
      <w:r>
        <w:rPr>
          <w:rFonts w:hint="default" w:ascii="Times New Roman" w:hAnsi="Times New Roman" w:eastAsia="黑体" w:cs="Times New Roman"/>
          <w:b/>
          <w:color w:val="000000"/>
          <w:kern w:val="2"/>
          <w:sz w:val="52"/>
          <w:szCs w:val="52"/>
          <w:highlight w:val="none"/>
        </w:rPr>
        <w:t>建</w:t>
      </w:r>
      <w:r>
        <w:rPr>
          <w:rFonts w:hint="default" w:ascii="Times New Roman" w:hAnsi="Times New Roman" w:eastAsia="黑体" w:cs="Times New Roman"/>
          <w:b/>
          <w:color w:val="000000"/>
          <w:kern w:val="2"/>
          <w:sz w:val="52"/>
          <w:szCs w:val="52"/>
          <w:highlight w:val="none"/>
          <w:lang w:val="en-US" w:eastAsia="zh-CN"/>
        </w:rPr>
        <w:t xml:space="preserve"> </w:t>
      </w:r>
      <w:r>
        <w:rPr>
          <w:rFonts w:hint="default" w:ascii="Times New Roman" w:hAnsi="Times New Roman" w:eastAsia="黑体" w:cs="Times New Roman"/>
          <w:b/>
          <w:color w:val="000000"/>
          <w:kern w:val="2"/>
          <w:sz w:val="52"/>
          <w:szCs w:val="52"/>
          <w:highlight w:val="none"/>
        </w:rPr>
        <w:t>设</w:t>
      </w:r>
      <w:r>
        <w:rPr>
          <w:rFonts w:hint="default" w:ascii="Times New Roman" w:hAnsi="Times New Roman" w:eastAsia="黑体" w:cs="Times New Roman"/>
          <w:b/>
          <w:color w:val="000000"/>
          <w:kern w:val="2"/>
          <w:sz w:val="52"/>
          <w:szCs w:val="52"/>
          <w:highlight w:val="none"/>
          <w:lang w:val="en-US" w:eastAsia="zh-CN"/>
        </w:rPr>
        <w:t xml:space="preserve"> </w:t>
      </w:r>
      <w:r>
        <w:rPr>
          <w:rFonts w:hint="default" w:ascii="Times New Roman" w:hAnsi="Times New Roman" w:eastAsia="黑体" w:cs="Times New Roman"/>
          <w:b/>
          <w:color w:val="000000"/>
          <w:kern w:val="2"/>
          <w:sz w:val="52"/>
          <w:szCs w:val="52"/>
          <w:highlight w:val="none"/>
        </w:rPr>
        <w:t>项</w:t>
      </w:r>
      <w:r>
        <w:rPr>
          <w:rFonts w:hint="default" w:ascii="Times New Roman" w:hAnsi="Times New Roman" w:eastAsia="黑体" w:cs="Times New Roman"/>
          <w:b/>
          <w:color w:val="000000"/>
          <w:kern w:val="2"/>
          <w:sz w:val="52"/>
          <w:szCs w:val="52"/>
          <w:highlight w:val="none"/>
          <w:lang w:val="en-US" w:eastAsia="zh-CN"/>
        </w:rPr>
        <w:t xml:space="preserve"> </w:t>
      </w:r>
      <w:r>
        <w:rPr>
          <w:rFonts w:hint="default" w:ascii="Times New Roman" w:hAnsi="Times New Roman" w:eastAsia="黑体" w:cs="Times New Roman"/>
          <w:b/>
          <w:color w:val="000000"/>
          <w:kern w:val="2"/>
          <w:sz w:val="52"/>
          <w:szCs w:val="52"/>
          <w:highlight w:val="none"/>
        </w:rPr>
        <w:t>目</w:t>
      </w:r>
      <w:r>
        <w:rPr>
          <w:rFonts w:hint="default" w:ascii="Times New Roman" w:hAnsi="Times New Roman" w:eastAsia="黑体" w:cs="Times New Roman"/>
          <w:b/>
          <w:color w:val="000000"/>
          <w:kern w:val="2"/>
          <w:sz w:val="52"/>
          <w:szCs w:val="52"/>
          <w:highlight w:val="none"/>
          <w:lang w:val="en-US" w:eastAsia="zh-CN"/>
        </w:rPr>
        <w:t xml:space="preserve"> </w:t>
      </w:r>
      <w:r>
        <w:rPr>
          <w:rFonts w:hint="default" w:ascii="Times New Roman" w:hAnsi="Times New Roman" w:eastAsia="黑体" w:cs="Times New Roman"/>
          <w:b/>
          <w:color w:val="000000"/>
          <w:kern w:val="2"/>
          <w:sz w:val="52"/>
          <w:szCs w:val="52"/>
          <w:highlight w:val="none"/>
        </w:rPr>
        <w:t>环</w:t>
      </w:r>
      <w:r>
        <w:rPr>
          <w:rFonts w:hint="default" w:ascii="Times New Roman" w:hAnsi="Times New Roman" w:eastAsia="黑体" w:cs="Times New Roman"/>
          <w:b/>
          <w:color w:val="000000"/>
          <w:kern w:val="2"/>
          <w:sz w:val="52"/>
          <w:szCs w:val="52"/>
          <w:highlight w:val="none"/>
          <w:lang w:val="en-US" w:eastAsia="zh-CN"/>
        </w:rPr>
        <w:t xml:space="preserve"> </w:t>
      </w:r>
      <w:r>
        <w:rPr>
          <w:rFonts w:hint="default" w:ascii="Times New Roman" w:hAnsi="Times New Roman" w:eastAsia="黑体" w:cs="Times New Roman"/>
          <w:b/>
          <w:color w:val="000000"/>
          <w:kern w:val="2"/>
          <w:sz w:val="52"/>
          <w:szCs w:val="52"/>
          <w:highlight w:val="none"/>
        </w:rPr>
        <w:t>境</w:t>
      </w:r>
      <w:r>
        <w:rPr>
          <w:rFonts w:hint="default" w:ascii="Times New Roman" w:hAnsi="Times New Roman" w:eastAsia="黑体" w:cs="Times New Roman"/>
          <w:b/>
          <w:color w:val="000000"/>
          <w:kern w:val="2"/>
          <w:sz w:val="52"/>
          <w:szCs w:val="52"/>
          <w:highlight w:val="none"/>
          <w:lang w:val="en-US" w:eastAsia="zh-CN"/>
        </w:rPr>
        <w:t xml:space="preserve"> </w:t>
      </w:r>
      <w:r>
        <w:rPr>
          <w:rFonts w:hint="default" w:ascii="Times New Roman" w:hAnsi="Times New Roman" w:eastAsia="黑体" w:cs="Times New Roman"/>
          <w:b/>
          <w:color w:val="000000"/>
          <w:kern w:val="2"/>
          <w:sz w:val="52"/>
          <w:szCs w:val="52"/>
          <w:highlight w:val="none"/>
        </w:rPr>
        <w:t>影</w:t>
      </w:r>
      <w:r>
        <w:rPr>
          <w:rFonts w:hint="default" w:ascii="Times New Roman" w:hAnsi="Times New Roman" w:eastAsia="黑体" w:cs="Times New Roman"/>
          <w:b/>
          <w:color w:val="000000"/>
          <w:kern w:val="2"/>
          <w:sz w:val="52"/>
          <w:szCs w:val="52"/>
          <w:highlight w:val="none"/>
          <w:lang w:val="en-US" w:eastAsia="zh-CN"/>
        </w:rPr>
        <w:t xml:space="preserve"> </w:t>
      </w:r>
      <w:r>
        <w:rPr>
          <w:rFonts w:hint="default" w:ascii="Times New Roman" w:hAnsi="Times New Roman" w:eastAsia="黑体" w:cs="Times New Roman"/>
          <w:b/>
          <w:color w:val="000000"/>
          <w:kern w:val="2"/>
          <w:sz w:val="52"/>
          <w:szCs w:val="52"/>
          <w:highlight w:val="none"/>
        </w:rPr>
        <w:t>响</w:t>
      </w:r>
      <w:r>
        <w:rPr>
          <w:rFonts w:hint="default" w:ascii="Times New Roman" w:hAnsi="Times New Roman" w:eastAsia="黑体" w:cs="Times New Roman"/>
          <w:b/>
          <w:color w:val="000000"/>
          <w:kern w:val="2"/>
          <w:sz w:val="52"/>
          <w:szCs w:val="52"/>
          <w:highlight w:val="none"/>
          <w:lang w:val="en-US" w:eastAsia="zh-CN"/>
        </w:rPr>
        <w:t xml:space="preserve"> </w:t>
      </w:r>
      <w:r>
        <w:rPr>
          <w:rFonts w:hint="default" w:ascii="Times New Roman" w:hAnsi="Times New Roman" w:eastAsia="黑体" w:cs="Times New Roman"/>
          <w:b/>
          <w:color w:val="000000"/>
          <w:kern w:val="2"/>
          <w:sz w:val="52"/>
          <w:szCs w:val="52"/>
          <w:highlight w:val="none"/>
        </w:rPr>
        <w:t>报</w:t>
      </w:r>
      <w:r>
        <w:rPr>
          <w:rFonts w:hint="default" w:ascii="Times New Roman" w:hAnsi="Times New Roman" w:eastAsia="黑体" w:cs="Times New Roman"/>
          <w:b/>
          <w:color w:val="000000"/>
          <w:kern w:val="2"/>
          <w:sz w:val="52"/>
          <w:szCs w:val="52"/>
          <w:highlight w:val="none"/>
          <w:lang w:val="en-US" w:eastAsia="zh-CN"/>
        </w:rPr>
        <w:t xml:space="preserve"> </w:t>
      </w:r>
      <w:r>
        <w:rPr>
          <w:rFonts w:hint="default" w:ascii="Times New Roman" w:hAnsi="Times New Roman" w:eastAsia="黑体" w:cs="Times New Roman"/>
          <w:b/>
          <w:color w:val="000000"/>
          <w:kern w:val="2"/>
          <w:sz w:val="52"/>
          <w:szCs w:val="52"/>
          <w:highlight w:val="none"/>
        </w:rPr>
        <w:t>告</w:t>
      </w:r>
      <w:r>
        <w:rPr>
          <w:rFonts w:hint="default" w:ascii="Times New Roman" w:hAnsi="Times New Roman" w:eastAsia="黑体" w:cs="Times New Roman"/>
          <w:b/>
          <w:color w:val="000000"/>
          <w:kern w:val="2"/>
          <w:sz w:val="52"/>
          <w:szCs w:val="52"/>
          <w:highlight w:val="none"/>
          <w:lang w:val="en-US" w:eastAsia="zh-CN"/>
        </w:rPr>
        <w:t xml:space="preserve"> </w:t>
      </w:r>
      <w:r>
        <w:rPr>
          <w:rFonts w:hint="default" w:ascii="Times New Roman" w:hAnsi="Times New Roman" w:eastAsia="黑体" w:cs="Times New Roman"/>
          <w:b/>
          <w:color w:val="000000"/>
          <w:kern w:val="2"/>
          <w:sz w:val="52"/>
          <w:szCs w:val="52"/>
          <w:highlight w:val="none"/>
        </w:rPr>
        <w:t>表</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600" w:firstLineChars="200"/>
        <w:jc w:val="both"/>
        <w:textAlignment w:val="auto"/>
        <w:outlineLvl w:val="9"/>
        <w:rPr>
          <w:rFonts w:hint="default" w:ascii="Times New Roman" w:hAnsi="Times New Roman" w:eastAsia="黑体" w:cs="Times New Roman"/>
          <w:color w:val="000000"/>
          <w:kern w:val="2"/>
          <w:sz w:val="30"/>
          <w:highlight w:val="none"/>
          <w:u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600" w:firstLineChars="200"/>
        <w:jc w:val="both"/>
        <w:textAlignment w:val="auto"/>
        <w:outlineLvl w:val="9"/>
        <w:rPr>
          <w:rFonts w:hint="default" w:ascii="Times New Roman" w:hAnsi="Times New Roman" w:eastAsia="黑体" w:cs="Times New Roman"/>
          <w:color w:val="000000"/>
          <w:kern w:val="2"/>
          <w:sz w:val="30"/>
          <w:highlight w:val="none"/>
          <w:u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600" w:firstLineChars="200"/>
        <w:jc w:val="both"/>
        <w:textAlignment w:val="auto"/>
        <w:outlineLvl w:val="9"/>
        <w:rPr>
          <w:rFonts w:hint="default" w:ascii="Times New Roman" w:hAnsi="Times New Roman" w:eastAsia="黑体" w:cs="Times New Roman"/>
          <w:color w:val="000000"/>
          <w:kern w:val="2"/>
          <w:sz w:val="30"/>
          <w:highlight w:val="none"/>
          <w:u w:val="none"/>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left="730" w:leftChars="304" w:right="0" w:rightChars="0" w:firstLine="0" w:firstLineChars="0"/>
        <w:jc w:val="both"/>
        <w:textAlignment w:val="auto"/>
        <w:outlineLvl w:val="9"/>
        <w:rPr>
          <w:rFonts w:hint="default" w:ascii="Times New Roman" w:hAnsi="Times New Roman" w:eastAsia="黑体" w:cs="Times New Roman"/>
          <w:color w:val="000000"/>
          <w:kern w:val="2"/>
          <w:sz w:val="32"/>
          <w:szCs w:val="32"/>
          <w:highlight w:val="none"/>
          <w:u w:val="none"/>
          <w:lang w:val="en-US" w:eastAsia="zh-CN"/>
        </w:rPr>
      </w:pPr>
      <w:r>
        <w:rPr>
          <w:rFonts w:hint="default" w:ascii="Times New Roman" w:hAnsi="Times New Roman" w:eastAsia="黑体" w:cs="Times New Roman"/>
          <w:color w:val="000000"/>
          <w:kern w:val="2"/>
          <w:sz w:val="32"/>
          <w:szCs w:val="32"/>
          <w:highlight w:val="none"/>
          <w:u w:val="none"/>
          <w:lang w:val="en-US" w:eastAsia="zh-CN"/>
        </w:rPr>
        <w:t>项 目 名 称 ：</w:t>
      </w:r>
      <w:r>
        <w:rPr>
          <w:rFonts w:hint="default" w:ascii="Times New Roman" w:hAnsi="Times New Roman" w:eastAsia="黑体" w:cs="Times New Roman"/>
          <w:color w:val="000000"/>
          <w:kern w:val="2"/>
          <w:sz w:val="32"/>
          <w:szCs w:val="32"/>
          <w:highlight w:val="none"/>
          <w:u w:val="single"/>
          <w:lang w:val="en-US" w:eastAsia="zh-CN"/>
        </w:rPr>
        <w:t>岳普湖县城市电网改造提升建设项目</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640" w:firstLineChars="200"/>
        <w:jc w:val="both"/>
        <w:textAlignment w:val="auto"/>
        <w:outlineLvl w:val="9"/>
        <w:rPr>
          <w:rFonts w:hint="default" w:ascii="Times New Roman" w:hAnsi="Times New Roman" w:eastAsia="黑体" w:cs="Times New Roman"/>
          <w:color w:val="000000"/>
          <w:kern w:val="2"/>
          <w:sz w:val="32"/>
          <w:szCs w:val="32"/>
          <w:highlight w:val="none"/>
          <w:u w:val="none"/>
          <w:lang w:val="en-US" w:eastAsia="zh-CN"/>
        </w:rPr>
      </w:pPr>
      <w:r>
        <w:rPr>
          <w:rFonts w:hint="default" w:ascii="Times New Roman" w:hAnsi="Times New Roman" w:eastAsia="黑体" w:cs="Times New Roman"/>
          <w:color w:val="000000"/>
          <w:kern w:val="2"/>
          <w:sz w:val="32"/>
          <w:szCs w:val="32"/>
          <w:highlight w:val="none"/>
          <w:u w:val="none"/>
          <w:lang w:val="en-US" w:eastAsia="zh-CN"/>
        </w:rPr>
        <w:t>建设单位（盖章）：</w:t>
      </w:r>
      <w:r>
        <w:rPr>
          <w:rFonts w:hint="default" w:ascii="Times New Roman" w:hAnsi="Times New Roman" w:eastAsia="黑体" w:cs="Times New Roman"/>
          <w:color w:val="000000"/>
          <w:kern w:val="2"/>
          <w:sz w:val="32"/>
          <w:szCs w:val="32"/>
          <w:highlight w:val="none"/>
          <w:u w:val="single"/>
          <w:lang w:val="en-US" w:eastAsia="zh-CN"/>
        </w:rPr>
        <w:t>岳普湖县住房保障服务中心</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640" w:firstLineChars="200"/>
        <w:jc w:val="both"/>
        <w:textAlignment w:val="auto"/>
        <w:outlineLvl w:val="9"/>
        <w:rPr>
          <w:rFonts w:hint="default" w:ascii="Times New Roman" w:hAnsi="Times New Roman" w:eastAsia="黑体" w:cs="Times New Roman"/>
          <w:color w:val="000000"/>
          <w:kern w:val="2"/>
          <w:sz w:val="32"/>
          <w:szCs w:val="32"/>
          <w:highlight w:val="none"/>
          <w:u w:val="none"/>
          <w:lang w:val="en-US" w:eastAsia="zh-CN"/>
        </w:rPr>
      </w:pPr>
      <w:r>
        <w:rPr>
          <w:rFonts w:hint="default" w:ascii="Times New Roman" w:hAnsi="Times New Roman" w:eastAsia="黑体" w:cs="Times New Roman"/>
          <w:color w:val="000000"/>
          <w:kern w:val="2"/>
          <w:sz w:val="32"/>
          <w:szCs w:val="32"/>
          <w:highlight w:val="none"/>
          <w:u w:val="none"/>
          <w:lang w:val="en-US" w:eastAsia="zh-CN"/>
        </w:rPr>
        <w:t>编 制 单 位 ：</w:t>
      </w:r>
      <w:r>
        <w:rPr>
          <w:rFonts w:hint="eastAsia" w:ascii="Times New Roman" w:hAnsi="Times New Roman" w:eastAsia="黑体" w:cs="Times New Roman"/>
          <w:color w:val="000000"/>
          <w:kern w:val="2"/>
          <w:sz w:val="32"/>
          <w:szCs w:val="32"/>
          <w:highlight w:val="none"/>
          <w:u w:val="none"/>
          <w:lang w:val="zh-CN" w:eastAsia="zh-CN"/>
        </w:rPr>
        <w:t>乌鲁木齐星辰汇峰环保科技有限公司</w:t>
      </w:r>
    </w:p>
    <w:p>
      <w:pPr>
        <w:keepNext w:val="0"/>
        <w:keepLines w:val="0"/>
        <w:pageBreakBefore w:val="0"/>
        <w:widowControl w:val="0"/>
        <w:kinsoku/>
        <w:wordWrap/>
        <w:overflowPunct/>
        <w:topLinePunct w:val="0"/>
        <w:autoSpaceDE/>
        <w:autoSpaceDN/>
        <w:bidi w:val="0"/>
        <w:adjustRightInd/>
        <w:snapToGrid/>
        <w:spacing w:line="480" w:lineRule="auto"/>
        <w:ind w:left="0" w:leftChars="0" w:right="0" w:rightChars="0" w:firstLine="640" w:firstLineChars="200"/>
        <w:jc w:val="both"/>
        <w:textAlignment w:val="auto"/>
        <w:outlineLvl w:val="9"/>
        <w:rPr>
          <w:rFonts w:hint="default" w:ascii="Times New Roman" w:hAnsi="Times New Roman" w:eastAsia="黑体" w:cs="Times New Roman"/>
          <w:color w:val="000000"/>
          <w:kern w:val="2"/>
          <w:sz w:val="32"/>
          <w:szCs w:val="32"/>
          <w:highlight w:val="none"/>
          <w:u w:val="none"/>
          <w:lang w:val="en-US" w:eastAsia="zh-CN"/>
        </w:rPr>
      </w:pPr>
      <w:r>
        <w:rPr>
          <w:rFonts w:hint="default" w:ascii="Times New Roman" w:hAnsi="Times New Roman" w:eastAsia="黑体" w:cs="Times New Roman"/>
          <w:color w:val="000000"/>
          <w:kern w:val="2"/>
          <w:sz w:val="32"/>
          <w:szCs w:val="32"/>
          <w:highlight w:val="none"/>
          <w:u w:val="none"/>
          <w:lang w:val="en-US" w:eastAsia="zh-CN"/>
        </w:rPr>
        <w:t>编 制 日 期 ：</w:t>
      </w:r>
      <w:r>
        <w:rPr>
          <w:rFonts w:hint="eastAsia" w:ascii="Times New Roman" w:hAnsi="Times New Roman" w:eastAsia="黑体" w:cs="Times New Roman"/>
          <w:color w:val="000000"/>
          <w:kern w:val="2"/>
          <w:sz w:val="32"/>
          <w:szCs w:val="32"/>
          <w:highlight w:val="none"/>
          <w:u w:val="none"/>
          <w:lang w:val="en-US" w:eastAsia="zh-CN"/>
        </w:rPr>
        <w:t>2026年7月</w:t>
      </w:r>
    </w:p>
    <w:p>
      <w:pPr>
        <w:widowControl w:val="0"/>
        <w:jc w:val="both"/>
        <w:rPr>
          <w:rFonts w:hint="default" w:ascii="Times New Roman" w:hAnsi="Times New Roman" w:eastAsia="宋体" w:cs="Times New Roman"/>
          <w:b/>
          <w:color w:val="000000"/>
          <w:kern w:val="2"/>
          <w:sz w:val="30"/>
          <w:szCs w:val="30"/>
          <w:highlight w:val="none"/>
        </w:rPr>
      </w:pPr>
    </w:p>
    <w:p>
      <w:pPr>
        <w:rPr>
          <w:rFonts w:hint="default" w:ascii="Times New Roman" w:hAnsi="Times New Roman" w:eastAsia="宋体" w:cs="Times New Roman"/>
          <w:b/>
          <w:color w:val="auto"/>
          <w:kern w:val="2"/>
          <w:sz w:val="32"/>
          <w:highlight w:val="none"/>
        </w:rPr>
      </w:pPr>
      <w:r>
        <w:rPr>
          <w:rFonts w:hint="default" w:ascii="Times New Roman" w:hAnsi="Times New Roman" w:eastAsia="宋体" w:cs="Times New Roman"/>
          <w:b/>
          <w:color w:val="auto"/>
          <w:kern w:val="2"/>
          <w:sz w:val="32"/>
          <w:highlight w:val="none"/>
        </w:rPr>
        <w:br w:type="page"/>
      </w:r>
    </w:p>
    <w:p>
      <w:pPr>
        <w:widowControl w:val="0"/>
        <w:jc w:val="both"/>
        <w:outlineLvl w:val="0"/>
        <w:rPr>
          <w:rFonts w:hint="default" w:ascii="Times New Roman" w:hAnsi="Times New Roman" w:eastAsia="宋体" w:cs="Times New Roman"/>
          <w:b/>
          <w:color w:val="auto"/>
          <w:kern w:val="2"/>
          <w:sz w:val="32"/>
          <w:highlight w:val="none"/>
        </w:rPr>
      </w:pPr>
    </w:p>
    <w:sdt>
      <w:sdtPr>
        <w:rPr>
          <w:rFonts w:hint="default" w:ascii="Times New Roman" w:hAnsi="Times New Roman" w:eastAsia="宋体" w:cs="Times New Roman"/>
          <w:color w:val="auto"/>
          <w:sz w:val="21"/>
          <w:szCs w:val="24"/>
          <w:highlight w:val="none"/>
          <w:lang w:val="en-US" w:eastAsia="zh-CN" w:bidi="ar-SA"/>
        </w:rPr>
        <w:id w:val="147463851"/>
        <w15:color w:val="DBDBDB"/>
        <w:docPartObj>
          <w:docPartGallery w:val="Table of Contents"/>
          <w:docPartUnique/>
        </w:docPartObj>
      </w:sdtPr>
      <w:sdtEndPr>
        <w:rPr>
          <w:rFonts w:hint="default" w:ascii="Times New Roman" w:hAnsi="Times New Roman" w:eastAsia="宋体" w:cs="Times New Roman"/>
          <w:color w:val="auto"/>
          <w:sz w:val="24"/>
          <w:szCs w:val="24"/>
          <w:highlight w:val="none"/>
          <w:lang w:val="en-US" w:eastAsia="zh-CN" w:bidi="ar-SA"/>
        </w:rPr>
      </w:sdtEndPr>
      <w:sdtContent>
        <w:p>
          <w:pPr>
            <w:pStyle w:val="20"/>
            <w:tabs>
              <w:tab w:val="right" w:leader="dot" w:pos="8306"/>
              <w:tab w:val="clear" w:pos="8296"/>
            </w:tabs>
            <w:jc w:val="center"/>
            <w:rPr>
              <w:rFonts w:hint="default" w:ascii="Times New Roman" w:hAnsi="Times New Roman" w:eastAsia="宋体" w:cs="Times New Roman"/>
              <w:color w:val="auto"/>
              <w:sz w:val="36"/>
              <w:szCs w:val="32"/>
              <w:highlight w:val="none"/>
              <w:lang w:eastAsia="zh-CN"/>
            </w:rPr>
          </w:pPr>
          <w:r>
            <w:rPr>
              <w:rFonts w:hint="default" w:ascii="Times New Roman" w:hAnsi="Times New Roman" w:eastAsia="宋体" w:cs="Times New Roman"/>
              <w:color w:val="auto"/>
              <w:sz w:val="36"/>
              <w:szCs w:val="32"/>
              <w:highlight w:val="none"/>
              <w:lang w:val="en-US" w:eastAsia="zh-CN"/>
            </w:rPr>
            <w:t>目录</w:t>
          </w:r>
        </w:p>
        <w:p>
          <w:pPr>
            <w:pStyle w:val="20"/>
            <w:tabs>
              <w:tab w:val="right" w:leader="dot" w:pos="8306"/>
              <w:tab w:val="clear" w:pos="8296"/>
            </w:tabs>
            <w:rPr>
              <w:rFonts w:hint="default" w:ascii="Times New Roman" w:hAnsi="Times New Roman" w:eastAsia="宋体" w:cs="Times New Roman"/>
              <w:b w:val="0"/>
              <w:bCs w:val="0"/>
              <w:i w:val="0"/>
              <w:iCs w:val="0"/>
              <w:color w:val="auto"/>
              <w:highlight w:val="none"/>
            </w:rPr>
          </w:pPr>
          <w:r>
            <w:rPr>
              <w:rFonts w:hint="default" w:ascii="Times New Roman" w:hAnsi="Times New Roman" w:eastAsia="宋体" w:cs="Times New Roman"/>
              <w:color w:val="auto"/>
              <w:highlight w:val="none"/>
            </w:rPr>
            <w:fldChar w:fldCharType="begin"/>
          </w:r>
          <w:r>
            <w:rPr>
              <w:rFonts w:hint="default" w:ascii="Times New Roman" w:hAnsi="Times New Roman" w:eastAsia="宋体" w:cs="Times New Roman"/>
              <w:color w:val="auto"/>
              <w:highlight w:val="none"/>
            </w:rPr>
            <w:instrText xml:space="preserve">TOC \o "1-1" \h \u </w:instrText>
          </w:r>
          <w:r>
            <w:rPr>
              <w:rFonts w:hint="default" w:ascii="Times New Roman" w:hAnsi="Times New Roman" w:eastAsia="宋体" w:cs="Times New Roman"/>
              <w:color w:val="auto"/>
              <w:highlight w:val="none"/>
            </w:rPr>
            <w:fldChar w:fldCharType="separate"/>
          </w: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HYPERLINK \l _Toc25699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snapToGrid w:val="0"/>
              <w:color w:val="auto"/>
              <w:szCs w:val="30"/>
              <w:highlight w:val="none"/>
            </w:rPr>
            <w:t>一、建设项目基本情况</w:t>
          </w:r>
          <w:r>
            <w:rPr>
              <w:rFonts w:hint="default" w:ascii="Times New Roman" w:hAnsi="Times New Roman" w:eastAsia="宋体" w:cs="Times New Roman"/>
              <w:b w:val="0"/>
              <w:bCs w:val="0"/>
              <w:i w:val="0"/>
              <w:iCs w:val="0"/>
              <w:color w:val="auto"/>
              <w:highlight w:val="none"/>
            </w:rPr>
            <w:tab/>
          </w: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PAGEREF _Toc25699 \h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color w:val="auto"/>
              <w:highlight w:val="none"/>
            </w:rPr>
            <w:t>3</w:t>
          </w:r>
          <w:r>
            <w:rPr>
              <w:rFonts w:hint="default" w:ascii="Times New Roman" w:hAnsi="Times New Roman" w:eastAsia="宋体" w:cs="Times New Roman"/>
              <w:b w:val="0"/>
              <w:bCs w:val="0"/>
              <w:i w:val="0"/>
              <w:iCs w:val="0"/>
              <w:color w:val="auto"/>
              <w:highlight w:val="none"/>
            </w:rPr>
            <w:fldChar w:fldCharType="end"/>
          </w:r>
          <w:r>
            <w:rPr>
              <w:rFonts w:hint="default" w:ascii="Times New Roman" w:hAnsi="Times New Roman" w:eastAsia="宋体" w:cs="Times New Roman"/>
              <w:b w:val="0"/>
              <w:bCs w:val="0"/>
              <w:i w:val="0"/>
              <w:iCs w:val="0"/>
              <w:color w:val="auto"/>
              <w:highlight w:val="none"/>
            </w:rPr>
            <w:fldChar w:fldCharType="end"/>
          </w:r>
        </w:p>
        <w:p>
          <w:pPr>
            <w:pStyle w:val="20"/>
            <w:tabs>
              <w:tab w:val="right" w:leader="dot" w:pos="8306"/>
              <w:tab w:val="clear" w:pos="8296"/>
            </w:tabs>
            <w:rPr>
              <w:rFonts w:hint="default" w:ascii="Times New Roman" w:hAnsi="Times New Roman" w:eastAsia="宋体" w:cs="Times New Roman"/>
              <w:b w:val="0"/>
              <w:bCs w:val="0"/>
              <w:i w:val="0"/>
              <w:iCs w:val="0"/>
              <w:color w:val="auto"/>
              <w:highlight w:val="none"/>
            </w:rPr>
          </w:pP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HYPERLINK \l _Toc28282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snapToGrid w:val="0"/>
              <w:color w:val="auto"/>
              <w:szCs w:val="30"/>
              <w:highlight w:val="none"/>
            </w:rPr>
            <w:t>二、建设内容</w:t>
          </w:r>
          <w:r>
            <w:rPr>
              <w:rFonts w:hint="default" w:ascii="Times New Roman" w:hAnsi="Times New Roman" w:eastAsia="宋体" w:cs="Times New Roman"/>
              <w:b w:val="0"/>
              <w:bCs w:val="0"/>
              <w:i w:val="0"/>
              <w:iCs w:val="0"/>
              <w:color w:val="auto"/>
              <w:highlight w:val="none"/>
            </w:rPr>
            <w:tab/>
          </w: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PAGEREF _Toc28282 \h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color w:val="auto"/>
              <w:highlight w:val="none"/>
            </w:rPr>
            <w:t>24</w:t>
          </w:r>
          <w:r>
            <w:rPr>
              <w:rFonts w:hint="default" w:ascii="Times New Roman" w:hAnsi="Times New Roman" w:eastAsia="宋体" w:cs="Times New Roman"/>
              <w:b w:val="0"/>
              <w:bCs w:val="0"/>
              <w:i w:val="0"/>
              <w:iCs w:val="0"/>
              <w:color w:val="auto"/>
              <w:highlight w:val="none"/>
            </w:rPr>
            <w:fldChar w:fldCharType="end"/>
          </w:r>
          <w:r>
            <w:rPr>
              <w:rFonts w:hint="default" w:ascii="Times New Roman" w:hAnsi="Times New Roman" w:eastAsia="宋体" w:cs="Times New Roman"/>
              <w:b w:val="0"/>
              <w:bCs w:val="0"/>
              <w:i w:val="0"/>
              <w:iCs w:val="0"/>
              <w:color w:val="auto"/>
              <w:highlight w:val="none"/>
            </w:rPr>
            <w:fldChar w:fldCharType="end"/>
          </w:r>
        </w:p>
        <w:p>
          <w:pPr>
            <w:pStyle w:val="20"/>
            <w:tabs>
              <w:tab w:val="right" w:leader="dot" w:pos="8306"/>
              <w:tab w:val="clear" w:pos="8296"/>
            </w:tabs>
            <w:rPr>
              <w:rFonts w:hint="default" w:ascii="Times New Roman" w:hAnsi="Times New Roman" w:eastAsia="宋体" w:cs="Times New Roman"/>
              <w:b w:val="0"/>
              <w:bCs w:val="0"/>
              <w:i w:val="0"/>
              <w:iCs w:val="0"/>
              <w:color w:val="auto"/>
              <w:highlight w:val="none"/>
            </w:rPr>
          </w:pP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HYPERLINK \l _Toc25568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snapToGrid w:val="0"/>
              <w:color w:val="auto"/>
              <w:szCs w:val="30"/>
              <w:highlight w:val="none"/>
            </w:rPr>
            <w:t>三、生态环境现状、保护目标及评价标准</w:t>
          </w:r>
          <w:r>
            <w:rPr>
              <w:rFonts w:hint="default" w:ascii="Times New Roman" w:hAnsi="Times New Roman" w:eastAsia="宋体" w:cs="Times New Roman"/>
              <w:b w:val="0"/>
              <w:bCs w:val="0"/>
              <w:i w:val="0"/>
              <w:iCs w:val="0"/>
              <w:color w:val="auto"/>
              <w:highlight w:val="none"/>
            </w:rPr>
            <w:tab/>
          </w: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PAGEREF _Toc25568 \h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color w:val="auto"/>
              <w:highlight w:val="none"/>
            </w:rPr>
            <w:t>31</w:t>
          </w:r>
          <w:r>
            <w:rPr>
              <w:rFonts w:hint="default" w:ascii="Times New Roman" w:hAnsi="Times New Roman" w:eastAsia="宋体" w:cs="Times New Roman"/>
              <w:b w:val="0"/>
              <w:bCs w:val="0"/>
              <w:i w:val="0"/>
              <w:iCs w:val="0"/>
              <w:color w:val="auto"/>
              <w:highlight w:val="none"/>
            </w:rPr>
            <w:fldChar w:fldCharType="end"/>
          </w:r>
          <w:r>
            <w:rPr>
              <w:rFonts w:hint="default" w:ascii="Times New Roman" w:hAnsi="Times New Roman" w:eastAsia="宋体" w:cs="Times New Roman"/>
              <w:b w:val="0"/>
              <w:bCs w:val="0"/>
              <w:i w:val="0"/>
              <w:iCs w:val="0"/>
              <w:color w:val="auto"/>
              <w:highlight w:val="none"/>
            </w:rPr>
            <w:fldChar w:fldCharType="end"/>
          </w:r>
        </w:p>
        <w:p>
          <w:pPr>
            <w:pStyle w:val="20"/>
            <w:tabs>
              <w:tab w:val="right" w:leader="dot" w:pos="8306"/>
              <w:tab w:val="clear" w:pos="8296"/>
            </w:tabs>
            <w:rPr>
              <w:rFonts w:hint="default" w:ascii="Times New Roman" w:hAnsi="Times New Roman" w:eastAsia="宋体" w:cs="Times New Roman"/>
              <w:b w:val="0"/>
              <w:bCs w:val="0"/>
              <w:i w:val="0"/>
              <w:iCs w:val="0"/>
              <w:color w:val="auto"/>
              <w:highlight w:val="none"/>
            </w:rPr>
          </w:pP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HYPERLINK \l _Toc26148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snapToGrid w:val="0"/>
              <w:color w:val="auto"/>
              <w:szCs w:val="30"/>
              <w:highlight w:val="none"/>
            </w:rPr>
            <w:t>四、生态环境影响分析</w:t>
          </w:r>
          <w:r>
            <w:rPr>
              <w:rFonts w:hint="default" w:ascii="Times New Roman" w:hAnsi="Times New Roman" w:eastAsia="宋体" w:cs="Times New Roman"/>
              <w:b w:val="0"/>
              <w:bCs w:val="0"/>
              <w:i w:val="0"/>
              <w:iCs w:val="0"/>
              <w:color w:val="auto"/>
              <w:highlight w:val="none"/>
            </w:rPr>
            <w:tab/>
          </w: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PAGEREF _Toc26148 \h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color w:val="auto"/>
              <w:highlight w:val="none"/>
            </w:rPr>
            <w:t>43</w:t>
          </w:r>
          <w:r>
            <w:rPr>
              <w:rFonts w:hint="default" w:ascii="Times New Roman" w:hAnsi="Times New Roman" w:eastAsia="宋体" w:cs="Times New Roman"/>
              <w:b w:val="0"/>
              <w:bCs w:val="0"/>
              <w:i w:val="0"/>
              <w:iCs w:val="0"/>
              <w:color w:val="auto"/>
              <w:highlight w:val="none"/>
            </w:rPr>
            <w:fldChar w:fldCharType="end"/>
          </w:r>
          <w:r>
            <w:rPr>
              <w:rFonts w:hint="default" w:ascii="Times New Roman" w:hAnsi="Times New Roman" w:eastAsia="宋体" w:cs="Times New Roman"/>
              <w:b w:val="0"/>
              <w:bCs w:val="0"/>
              <w:i w:val="0"/>
              <w:iCs w:val="0"/>
              <w:color w:val="auto"/>
              <w:highlight w:val="none"/>
            </w:rPr>
            <w:fldChar w:fldCharType="end"/>
          </w:r>
        </w:p>
        <w:p>
          <w:pPr>
            <w:pStyle w:val="20"/>
            <w:tabs>
              <w:tab w:val="right" w:leader="dot" w:pos="8306"/>
              <w:tab w:val="clear" w:pos="8296"/>
            </w:tabs>
            <w:rPr>
              <w:rFonts w:hint="default" w:ascii="Times New Roman" w:hAnsi="Times New Roman" w:eastAsia="宋体" w:cs="Times New Roman"/>
              <w:b w:val="0"/>
              <w:bCs w:val="0"/>
              <w:i w:val="0"/>
              <w:iCs w:val="0"/>
              <w:color w:val="auto"/>
              <w:highlight w:val="none"/>
            </w:rPr>
          </w:pP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HYPERLINK \l _Toc8100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snapToGrid w:val="0"/>
              <w:color w:val="auto"/>
              <w:szCs w:val="30"/>
              <w:highlight w:val="none"/>
            </w:rPr>
            <w:t>五、主要生态环境保护措施</w:t>
          </w:r>
          <w:r>
            <w:rPr>
              <w:rFonts w:hint="default" w:ascii="Times New Roman" w:hAnsi="Times New Roman" w:eastAsia="宋体" w:cs="Times New Roman"/>
              <w:b w:val="0"/>
              <w:bCs w:val="0"/>
              <w:i w:val="0"/>
              <w:iCs w:val="0"/>
              <w:color w:val="auto"/>
              <w:highlight w:val="none"/>
            </w:rPr>
            <w:tab/>
          </w: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PAGEREF _Toc8100 \h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color w:val="auto"/>
              <w:highlight w:val="none"/>
            </w:rPr>
            <w:t>61</w:t>
          </w:r>
          <w:r>
            <w:rPr>
              <w:rFonts w:hint="default" w:ascii="Times New Roman" w:hAnsi="Times New Roman" w:eastAsia="宋体" w:cs="Times New Roman"/>
              <w:b w:val="0"/>
              <w:bCs w:val="0"/>
              <w:i w:val="0"/>
              <w:iCs w:val="0"/>
              <w:color w:val="auto"/>
              <w:highlight w:val="none"/>
            </w:rPr>
            <w:fldChar w:fldCharType="end"/>
          </w:r>
          <w:r>
            <w:rPr>
              <w:rFonts w:hint="default" w:ascii="Times New Roman" w:hAnsi="Times New Roman" w:eastAsia="宋体" w:cs="Times New Roman"/>
              <w:b w:val="0"/>
              <w:bCs w:val="0"/>
              <w:i w:val="0"/>
              <w:iCs w:val="0"/>
              <w:color w:val="auto"/>
              <w:highlight w:val="none"/>
            </w:rPr>
            <w:fldChar w:fldCharType="end"/>
          </w:r>
        </w:p>
        <w:p>
          <w:pPr>
            <w:pStyle w:val="20"/>
            <w:tabs>
              <w:tab w:val="right" w:leader="dot" w:pos="8306"/>
              <w:tab w:val="clear" w:pos="8296"/>
            </w:tabs>
            <w:rPr>
              <w:rFonts w:hint="default" w:ascii="Times New Roman" w:hAnsi="Times New Roman" w:eastAsia="宋体" w:cs="Times New Roman"/>
              <w:b w:val="0"/>
              <w:bCs w:val="0"/>
              <w:i w:val="0"/>
              <w:iCs w:val="0"/>
              <w:color w:val="auto"/>
              <w:highlight w:val="none"/>
            </w:rPr>
          </w:pP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HYPERLINK \l _Toc15147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snapToGrid w:val="0"/>
              <w:color w:val="auto"/>
              <w:szCs w:val="30"/>
              <w:highlight w:val="none"/>
            </w:rPr>
            <w:t>六、生态环境保护措施监督检查清单</w:t>
          </w:r>
          <w:r>
            <w:rPr>
              <w:rFonts w:hint="default" w:ascii="Times New Roman" w:hAnsi="Times New Roman" w:eastAsia="宋体" w:cs="Times New Roman"/>
              <w:b w:val="0"/>
              <w:bCs w:val="0"/>
              <w:i w:val="0"/>
              <w:iCs w:val="0"/>
              <w:color w:val="auto"/>
              <w:highlight w:val="none"/>
            </w:rPr>
            <w:tab/>
          </w: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PAGEREF _Toc15147 \h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color w:val="auto"/>
              <w:highlight w:val="none"/>
            </w:rPr>
            <w:t>81</w:t>
          </w:r>
          <w:r>
            <w:rPr>
              <w:rFonts w:hint="default" w:ascii="Times New Roman" w:hAnsi="Times New Roman" w:eastAsia="宋体" w:cs="Times New Roman"/>
              <w:b w:val="0"/>
              <w:bCs w:val="0"/>
              <w:i w:val="0"/>
              <w:iCs w:val="0"/>
              <w:color w:val="auto"/>
              <w:highlight w:val="none"/>
            </w:rPr>
            <w:fldChar w:fldCharType="end"/>
          </w:r>
          <w:r>
            <w:rPr>
              <w:rFonts w:hint="default" w:ascii="Times New Roman" w:hAnsi="Times New Roman" w:eastAsia="宋体" w:cs="Times New Roman"/>
              <w:b w:val="0"/>
              <w:bCs w:val="0"/>
              <w:i w:val="0"/>
              <w:iCs w:val="0"/>
              <w:color w:val="auto"/>
              <w:highlight w:val="none"/>
            </w:rPr>
            <w:fldChar w:fldCharType="end"/>
          </w:r>
        </w:p>
        <w:p>
          <w:pPr>
            <w:pStyle w:val="20"/>
            <w:tabs>
              <w:tab w:val="right" w:leader="dot" w:pos="8306"/>
              <w:tab w:val="clear" w:pos="8296"/>
            </w:tabs>
            <w:rPr>
              <w:rFonts w:hint="default" w:ascii="Times New Roman" w:hAnsi="Times New Roman" w:eastAsia="宋体" w:cs="Times New Roman"/>
              <w:color w:val="auto"/>
              <w:highlight w:val="none"/>
            </w:rPr>
          </w:pP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HYPERLINK \l _Toc13745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snapToGrid w:val="0"/>
              <w:color w:val="auto"/>
              <w:szCs w:val="30"/>
              <w:highlight w:val="none"/>
            </w:rPr>
            <w:t>七、结论</w:t>
          </w:r>
          <w:r>
            <w:rPr>
              <w:rFonts w:hint="default" w:ascii="Times New Roman" w:hAnsi="Times New Roman" w:eastAsia="宋体" w:cs="Times New Roman"/>
              <w:b w:val="0"/>
              <w:bCs w:val="0"/>
              <w:i w:val="0"/>
              <w:iCs w:val="0"/>
              <w:color w:val="auto"/>
              <w:highlight w:val="none"/>
            </w:rPr>
            <w:tab/>
          </w:r>
          <w:r>
            <w:rPr>
              <w:rFonts w:hint="default" w:ascii="Times New Roman" w:hAnsi="Times New Roman" w:eastAsia="宋体" w:cs="Times New Roman"/>
              <w:b w:val="0"/>
              <w:bCs w:val="0"/>
              <w:i w:val="0"/>
              <w:iCs w:val="0"/>
              <w:color w:val="auto"/>
              <w:highlight w:val="none"/>
            </w:rPr>
            <w:fldChar w:fldCharType="begin"/>
          </w:r>
          <w:r>
            <w:rPr>
              <w:rFonts w:hint="default" w:ascii="Times New Roman" w:hAnsi="Times New Roman" w:eastAsia="宋体" w:cs="Times New Roman"/>
              <w:b w:val="0"/>
              <w:bCs w:val="0"/>
              <w:i w:val="0"/>
              <w:iCs w:val="0"/>
              <w:color w:val="auto"/>
              <w:highlight w:val="none"/>
            </w:rPr>
            <w:instrText xml:space="preserve"> PAGEREF _Toc13745 \h </w:instrText>
          </w:r>
          <w:r>
            <w:rPr>
              <w:rFonts w:hint="default" w:ascii="Times New Roman" w:hAnsi="Times New Roman" w:eastAsia="宋体" w:cs="Times New Roman"/>
              <w:b w:val="0"/>
              <w:bCs w:val="0"/>
              <w:i w:val="0"/>
              <w:iCs w:val="0"/>
              <w:color w:val="auto"/>
              <w:highlight w:val="none"/>
            </w:rPr>
            <w:fldChar w:fldCharType="separate"/>
          </w:r>
          <w:r>
            <w:rPr>
              <w:rFonts w:hint="default" w:ascii="Times New Roman" w:hAnsi="Times New Roman" w:eastAsia="宋体" w:cs="Times New Roman"/>
              <w:b w:val="0"/>
              <w:bCs w:val="0"/>
              <w:i w:val="0"/>
              <w:iCs w:val="0"/>
              <w:color w:val="auto"/>
              <w:highlight w:val="none"/>
            </w:rPr>
            <w:t>83</w:t>
          </w:r>
          <w:r>
            <w:rPr>
              <w:rFonts w:hint="default" w:ascii="Times New Roman" w:hAnsi="Times New Roman" w:eastAsia="宋体" w:cs="Times New Roman"/>
              <w:b w:val="0"/>
              <w:bCs w:val="0"/>
              <w:i w:val="0"/>
              <w:iCs w:val="0"/>
              <w:color w:val="auto"/>
              <w:highlight w:val="none"/>
            </w:rPr>
            <w:fldChar w:fldCharType="end"/>
          </w:r>
          <w:r>
            <w:rPr>
              <w:rFonts w:hint="default" w:ascii="Times New Roman" w:hAnsi="Times New Roman" w:eastAsia="宋体" w:cs="Times New Roman"/>
              <w:b w:val="0"/>
              <w:bCs w:val="0"/>
              <w:i w:val="0"/>
              <w:iCs w:val="0"/>
              <w:color w:val="auto"/>
              <w:highlight w:val="none"/>
            </w:rPr>
            <w:fldChar w:fldCharType="end"/>
          </w:r>
        </w:p>
        <w:p>
          <w:pPr>
            <w:rPr>
              <w:rFonts w:hint="default" w:ascii="Times New Roman" w:hAnsi="Times New Roman" w:eastAsia="宋体" w:cs="Times New Roman"/>
              <w:color w:val="auto"/>
              <w:sz w:val="24"/>
              <w:szCs w:val="24"/>
              <w:highlight w:val="none"/>
              <w:lang w:val="en-US" w:eastAsia="zh-CN" w:bidi="ar-SA"/>
            </w:rPr>
          </w:pPr>
          <w:r>
            <w:rPr>
              <w:rFonts w:hint="default" w:ascii="Times New Roman" w:hAnsi="Times New Roman" w:eastAsia="宋体" w:cs="Times New Roman"/>
              <w:color w:val="auto"/>
              <w:highlight w:val="none"/>
            </w:rPr>
            <w:fldChar w:fldCharType="end"/>
          </w:r>
          <w:r>
            <w:rPr>
              <w:rFonts w:hint="default" w:ascii="Times New Roman" w:hAnsi="Times New Roman" w:eastAsia="宋体" w:cs="Times New Roman"/>
              <w:color w:val="auto"/>
              <w:sz w:val="28"/>
              <w:szCs w:val="28"/>
              <w:highlight w:val="none"/>
              <w:lang w:val="en-US" w:eastAsia="zh-CN" w:bidi="ar-SA"/>
            </w:rPr>
            <w:t>附：电磁环境影响专题评价</w:t>
          </w:r>
        </w:p>
      </w:sdtContent>
    </w:sdt>
    <w:p>
      <w:pPr>
        <w:rPr>
          <w:rFonts w:hint="default" w:ascii="Times New Roman" w:hAnsi="Times New Roman" w:eastAsia="宋体" w:cs="Times New Roman"/>
          <w:b w:val="0"/>
          <w:bCs w:val="0"/>
          <w:color w:val="auto"/>
          <w:sz w:val="22"/>
          <w:szCs w:val="22"/>
          <w:highlight w:val="none"/>
          <w:lang w:val="en-US" w:eastAsia="zh-CN"/>
        </w:rPr>
      </w:pPr>
      <w:r>
        <w:rPr>
          <w:rFonts w:hint="default" w:ascii="Times New Roman" w:hAnsi="Times New Roman" w:eastAsia="宋体" w:cs="Times New Roman"/>
          <w:b w:val="0"/>
          <w:bCs w:val="0"/>
          <w:color w:val="auto"/>
          <w:sz w:val="22"/>
          <w:szCs w:val="22"/>
          <w:highlight w:val="none"/>
          <w:lang w:val="en-US" w:eastAsia="zh-CN"/>
        </w:rPr>
        <w:br w:type="page"/>
      </w:r>
    </w:p>
    <w:p>
      <w:pPr>
        <w:rPr>
          <w:rFonts w:hint="default" w:ascii="Times New Roman" w:hAnsi="Times New Roman" w:eastAsia="宋体" w:cs="Times New Roman"/>
          <w:b w:val="0"/>
          <w:bCs w:val="0"/>
          <w:color w:val="auto"/>
          <w:sz w:val="22"/>
          <w:szCs w:val="22"/>
          <w:highlight w:val="none"/>
          <w:lang w:val="en-US" w:eastAsia="zh-CN"/>
        </w:rPr>
      </w:pPr>
    </w:p>
    <w:p>
      <w:pPr>
        <w:jc w:val="center"/>
        <w:outlineLvl w:val="0"/>
        <w:rPr>
          <w:rFonts w:hint="default" w:ascii="Times New Roman" w:hAnsi="Times New Roman" w:eastAsia="宋体" w:cs="Times New Roman"/>
          <w:snapToGrid w:val="0"/>
          <w:color w:val="auto"/>
          <w:sz w:val="30"/>
          <w:szCs w:val="30"/>
          <w:highlight w:val="none"/>
        </w:rPr>
      </w:pPr>
      <w:bookmarkStart w:id="0" w:name="_Toc202798671"/>
      <w:bookmarkStart w:id="1" w:name="_Toc529"/>
      <w:bookmarkStart w:id="2" w:name="_Toc201659444"/>
      <w:bookmarkStart w:id="3" w:name="_Toc215697929"/>
      <w:bookmarkStart w:id="4" w:name="_Toc201659310"/>
      <w:bookmarkStart w:id="5" w:name="_Toc25699"/>
      <w:bookmarkStart w:id="6" w:name="_Toc210812358"/>
      <w:bookmarkStart w:id="7" w:name="_Toc201659584"/>
    </w:p>
    <w:p>
      <w:pPr>
        <w:jc w:val="center"/>
        <w:outlineLvl w:val="0"/>
        <w:rPr>
          <w:rFonts w:hint="default" w:ascii="Times New Roman" w:hAnsi="Times New Roman" w:eastAsia="宋体" w:cs="Times New Roman"/>
          <w:snapToGrid w:val="0"/>
          <w:color w:val="auto"/>
          <w:sz w:val="30"/>
          <w:szCs w:val="30"/>
          <w:highlight w:val="none"/>
        </w:rPr>
      </w:pPr>
      <w:r>
        <w:rPr>
          <w:rFonts w:hint="default" w:ascii="Times New Roman" w:hAnsi="Times New Roman" w:eastAsia="宋体" w:cs="Times New Roman"/>
          <w:snapToGrid w:val="0"/>
          <w:color w:val="auto"/>
          <w:sz w:val="30"/>
          <w:szCs w:val="30"/>
          <w:highlight w:val="none"/>
        </w:rPr>
        <w:t>一、建设项目基本情况</w:t>
      </w:r>
      <w:bookmarkEnd w:id="0"/>
      <w:bookmarkEnd w:id="1"/>
      <w:bookmarkEnd w:id="2"/>
      <w:bookmarkEnd w:id="3"/>
      <w:bookmarkEnd w:id="4"/>
      <w:bookmarkEnd w:id="5"/>
      <w:bookmarkEnd w:id="6"/>
      <w:bookmarkEnd w:id="7"/>
    </w:p>
    <w:tbl>
      <w:tblPr>
        <w:tblStyle w:val="28"/>
        <w:tblpPr w:leftFromText="180" w:rightFromText="180" w:vertAnchor="text" w:tblpY="1"/>
        <w:tblOverlap w:val="never"/>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009"/>
        <w:gridCol w:w="1842"/>
        <w:gridCol w:w="2186"/>
        <w:gridCol w:w="366"/>
        <w:gridCol w:w="889"/>
        <w:gridCol w:w="194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47" w:hRule="atLeast"/>
        </w:trPr>
        <w:tc>
          <w:tcPr>
            <w:tcW w:w="1009" w:type="dxa"/>
            <w:noWrap/>
            <w:tcMar>
              <w:top w:w="16" w:type="dxa"/>
              <w:left w:w="16" w:type="dxa"/>
              <w:right w:w="16"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建设项目名称</w:t>
            </w:r>
          </w:p>
        </w:tc>
        <w:tc>
          <w:tcPr>
            <w:tcW w:w="7231" w:type="dxa"/>
            <w:gridSpan w:val="5"/>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eastAsia="zh-CN"/>
              </w:rPr>
              <w:t>岳普湖县城市电网改造提升建设项目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31" w:hRule="atLeast"/>
        </w:trPr>
        <w:tc>
          <w:tcPr>
            <w:tcW w:w="1009" w:type="dxa"/>
            <w:noWrap/>
            <w:tcMar>
              <w:top w:w="16" w:type="dxa"/>
              <w:left w:w="16" w:type="dxa"/>
              <w:right w:w="16"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项目代码</w:t>
            </w:r>
          </w:p>
        </w:tc>
        <w:tc>
          <w:tcPr>
            <w:tcW w:w="7231" w:type="dxa"/>
            <w:gridSpan w:val="5"/>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2" w:hRule="atLeast"/>
        </w:trPr>
        <w:tc>
          <w:tcPr>
            <w:tcW w:w="1009" w:type="dxa"/>
            <w:noWrap/>
            <w:tcMar>
              <w:top w:w="16" w:type="dxa"/>
              <w:left w:w="16" w:type="dxa"/>
              <w:right w:w="16"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建设单位联系人</w:t>
            </w:r>
          </w:p>
        </w:tc>
        <w:tc>
          <w:tcPr>
            <w:tcW w:w="4028" w:type="dxa"/>
            <w:gridSpan w:val="2"/>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p>
        </w:tc>
        <w:tc>
          <w:tcPr>
            <w:tcW w:w="1255" w:type="dxa"/>
            <w:gridSpan w:val="2"/>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联系方式</w:t>
            </w:r>
          </w:p>
        </w:tc>
        <w:tc>
          <w:tcPr>
            <w:tcW w:w="1948" w:type="dxa"/>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2" w:hRule="atLeast"/>
        </w:trPr>
        <w:tc>
          <w:tcPr>
            <w:tcW w:w="1009" w:type="dxa"/>
            <w:noWrap/>
            <w:tcMar>
              <w:top w:w="16" w:type="dxa"/>
              <w:left w:w="16" w:type="dxa"/>
              <w:right w:w="16"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建设地点</w:t>
            </w:r>
          </w:p>
        </w:tc>
        <w:tc>
          <w:tcPr>
            <w:tcW w:w="7231" w:type="dxa"/>
            <w:gridSpan w:val="5"/>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2" w:hRule="atLeast"/>
        </w:trPr>
        <w:tc>
          <w:tcPr>
            <w:tcW w:w="1009" w:type="dxa"/>
            <w:noWrap/>
            <w:tcMar>
              <w:top w:w="16" w:type="dxa"/>
              <w:left w:w="16" w:type="dxa"/>
              <w:right w:w="16"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地理坐标</w:t>
            </w:r>
          </w:p>
        </w:tc>
        <w:tc>
          <w:tcPr>
            <w:tcW w:w="7231" w:type="dxa"/>
            <w:gridSpan w:val="5"/>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24" w:hRule="atLeast"/>
        </w:trPr>
        <w:tc>
          <w:tcPr>
            <w:tcW w:w="1009" w:type="dxa"/>
            <w:noWrap/>
            <w:tcMar>
              <w:top w:w="16" w:type="dxa"/>
              <w:left w:w="16" w:type="dxa"/>
              <w:right w:w="16"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建设项目行业类别</w:t>
            </w:r>
          </w:p>
        </w:tc>
        <w:tc>
          <w:tcPr>
            <w:tcW w:w="1842" w:type="dxa"/>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五十五、核与辐射</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161输变电工程</w:t>
            </w:r>
          </w:p>
        </w:tc>
        <w:tc>
          <w:tcPr>
            <w:tcW w:w="2552" w:type="dxa"/>
            <w:gridSpan w:val="2"/>
            <w:noWrap/>
            <w:vAlign w:val="center"/>
          </w:tcPr>
          <w:p>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rPr>
              <w:t>用地</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用海</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面积</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平方米</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/长度</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千米</w:t>
            </w:r>
            <w:r>
              <w:rPr>
                <w:rFonts w:hint="eastAsia" w:ascii="Times New Roman" w:hAnsi="Times New Roman" w:cs="Times New Roman"/>
                <w:color w:val="auto"/>
                <w:highlight w:val="none"/>
                <w:lang w:eastAsia="zh-CN"/>
              </w:rPr>
              <w:t>）</w:t>
            </w:r>
          </w:p>
        </w:tc>
        <w:tc>
          <w:tcPr>
            <w:tcW w:w="2837" w:type="dxa"/>
            <w:gridSpan w:val="2"/>
            <w:noWrap/>
            <w:vAlign w:val="center"/>
          </w:tcPr>
          <w:p>
            <w:pPr>
              <w:pStyle w:val="4"/>
              <w:keepNext w:val="0"/>
              <w:keepLines w:val="0"/>
              <w:widowControl/>
              <w:suppressLineNumbers w:val="0"/>
              <w:adjustRightInd/>
              <w:spacing w:before="0" w:beforeAutospacing="0" w:after="0" w:afterAutospacing="0" w:line="240" w:lineRule="auto"/>
              <w:ind w:left="0" w:right="0"/>
              <w:rPr>
                <w:rFonts w:hint="default" w:ascii="Times New Roman" w:hAnsi="Times New Roman" w:eastAsia="宋体" w:cs="Times New Roman"/>
                <w:color w:val="auto"/>
                <w:sz w:val="24"/>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4" w:hRule="atLeast"/>
        </w:trPr>
        <w:tc>
          <w:tcPr>
            <w:tcW w:w="1009" w:type="dxa"/>
            <w:noWrap/>
            <w:tcMar>
              <w:top w:w="16" w:type="dxa"/>
              <w:left w:w="16" w:type="dxa"/>
              <w:right w:w="16"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建设性质</w:t>
            </w:r>
          </w:p>
        </w:tc>
        <w:tc>
          <w:tcPr>
            <w:tcW w:w="1842" w:type="dxa"/>
            <w:noWrap/>
            <w:vAlign w:val="center"/>
          </w:tcPr>
          <w:p>
            <w:pPr>
              <w:keepNext w:val="0"/>
              <w:keepLines w:val="0"/>
              <w:widowControl/>
              <w:suppressLineNumbers w:val="0"/>
              <w:spacing w:before="0" w:beforeAutospacing="0" w:after="0" w:afterAutospacing="0" w:line="360" w:lineRule="auto"/>
              <w:ind w:left="0" w:right="0"/>
              <w:rPr>
                <w:rFonts w:hint="eastAsia"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rPr>
              <w:sym w:font="Wingdings 2" w:char="0052"/>
            </w:r>
            <w:r>
              <w:rPr>
                <w:rFonts w:hint="default" w:ascii="Times New Roman" w:hAnsi="Times New Roman" w:eastAsia="宋体" w:cs="Times New Roman"/>
                <w:color w:val="auto"/>
                <w:highlight w:val="none"/>
              </w:rPr>
              <w:t>新建</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迁建</w:t>
            </w:r>
            <w:r>
              <w:rPr>
                <w:rFonts w:hint="eastAsia" w:ascii="Times New Roman" w:hAnsi="Times New Roman" w:cs="Times New Roman"/>
                <w:color w:val="auto"/>
                <w:highlight w:val="none"/>
                <w:lang w:eastAsia="zh-CN"/>
              </w:rPr>
              <w:t>）</w:t>
            </w:r>
          </w:p>
          <w:p>
            <w:pPr>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□改建</w:t>
            </w:r>
          </w:p>
          <w:p>
            <w:pPr>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□扩建</w:t>
            </w:r>
          </w:p>
          <w:p>
            <w:pPr>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□技术改造</w:t>
            </w:r>
          </w:p>
        </w:tc>
        <w:tc>
          <w:tcPr>
            <w:tcW w:w="2552" w:type="dxa"/>
            <w:gridSpan w:val="2"/>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建设项目</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申报情形</w:t>
            </w:r>
          </w:p>
        </w:tc>
        <w:tc>
          <w:tcPr>
            <w:tcW w:w="2837" w:type="dxa"/>
            <w:gridSpan w:val="2"/>
            <w:noWrap/>
            <w:vAlign w:val="center"/>
          </w:tcPr>
          <w:p>
            <w:pPr>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sym w:font="Wingdings 2" w:char="0052"/>
            </w:r>
            <w:r>
              <w:rPr>
                <w:rFonts w:hint="default" w:ascii="Times New Roman" w:hAnsi="Times New Roman" w:eastAsia="宋体" w:cs="Times New Roman"/>
                <w:color w:val="auto"/>
                <w:highlight w:val="none"/>
              </w:rPr>
              <w:t>首次申报项目</w:t>
            </w:r>
          </w:p>
          <w:p>
            <w:pPr>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□不予批准后再次申报项目</w:t>
            </w:r>
          </w:p>
          <w:p>
            <w:pPr>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□超五年重新审核项目</w:t>
            </w:r>
          </w:p>
          <w:p>
            <w:pPr>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009" w:type="dxa"/>
            <w:noWrap/>
            <w:tcMar>
              <w:top w:w="16" w:type="dxa"/>
              <w:left w:w="16" w:type="dxa"/>
              <w:right w:w="16" w:type="dxa"/>
            </w:tcMar>
            <w:vAlign w:val="center"/>
          </w:tcPr>
          <w:p>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rPr>
              <w:t>项目审批</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核准/备案</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部门</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选填</w:t>
            </w:r>
            <w:r>
              <w:rPr>
                <w:rFonts w:hint="eastAsia" w:ascii="Times New Roman" w:hAnsi="Times New Roman" w:cs="Times New Roman"/>
                <w:color w:val="auto"/>
                <w:highlight w:val="none"/>
                <w:lang w:eastAsia="zh-CN"/>
              </w:rPr>
              <w:t>）</w:t>
            </w:r>
          </w:p>
        </w:tc>
        <w:tc>
          <w:tcPr>
            <w:tcW w:w="1842" w:type="dxa"/>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p>
        </w:tc>
        <w:tc>
          <w:tcPr>
            <w:tcW w:w="2552" w:type="dxa"/>
            <w:gridSpan w:val="2"/>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项目审批</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核准/</w:t>
            </w:r>
          </w:p>
          <w:p>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rPr>
              <w:t>备案</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文号</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选填</w:t>
            </w:r>
            <w:r>
              <w:rPr>
                <w:rFonts w:hint="eastAsia" w:ascii="Times New Roman" w:hAnsi="Times New Roman" w:cs="Times New Roman"/>
                <w:color w:val="auto"/>
                <w:highlight w:val="none"/>
                <w:lang w:eastAsia="zh-CN"/>
              </w:rPr>
              <w:t>）</w:t>
            </w:r>
          </w:p>
        </w:tc>
        <w:tc>
          <w:tcPr>
            <w:tcW w:w="2837" w:type="dxa"/>
            <w:gridSpan w:val="2"/>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5" w:hRule="atLeast"/>
        </w:trPr>
        <w:tc>
          <w:tcPr>
            <w:tcW w:w="1009" w:type="dxa"/>
            <w:noWrap/>
            <w:tcMar>
              <w:top w:w="16" w:type="dxa"/>
              <w:left w:w="16" w:type="dxa"/>
              <w:right w:w="16" w:type="dxa"/>
            </w:tcMar>
            <w:vAlign w:val="center"/>
          </w:tcPr>
          <w:p>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rPr>
              <w:t>总投资</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万元</w:t>
            </w:r>
            <w:r>
              <w:rPr>
                <w:rFonts w:hint="eastAsia" w:ascii="Times New Roman" w:hAnsi="Times New Roman" w:cs="Times New Roman"/>
                <w:color w:val="auto"/>
                <w:highlight w:val="none"/>
                <w:lang w:eastAsia="zh-CN"/>
              </w:rPr>
              <w:t>）</w:t>
            </w:r>
          </w:p>
        </w:tc>
        <w:tc>
          <w:tcPr>
            <w:tcW w:w="1842" w:type="dxa"/>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lang w:eastAsia="zh-CN"/>
              </w:rPr>
            </w:pPr>
          </w:p>
        </w:tc>
        <w:tc>
          <w:tcPr>
            <w:tcW w:w="2552" w:type="dxa"/>
            <w:gridSpan w:val="2"/>
            <w:noWrap/>
            <w:tcMar>
              <w:top w:w="16" w:type="dxa"/>
              <w:left w:w="16" w:type="dxa"/>
              <w:right w:w="16" w:type="dxa"/>
            </w:tcMar>
            <w:vAlign w:val="center"/>
          </w:tcPr>
          <w:p>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rPr>
              <w:t>环保投资</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万元</w:t>
            </w:r>
            <w:r>
              <w:rPr>
                <w:rFonts w:hint="eastAsia" w:ascii="Times New Roman" w:hAnsi="Times New Roman" w:cs="Times New Roman"/>
                <w:color w:val="auto"/>
                <w:highlight w:val="none"/>
                <w:lang w:eastAsia="zh-CN"/>
              </w:rPr>
              <w:t>）</w:t>
            </w:r>
          </w:p>
        </w:tc>
        <w:tc>
          <w:tcPr>
            <w:tcW w:w="2837" w:type="dxa"/>
            <w:gridSpan w:val="2"/>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1009" w:type="dxa"/>
            <w:noWrap/>
            <w:tcMar>
              <w:top w:w="16" w:type="dxa"/>
              <w:left w:w="16" w:type="dxa"/>
              <w:right w:w="16" w:type="dxa"/>
            </w:tcMar>
            <w:vAlign w:val="center"/>
          </w:tcPr>
          <w:p>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rPr>
              <w:t>环保投资占比</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w:t>
            </w:r>
            <w:r>
              <w:rPr>
                <w:rFonts w:hint="eastAsia" w:ascii="Times New Roman" w:hAnsi="Times New Roman" w:cs="Times New Roman"/>
                <w:color w:val="auto"/>
                <w:highlight w:val="none"/>
                <w:lang w:eastAsia="zh-CN"/>
              </w:rPr>
              <w:t>）</w:t>
            </w:r>
          </w:p>
        </w:tc>
        <w:tc>
          <w:tcPr>
            <w:tcW w:w="1842" w:type="dxa"/>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p>
        </w:tc>
        <w:tc>
          <w:tcPr>
            <w:tcW w:w="2552" w:type="dxa"/>
            <w:gridSpan w:val="2"/>
            <w:noWrap/>
            <w:tcMar>
              <w:top w:w="16" w:type="dxa"/>
              <w:left w:w="16" w:type="dxa"/>
              <w:right w:w="16"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施工工期</w:t>
            </w:r>
          </w:p>
        </w:tc>
        <w:tc>
          <w:tcPr>
            <w:tcW w:w="2837" w:type="dxa"/>
            <w:gridSpan w:val="2"/>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009" w:type="dxa"/>
            <w:noWrap/>
            <w:tcMar>
              <w:top w:w="16" w:type="dxa"/>
              <w:left w:w="16" w:type="dxa"/>
              <w:right w:w="16" w:type="dxa"/>
            </w:tcMar>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是否开工建设</w:t>
            </w:r>
          </w:p>
        </w:tc>
        <w:tc>
          <w:tcPr>
            <w:tcW w:w="7231" w:type="dxa"/>
            <w:gridSpan w:val="5"/>
            <w:noWrap/>
            <w:vAlign w:val="center"/>
          </w:tcPr>
          <w:p>
            <w:pPr>
              <w:keepNext w:val="0"/>
              <w:keepLines w:val="0"/>
              <w:widowControl/>
              <w:suppressLineNumbers w:val="0"/>
              <w:adjustRightInd w:val="0"/>
              <w:snapToGrid w:val="0"/>
              <w:spacing w:before="0" w:beforeAutospacing="0" w:after="0" w:afterAutospacing="0" w:line="400" w:lineRule="exact"/>
              <w:ind w:left="0" w:right="0" w:firstLine="105"/>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☑否</w:t>
            </w:r>
          </w:p>
          <w:p>
            <w:pPr>
              <w:keepNext w:val="0"/>
              <w:keepLines w:val="0"/>
              <w:widowControl/>
              <w:suppressLineNumbers w:val="0"/>
              <w:spacing w:before="0" w:beforeAutospacing="0" w:after="0" w:afterAutospacing="0"/>
              <w:ind w:left="0" w:right="0" w:firstLine="92"/>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□是：</w:t>
            </w:r>
            <w:r>
              <w:rPr>
                <w:rFonts w:hint="default" w:ascii="Times New Roman" w:hAnsi="Times New Roman" w:eastAsia="宋体" w:cs="Times New Roman"/>
                <w:color w:val="auto"/>
                <w:highlight w:val="none"/>
                <w:u w:val="single"/>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63" w:hRule="atLeast"/>
        </w:trPr>
        <w:tc>
          <w:tcPr>
            <w:tcW w:w="1009" w:type="dxa"/>
            <w:noWrap/>
            <w:tcMar>
              <w:top w:w="16" w:type="dxa"/>
              <w:left w:w="16" w:type="dxa"/>
              <w:right w:w="16" w:type="dxa"/>
            </w:tcMar>
            <w:vAlign w:val="center"/>
          </w:tcPr>
          <w:p>
            <w:pPr>
              <w:keepNext w:val="0"/>
              <w:keepLines w:val="0"/>
              <w:widowControl/>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专项评价设置情况</w:t>
            </w:r>
          </w:p>
        </w:tc>
        <w:tc>
          <w:tcPr>
            <w:tcW w:w="7231" w:type="dxa"/>
            <w:gridSpan w:val="5"/>
            <w:noWrap/>
            <w:tcMar>
              <w:top w:w="16" w:type="dxa"/>
              <w:left w:w="16" w:type="dxa"/>
              <w:right w:w="16" w:type="dxa"/>
            </w:tcMar>
            <w:vAlign w:val="center"/>
          </w:tcPr>
          <w:p>
            <w:pPr>
              <w:keepNext w:val="0"/>
              <w:keepLines w:val="0"/>
              <w:widowControl/>
              <w:suppressLineNumbers w:val="0"/>
              <w:autoSpaceDE w:val="0"/>
              <w:autoSpaceDN w:val="0"/>
              <w:adjustRightInd w:val="0"/>
              <w:snapToGrid w:val="0"/>
              <w:spacing w:before="0" w:beforeAutospacing="0" w:after="0" w:afterAutospacing="0" w:line="240" w:lineRule="auto"/>
              <w:ind w:left="0" w:right="0" w:firstLine="480" w:firstLineChars="200"/>
              <w:rPr>
                <w:rFonts w:hint="eastAsia" w:ascii="Times New Roman" w:hAnsi="Times New Roman" w:eastAsia="宋体" w:cs="Times New Roman"/>
                <w:color w:val="auto"/>
                <w:highlight w:val="none"/>
                <w:lang w:val="en-US" w:eastAsia="zh-CN"/>
              </w:rPr>
            </w:pPr>
            <w:r>
              <w:rPr>
                <w:rFonts w:hint="eastAsia" w:ascii="Times New Roman" w:hAnsi="Times New Roman" w:cs="Times New Roman"/>
                <w:color w:val="auto"/>
                <w:highlight w:val="none"/>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96" w:hRule="atLeast"/>
        </w:trPr>
        <w:tc>
          <w:tcPr>
            <w:tcW w:w="1009" w:type="dxa"/>
            <w:noWrap/>
            <w:tcMar>
              <w:top w:w="16" w:type="dxa"/>
              <w:left w:w="16" w:type="dxa"/>
              <w:right w:w="16" w:type="dxa"/>
            </w:tcMar>
            <w:vAlign w:val="center"/>
          </w:tcPr>
          <w:p>
            <w:pPr>
              <w:keepNext w:val="0"/>
              <w:keepLines w:val="0"/>
              <w:widowControl/>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规划情况</w:t>
            </w:r>
          </w:p>
        </w:tc>
        <w:tc>
          <w:tcPr>
            <w:tcW w:w="7231" w:type="dxa"/>
            <w:gridSpan w:val="5"/>
            <w:noWrap/>
            <w:tcMar>
              <w:top w:w="16" w:type="dxa"/>
              <w:left w:w="16" w:type="dxa"/>
              <w:right w:w="16" w:type="dxa"/>
            </w:tcMar>
            <w:vAlign w:val="center"/>
          </w:tcPr>
          <w:p>
            <w:pPr>
              <w:keepNext w:val="0"/>
              <w:keepLines w:val="0"/>
              <w:widowControl/>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1009" w:type="dxa"/>
            <w:noWrap/>
            <w:tcMar>
              <w:top w:w="16" w:type="dxa"/>
              <w:left w:w="16" w:type="dxa"/>
              <w:right w:w="16" w:type="dxa"/>
            </w:tcMar>
            <w:vAlign w:val="center"/>
          </w:tcPr>
          <w:p>
            <w:pPr>
              <w:keepNext w:val="0"/>
              <w:keepLines w:val="0"/>
              <w:widowControl/>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规划环境影响评价情况</w:t>
            </w:r>
          </w:p>
        </w:tc>
        <w:tc>
          <w:tcPr>
            <w:tcW w:w="7231" w:type="dxa"/>
            <w:gridSpan w:val="5"/>
            <w:noWrap/>
            <w:tcMar>
              <w:top w:w="16" w:type="dxa"/>
              <w:left w:w="16" w:type="dxa"/>
              <w:right w:w="16" w:type="dxa"/>
            </w:tcMar>
            <w:vAlign w:val="center"/>
          </w:tcPr>
          <w:p>
            <w:pPr>
              <w:keepNext w:val="0"/>
              <w:keepLines w:val="0"/>
              <w:widowControl/>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83" w:hRule="atLeast"/>
        </w:trPr>
        <w:tc>
          <w:tcPr>
            <w:tcW w:w="1009" w:type="dxa"/>
            <w:noWrap/>
            <w:tcMar>
              <w:top w:w="16" w:type="dxa"/>
              <w:left w:w="16" w:type="dxa"/>
              <w:right w:w="16" w:type="dxa"/>
            </w:tcMar>
            <w:vAlign w:val="center"/>
          </w:tcPr>
          <w:p>
            <w:pPr>
              <w:keepNext w:val="0"/>
              <w:keepLines w:val="0"/>
              <w:widowControl/>
              <w:suppressLineNumbers w:val="0"/>
              <w:autoSpaceDE w:val="0"/>
              <w:autoSpaceDN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规划及规划环境影响评价符合性分析</w:t>
            </w:r>
          </w:p>
        </w:tc>
        <w:tc>
          <w:tcPr>
            <w:tcW w:w="7231" w:type="dxa"/>
            <w:gridSpan w:val="5"/>
            <w:noWrap/>
            <w:tcMar>
              <w:top w:w="16" w:type="dxa"/>
              <w:left w:w="16" w:type="dxa"/>
              <w:right w:w="16" w:type="dxa"/>
            </w:tcMar>
            <w:vAlign w:val="center"/>
          </w:tcPr>
          <w:p>
            <w:pPr>
              <w:keepNext w:val="0"/>
              <w:keepLines w:val="0"/>
              <w:widowControl/>
              <w:suppressLineNumbers w:val="0"/>
              <w:autoSpaceDE w:val="0"/>
              <w:autoSpaceDN w:val="0"/>
              <w:adjustRightInd w:val="0"/>
              <w:snapToGrid w:val="0"/>
              <w:spacing w:before="0" w:beforeAutospacing="0" w:after="0" w:afterAutospacing="0" w:line="360" w:lineRule="auto"/>
              <w:ind w:left="0" w:right="0" w:firstLine="480"/>
              <w:jc w:val="center"/>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c>
          <w:tcPr>
            <w:tcW w:w="1009" w:type="dxa"/>
            <w:noWrap/>
            <w:tcMar>
              <w:top w:w="16" w:type="dxa"/>
              <w:left w:w="16" w:type="dxa"/>
              <w:right w:w="16" w:type="dxa"/>
            </w:tcMar>
            <w:vAlign w:val="center"/>
          </w:tcPr>
          <w:p>
            <w:pPr>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其他符合性分析</w:t>
            </w:r>
          </w:p>
        </w:tc>
        <w:tc>
          <w:tcPr>
            <w:tcW w:w="7231" w:type="dxa"/>
            <w:gridSpan w:val="5"/>
            <w:noWrap/>
            <w:tcMar>
              <w:top w:w="16" w:type="dxa"/>
              <w:left w:w="16" w:type="dxa"/>
              <w:right w:w="16" w:type="dxa"/>
            </w:tcMar>
          </w:tcPr>
          <w:p>
            <w:pPr>
              <w:keepNext w:val="0"/>
              <w:keepLines w:val="0"/>
              <w:pageBreakBefore w:val="0"/>
              <w:widowControl/>
              <w:suppressLineNumbers w:val="0"/>
              <w:kinsoku/>
              <w:wordWrap/>
              <w:overflowPunct/>
              <w:topLinePunct w:val="0"/>
              <w:autoSpaceDE/>
              <w:autoSpaceDN/>
              <w:bidi w:val="0"/>
              <w:spacing w:before="0" w:beforeAutospacing="0" w:after="0" w:afterAutospacing="0" w:line="408" w:lineRule="auto"/>
              <w:ind w:left="0" w:right="0"/>
              <w:textAlignment w:val="auto"/>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1产业政策符合性分析</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textAlignment w:val="auto"/>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根据《产业结构调整指导目录</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2024年本</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》第一类 鼓励类 四、电力</w:t>
            </w:r>
            <w:r>
              <w:rPr>
                <w:rFonts w:hint="default" w:ascii="Times New Roman" w:hAnsi="Times New Roman" w:eastAsia="宋体" w:cs="Times New Roman"/>
                <w:color w:val="auto"/>
                <w:highlight w:val="none"/>
                <w:lang w:val="en-US" w:eastAsia="zh-CN"/>
              </w:rPr>
              <w:t>2．电力基础设施建设：大中型水力发电及抽水蓄能电站、大型电站及大电网变电站集约化设计和自动化技术开发与应用，跨区电网互联工程技术开发与应用，电网改造与建设，增量配电网建设，边境及国家大电网未覆盖的地区可再生能源局域网建设，输变电、配电节能、降损、环保技术开发与推广应用。</w:t>
            </w:r>
          </w:p>
          <w:p>
            <w:pPr>
              <w:pStyle w:val="118"/>
              <w:keepNext w:val="0"/>
              <w:keepLines w:val="0"/>
              <w:widowControl/>
              <w:suppressLineNumbers w:val="0"/>
              <w:spacing w:before="0" w:beforeAutospacing="0" w:after="0" w:afterAutospacing="0" w:line="360" w:lineRule="auto"/>
              <w:ind w:left="0" w:right="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highlight w:val="none"/>
              </w:rPr>
              <w:t>本项目</w:t>
            </w:r>
            <w:r>
              <w:rPr>
                <w:rFonts w:hint="default" w:ascii="Times New Roman" w:hAnsi="Times New Roman" w:eastAsia="宋体" w:cs="Times New Roman"/>
                <w:color w:val="auto"/>
                <w:highlight w:val="none"/>
                <w:lang w:val="en-US" w:eastAsia="zh-CN"/>
              </w:rPr>
              <w:t>新建110kV</w:t>
            </w:r>
            <w:r>
              <w:rPr>
                <w:rFonts w:hint="default" w:ascii="Times New Roman" w:hAnsi="Times New Roman" w:cs="Times New Roman"/>
                <w:color w:val="auto"/>
                <w:highlight w:val="none"/>
                <w:lang w:val="en-US" w:eastAsia="zh-CN"/>
              </w:rPr>
              <w:t>变电站</w:t>
            </w:r>
            <w:r>
              <w:rPr>
                <w:rFonts w:hint="default" w:ascii="Times New Roman" w:hAnsi="Times New Roman" w:eastAsia="宋体" w:cs="Times New Roman"/>
                <w:color w:val="auto"/>
                <w:highlight w:val="none"/>
                <w:lang w:val="en-US" w:eastAsia="zh-CN"/>
              </w:rPr>
              <w:t>及送出线路，</w:t>
            </w:r>
            <w:r>
              <w:rPr>
                <w:rFonts w:hint="default" w:ascii="Times New Roman" w:hAnsi="Times New Roman" w:cs="Times New Roman"/>
                <w:color w:val="auto"/>
                <w:highlight w:val="none"/>
                <w:lang w:val="en-US" w:eastAsia="zh-CN"/>
              </w:rPr>
              <w:t>属于</w:t>
            </w:r>
            <w:r>
              <w:rPr>
                <w:rFonts w:hint="default" w:ascii="Times New Roman" w:hAnsi="Times New Roman" w:eastAsia="宋体" w:cs="Times New Roman"/>
                <w:color w:val="auto"/>
                <w:highlight w:val="none"/>
                <w:lang w:val="en-US" w:eastAsia="zh-CN"/>
              </w:rPr>
              <w:t>电力基础设施建设，属于</w:t>
            </w:r>
            <w:r>
              <w:rPr>
                <w:rFonts w:hint="default" w:ascii="Times New Roman" w:hAnsi="Times New Roman" w:eastAsia="宋体" w:cs="Times New Roman"/>
                <w:color w:val="auto"/>
                <w:highlight w:val="none"/>
              </w:rPr>
              <w:t>鼓励类项目，符合国家产业政策的要求。</w:t>
            </w:r>
          </w:p>
        </w:tc>
      </w:tr>
    </w:tbl>
    <w:p>
      <w:pPr>
        <w:pStyle w:val="14"/>
        <w:ind w:firstLine="480"/>
        <w:rPr>
          <w:rFonts w:hint="default" w:ascii="Times New Roman" w:hAnsi="Times New Roman" w:eastAsia="宋体" w:cs="Times New Roman"/>
          <w:color w:val="auto"/>
          <w:highlight w:val="none"/>
        </w:rPr>
        <w:sectPr>
          <w:footerReference r:id="rId5" w:type="first"/>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pPr>
    </w:p>
    <w:p>
      <w:pPr>
        <w:jc w:val="center"/>
        <w:outlineLvl w:val="0"/>
        <w:rPr>
          <w:rFonts w:hint="default" w:ascii="Times New Roman" w:hAnsi="Times New Roman" w:eastAsia="宋体" w:cs="Times New Roman"/>
          <w:snapToGrid w:val="0"/>
          <w:color w:val="auto"/>
          <w:sz w:val="30"/>
          <w:szCs w:val="30"/>
          <w:highlight w:val="none"/>
        </w:rPr>
      </w:pPr>
      <w:bookmarkStart w:id="8" w:name="_Toc202798672"/>
      <w:bookmarkStart w:id="9" w:name="_Toc201659315"/>
      <w:bookmarkStart w:id="10" w:name="_Toc201659585"/>
      <w:bookmarkStart w:id="11" w:name="_Toc70009834"/>
      <w:bookmarkStart w:id="12" w:name="_Toc28282"/>
      <w:bookmarkStart w:id="13" w:name="_Toc67826157"/>
      <w:bookmarkStart w:id="14" w:name="_Toc67825863"/>
      <w:bookmarkStart w:id="15" w:name="_Toc201659445"/>
      <w:bookmarkStart w:id="16" w:name="_Toc70009646"/>
      <w:bookmarkStart w:id="17" w:name="_Toc210812359"/>
      <w:bookmarkStart w:id="18" w:name="_Toc215697930"/>
      <w:bookmarkStart w:id="19" w:name="_Toc96878377"/>
      <w:bookmarkStart w:id="20" w:name="_Toc8873"/>
      <w:bookmarkStart w:id="21" w:name="_Toc70007221"/>
      <w:bookmarkStart w:id="22" w:name="_Toc72921439"/>
      <w:r>
        <w:rPr>
          <w:rFonts w:hint="default" w:ascii="Times New Roman" w:hAnsi="Times New Roman" w:eastAsia="宋体" w:cs="Times New Roman"/>
          <w:b/>
          <w:bCs/>
          <w:snapToGrid w:val="0"/>
          <w:color w:val="auto"/>
          <w:sz w:val="30"/>
          <w:szCs w:val="30"/>
          <w:highlight w:val="none"/>
        </w:rPr>
        <w:t>二、建设内容</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tbl>
      <w:tblPr>
        <w:tblStyle w:val="29"/>
        <w:tblW w:w="8769" w:type="dxa"/>
        <w:tblInd w:w="0" w:type="dxa"/>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Layout w:type="fixed"/>
        <w:tblCellMar>
          <w:top w:w="0" w:type="dxa"/>
          <w:left w:w="108" w:type="dxa"/>
          <w:bottom w:w="0" w:type="dxa"/>
          <w:right w:w="108" w:type="dxa"/>
        </w:tblCellMar>
      </w:tblPr>
      <w:tblGrid>
        <w:gridCol w:w="675"/>
        <w:gridCol w:w="8094"/>
      </w:tblGrid>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1448" w:hRule="atLeast"/>
        </w:trPr>
        <w:tc>
          <w:tcPr>
            <w:tcW w:w="675" w:type="dxa"/>
            <w:vAlign w:val="center"/>
          </w:tcPr>
          <w:p>
            <w:pPr>
              <w:pStyle w:val="11"/>
              <w:widowControl w:val="0"/>
              <w:adjustRightInd/>
              <w:snapToGrid/>
              <w:spacing w:line="240" w:lineRule="auto"/>
              <w:ind w:left="0" w:leftChars="0" w:firstLine="0" w:firstLineChars="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sz w:val="24"/>
                <w:highlight w:val="none"/>
              </w:rPr>
              <w:t>地理位置</w:t>
            </w:r>
          </w:p>
        </w:tc>
        <w:tc>
          <w:tcPr>
            <w:tcW w:w="8094" w:type="dxa"/>
          </w:tcPr>
          <w:p>
            <w:pPr>
              <w:keepNext w:val="0"/>
              <w:keepLines w:val="0"/>
              <w:pageBreakBefore w:val="0"/>
              <w:widowControl w:val="0"/>
              <w:kinsoku/>
              <w:wordWrap/>
              <w:overflowPunct/>
              <w:topLinePunct w:val="0"/>
              <w:autoSpaceDE/>
              <w:autoSpaceDN/>
              <w:bidi w:val="0"/>
              <w:adjustRightInd w:val="0"/>
              <w:snapToGrid w:val="0"/>
              <w:spacing w:line="336" w:lineRule="auto"/>
              <w:ind w:firstLine="480" w:firstLineChars="200"/>
              <w:jc w:val="both"/>
              <w:textAlignment w:val="auto"/>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本项目变电站站址选址于岳普湖县辖区内，配套输电线路工程途经岳普湖县、伽师县。</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675" w:type="dxa"/>
            <w:vAlign w:val="center"/>
          </w:tcPr>
          <w:p>
            <w:pPr>
              <w:pStyle w:val="11"/>
              <w:widowControl w:val="0"/>
              <w:adjustRightInd/>
              <w:snapToGrid/>
              <w:spacing w:line="240" w:lineRule="auto"/>
              <w:ind w:left="0" w:leftChars="0" w:firstLine="0" w:firstLineChars="0"/>
              <w:jc w:val="center"/>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项目组成及规模</w:t>
            </w:r>
          </w:p>
        </w:tc>
        <w:tc>
          <w:tcPr>
            <w:tcW w:w="8094" w:type="dxa"/>
          </w:tcPr>
          <w:p>
            <w:pPr>
              <w:widowControl w:val="0"/>
              <w:spacing w:beforeLines="0" w:afterLines="0" w:line="360" w:lineRule="auto"/>
              <w:jc w:val="both"/>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1项目概况</w:t>
            </w:r>
          </w:p>
          <w:p>
            <w:pPr>
              <w:widowControl w:val="0"/>
              <w:spacing w:beforeLines="0" w:afterLines="0" w:line="336" w:lineRule="auto"/>
              <w:ind w:firstLine="480" w:firstLineChars="200"/>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项目名称：岳普湖县城市电网改造提升建设项目</w:t>
            </w:r>
          </w:p>
          <w:p>
            <w:pPr>
              <w:widowControl w:val="0"/>
              <w:spacing w:beforeLines="0" w:afterLines="0" w:line="336" w:lineRule="auto"/>
              <w:ind w:firstLine="480" w:firstLineChars="200"/>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建设单位：岳普湖县住房保障服务中心</w:t>
            </w:r>
          </w:p>
          <w:p>
            <w:pPr>
              <w:widowControl w:val="0"/>
              <w:spacing w:beforeLines="0" w:afterLines="0" w:line="336" w:lineRule="auto"/>
              <w:ind w:firstLine="480" w:firstLineChars="200"/>
              <w:jc w:val="both"/>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建设性质：新建</w:t>
            </w:r>
          </w:p>
          <w:p>
            <w:pPr>
              <w:widowControl w:val="0"/>
              <w:spacing w:beforeLines="0" w:afterLines="0" w:line="336" w:lineRule="auto"/>
              <w:jc w:val="both"/>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2项目组成及规模</w:t>
            </w:r>
          </w:p>
          <w:p>
            <w:pPr>
              <w:keepNext w:val="0"/>
              <w:keepLines w:val="0"/>
              <w:pageBreakBefore w:val="0"/>
              <w:widowControl w:val="0"/>
              <w:kinsoku/>
              <w:wordWrap/>
              <w:overflowPunct/>
              <w:topLinePunct w:val="0"/>
              <w:autoSpaceDE/>
              <w:autoSpaceDN/>
              <w:bidi w:val="0"/>
              <w:adjustRightInd/>
              <w:snapToGrid/>
              <w:spacing w:line="336" w:lineRule="auto"/>
              <w:ind w:firstLine="470" w:firstLineChars="196"/>
              <w:jc w:val="both"/>
              <w:textAlignment w:val="auto"/>
              <w:rPr>
                <w:rFonts w:hint="default" w:ascii="Times New Roman" w:hAnsi="Times New Roman" w:eastAsia="宋体" w:cs="Times New Roman"/>
                <w:color w:val="auto"/>
                <w:highlight w:val="none"/>
                <w:lang w:val="en-US" w:eastAsia="zh-CN"/>
              </w:rPr>
            </w:pPr>
            <w:r>
              <w:rPr>
                <w:rFonts w:hint="default" w:ascii="Times New Roman" w:hAnsi="Times New Roman" w:cs="Times New Roman"/>
                <w:color w:val="auto"/>
                <w:sz w:val="24"/>
                <w:szCs w:val="24"/>
                <w:highlight w:val="none"/>
              </w:rPr>
              <w:t>本项目新建110千伏变电站1座，</w:t>
            </w:r>
            <w:r>
              <w:rPr>
                <w:rFonts w:hint="default" w:ascii="Times New Roman" w:hAnsi="Times New Roman" w:cs="Times New Roman"/>
                <w:color w:val="auto"/>
                <w:sz w:val="24"/>
                <w:szCs w:val="24"/>
                <w:highlight w:val="none"/>
                <w:lang w:val="en-US" w:eastAsia="zh-CN"/>
              </w:rPr>
              <w:t>本期</w:t>
            </w:r>
            <w:r>
              <w:rPr>
                <w:rFonts w:hint="default" w:ascii="Times New Roman" w:hAnsi="Times New Roman" w:cs="Times New Roman"/>
                <w:color w:val="auto"/>
                <w:sz w:val="24"/>
                <w:szCs w:val="24"/>
                <w:highlight w:val="none"/>
              </w:rPr>
              <w:t>配置2台63MVA主变压器；新建110千伏伽师变-工业园区变线路架空路径全长</w:t>
            </w:r>
            <w:r>
              <w:rPr>
                <w:rFonts w:hint="default" w:ascii="Times New Roman" w:hAnsi="Times New Roman" w:cs="Times New Roman"/>
                <w:color w:val="auto"/>
                <w:sz w:val="24"/>
                <w:szCs w:val="24"/>
                <w:highlight w:val="none"/>
                <w:lang w:eastAsia="zh-CN"/>
              </w:rPr>
              <w:t>21.893</w:t>
            </w:r>
            <w:r>
              <w:rPr>
                <w:rFonts w:hint="default" w:ascii="Times New Roman" w:hAnsi="Times New Roman" w:cs="Times New Roman"/>
                <w:color w:val="auto"/>
                <w:sz w:val="24"/>
                <w:szCs w:val="24"/>
                <w:highlight w:val="none"/>
              </w:rPr>
              <w:t>千米，单、双回路混合架设，</w:t>
            </w:r>
            <w:r>
              <w:rPr>
                <w:rFonts w:hint="default" w:ascii="Times New Roman" w:hAnsi="Times New Roman" w:cs="Times New Roman"/>
                <w:color w:val="auto"/>
                <w:sz w:val="24"/>
                <w:szCs w:val="24"/>
                <w:highlight w:val="none"/>
                <w:lang w:val="en-US" w:eastAsia="zh-CN"/>
              </w:rPr>
              <w:t>线路起点至110kV伽昆线#006塔区段采用同塔双回架设，其余区段为单回路架设，</w:t>
            </w:r>
            <w:r>
              <w:rPr>
                <w:rFonts w:hint="default" w:ascii="Times New Roman" w:hAnsi="Times New Roman" w:cs="Times New Roman"/>
                <w:color w:val="auto"/>
                <w:sz w:val="24"/>
                <w:szCs w:val="24"/>
                <w:highlight w:val="none"/>
              </w:rPr>
              <w:t>同塔双回线路路径长0.973km，单回线路路径长20.92km</w:t>
            </w:r>
            <w:r>
              <w:rPr>
                <w:rFonts w:hint="default" w:ascii="Times New Roman" w:hAnsi="Times New Roman" w:cs="Times New Roman"/>
                <w:color w:val="auto"/>
                <w:sz w:val="24"/>
                <w:szCs w:val="24"/>
                <w:highlight w:val="none"/>
                <w:lang w:eastAsia="zh-CN"/>
              </w:rPr>
              <w:t>，</w:t>
            </w:r>
            <w:r>
              <w:rPr>
                <w:rFonts w:hint="default" w:ascii="Times New Roman" w:hAnsi="Times New Roman" w:cs="Times New Roman"/>
                <w:color w:val="auto"/>
                <w:sz w:val="24"/>
                <w:szCs w:val="24"/>
                <w:highlight w:val="none"/>
              </w:rPr>
              <w:t>导线采用2×JL3/G1A-240/30型钢芯铝绞线，新建铁塔</w:t>
            </w:r>
            <w:r>
              <w:rPr>
                <w:rFonts w:hint="default" w:ascii="Times New Roman" w:hAnsi="Times New Roman" w:cs="Times New Roman"/>
                <w:color w:val="auto"/>
                <w:sz w:val="24"/>
                <w:szCs w:val="24"/>
                <w:highlight w:val="none"/>
                <w:lang w:val="en-US" w:eastAsia="zh-CN"/>
              </w:rPr>
              <w:t>72</w:t>
            </w:r>
            <w:r>
              <w:rPr>
                <w:rFonts w:hint="default" w:ascii="Times New Roman" w:hAnsi="Times New Roman" w:cs="Times New Roman"/>
                <w:color w:val="auto"/>
                <w:sz w:val="24"/>
                <w:szCs w:val="24"/>
                <w:highlight w:val="none"/>
              </w:rPr>
              <w:t>基；新建110千伏尧普变-工业园区变线路架空路径全长</w:t>
            </w:r>
            <w:r>
              <w:rPr>
                <w:rFonts w:hint="default" w:ascii="Times New Roman" w:hAnsi="Times New Roman" w:cs="Times New Roman"/>
                <w:color w:val="auto"/>
                <w:sz w:val="24"/>
                <w:szCs w:val="24"/>
                <w:highlight w:val="none"/>
                <w:lang w:eastAsia="zh-CN"/>
              </w:rPr>
              <w:t>7.956</w:t>
            </w:r>
            <w:r>
              <w:rPr>
                <w:rFonts w:hint="default" w:ascii="Times New Roman" w:hAnsi="Times New Roman" w:cs="Times New Roman"/>
                <w:color w:val="auto"/>
                <w:sz w:val="24"/>
                <w:szCs w:val="24"/>
                <w:highlight w:val="none"/>
              </w:rPr>
              <w:t>千米，其中架空导线路径长度为</w:t>
            </w:r>
            <w:r>
              <w:rPr>
                <w:rFonts w:hint="default" w:ascii="Times New Roman" w:hAnsi="Times New Roman" w:cs="Times New Roman"/>
                <w:color w:val="auto"/>
                <w:sz w:val="24"/>
                <w:szCs w:val="24"/>
                <w:highlight w:val="none"/>
                <w:lang w:eastAsia="zh-CN"/>
              </w:rPr>
              <w:t>7.956</w:t>
            </w:r>
            <w:r>
              <w:rPr>
                <w:rFonts w:hint="default" w:ascii="Times New Roman" w:hAnsi="Times New Roman" w:cs="Times New Roman"/>
                <w:color w:val="auto"/>
                <w:sz w:val="24"/>
                <w:szCs w:val="24"/>
                <w:highlight w:val="none"/>
              </w:rPr>
              <w:t>km，全线单回路架设。导线采用2×JL3/G1A-240/30型钢芯铝绞线，新建铁塔</w:t>
            </w:r>
            <w:r>
              <w:rPr>
                <w:rFonts w:hint="default" w:ascii="Times New Roman" w:hAnsi="Times New Roman" w:cs="Times New Roman"/>
                <w:color w:val="auto"/>
                <w:sz w:val="24"/>
                <w:szCs w:val="24"/>
                <w:highlight w:val="none"/>
                <w:lang w:val="en-US" w:eastAsia="zh-CN"/>
              </w:rPr>
              <w:t>35</w:t>
            </w:r>
            <w:r>
              <w:rPr>
                <w:rFonts w:hint="default" w:ascii="Times New Roman" w:hAnsi="Times New Roman" w:cs="Times New Roman"/>
                <w:color w:val="auto"/>
                <w:sz w:val="24"/>
                <w:szCs w:val="24"/>
                <w:highlight w:val="none"/>
              </w:rPr>
              <w:t>基。</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4919" w:hRule="atLeast"/>
        </w:trPr>
        <w:tc>
          <w:tcPr>
            <w:tcW w:w="675" w:type="dxa"/>
            <w:vAlign w:val="center"/>
          </w:tcPr>
          <w:p>
            <w:pPr>
              <w:widowControl w:val="0"/>
              <w:adjustRightInd w:val="0"/>
              <w:snapToGrid w:val="0"/>
              <w:jc w:val="center"/>
              <w:rPr>
                <w:rFonts w:hint="default" w:ascii="Times New Roman" w:hAnsi="Times New Roman" w:eastAsia="宋体" w:cs="Times New Roman"/>
                <w:color w:val="auto"/>
                <w:highlight w:val="none"/>
                <w:lang w:eastAsia="en-US"/>
              </w:rPr>
            </w:pPr>
            <w:r>
              <w:rPr>
                <w:rFonts w:hint="default" w:ascii="Times New Roman" w:hAnsi="Times New Roman" w:eastAsia="宋体" w:cs="Times New Roman"/>
                <w:color w:val="auto"/>
                <w:highlight w:val="none"/>
              </w:rPr>
              <w:t>总平面及现场布置</w:t>
            </w:r>
          </w:p>
        </w:tc>
        <w:tc>
          <w:tcPr>
            <w:tcW w:w="8094" w:type="dxa"/>
          </w:tcPr>
          <w:p>
            <w:pPr>
              <w:keepNext w:val="0"/>
              <w:keepLines w:val="0"/>
              <w:pageBreakBefore w:val="0"/>
              <w:widowControl w:val="0"/>
              <w:kinsoku/>
              <w:wordWrap/>
              <w:overflowPunct/>
              <w:topLinePunct w:val="0"/>
              <w:bidi w:val="0"/>
              <w:adjustRightInd/>
              <w:snapToGrid/>
              <w:spacing w:line="336" w:lineRule="auto"/>
              <w:jc w:val="both"/>
              <w:textAlignment w:val="auto"/>
              <w:rPr>
                <w:rFonts w:hint="default" w:ascii="Times New Roman" w:hAnsi="Times New Roman" w:eastAsia="宋体" w:cs="Times New Roman"/>
                <w:b/>
                <w:color w:val="auto"/>
                <w:highlight w:val="none"/>
              </w:rPr>
            </w:pPr>
            <w:r>
              <w:rPr>
                <w:rFonts w:hint="default" w:ascii="Times New Roman" w:hAnsi="Times New Roman" w:eastAsia="宋体" w:cs="Times New Roman"/>
                <w:b/>
                <w:color w:val="auto"/>
                <w:highlight w:val="none"/>
                <w:lang w:val="en-US" w:eastAsia="zh-CN"/>
              </w:rPr>
              <w:t>1</w:t>
            </w:r>
            <w:r>
              <w:rPr>
                <w:rFonts w:hint="default" w:ascii="Times New Roman" w:hAnsi="Times New Roman" w:eastAsia="宋体" w:cs="Times New Roman"/>
                <w:b/>
                <w:color w:val="auto"/>
                <w:highlight w:val="none"/>
              </w:rPr>
              <w:t>输电线路路径</w:t>
            </w:r>
          </w:p>
          <w:p>
            <w:pPr>
              <w:keepNext w:val="0"/>
              <w:keepLines w:val="0"/>
              <w:pageBreakBefore w:val="0"/>
              <w:widowControl w:val="0"/>
              <w:kinsoku/>
              <w:wordWrap/>
              <w:overflowPunct/>
              <w:topLinePunct w:val="0"/>
              <w:bidi w:val="0"/>
              <w:adjustRightInd/>
              <w:snapToGrid/>
              <w:spacing w:line="336" w:lineRule="auto"/>
              <w:ind w:firstLine="482" w:firstLineChars="200"/>
              <w:jc w:val="both"/>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b/>
                <w:bCs/>
                <w:color w:val="auto"/>
                <w:highlight w:val="none"/>
                <w:lang w:val="en-US" w:eastAsia="zh-CN"/>
              </w:rPr>
              <w:t>110千伏伽师变-工业园区变线路：</w:t>
            </w:r>
            <w:r>
              <w:rPr>
                <w:rFonts w:hint="default" w:ascii="Times New Roman" w:hAnsi="Times New Roman" w:eastAsia="宋体" w:cs="Times New Roman"/>
                <w:color w:val="auto"/>
                <w:highlight w:val="none"/>
                <w:lang w:val="en-US" w:eastAsia="zh-CN"/>
              </w:rPr>
              <w:t>新建线路一自220kV伽师变110千伏侧自南向北第6预留间隔出线构架，架设至110kV伽昆线终端塔上，利用110kV伽昆线双回铁塔北侧挂点架设至110kV伽昆线#006塔</w:t>
            </w:r>
            <w:r>
              <w:rPr>
                <w:rFonts w:hint="default" w:ascii="Times New Roman" w:hAnsi="Times New Roman" w:cs="Times New Roman"/>
                <w:color w:val="auto"/>
                <w:highlight w:val="none"/>
                <w:lang w:val="en-US" w:eastAsia="zh-CN"/>
              </w:rPr>
              <w:t>（线路起点至110kV伽昆线#006塔区段采用同塔双回架设，其余区段为单回路架设）</w:t>
            </w:r>
            <w:r>
              <w:rPr>
                <w:rFonts w:hint="default" w:ascii="Times New Roman" w:hAnsi="Times New Roman" w:eastAsia="宋体" w:cs="Times New Roman"/>
                <w:color w:val="auto"/>
                <w:highlight w:val="none"/>
                <w:lang w:val="en-US" w:eastAsia="zh-CN"/>
              </w:rPr>
              <w:t>，后开始沿1</w:t>
            </w:r>
            <w:r>
              <w:rPr>
                <w:rFonts w:hint="default" w:ascii="Times New Roman" w:hAnsi="Times New Roman" w:cs="Times New Roman"/>
                <w:color w:val="auto"/>
                <w:highlight w:val="none"/>
                <w:lang w:val="en-US" w:eastAsia="zh-CN"/>
              </w:rPr>
              <w:t>1</w:t>
            </w:r>
            <w:r>
              <w:rPr>
                <w:rFonts w:hint="default" w:ascii="Times New Roman" w:hAnsi="Times New Roman" w:eastAsia="宋体" w:cs="Times New Roman"/>
                <w:color w:val="auto"/>
                <w:highlight w:val="none"/>
                <w:lang w:val="en-US" w:eastAsia="zh-CN"/>
              </w:rPr>
              <w:t>0kV伽昆线向东南架设5km处，向南转向钻越750kV车喀线，钻越110kV克孜勒博依出线，沿麦喀高速架设至麦喀高速72km处，向西转向跨越高速，跨越35kV坊郎线，后转越110kV尧齐、尧岳线，后架设至新建变电站东侧。</w:t>
            </w:r>
          </w:p>
          <w:p>
            <w:pPr>
              <w:keepNext w:val="0"/>
              <w:keepLines w:val="0"/>
              <w:pageBreakBefore w:val="0"/>
              <w:widowControl w:val="0"/>
              <w:kinsoku/>
              <w:wordWrap/>
              <w:overflowPunct/>
              <w:topLinePunct w:val="0"/>
              <w:bidi w:val="0"/>
              <w:adjustRightInd/>
              <w:snapToGrid/>
              <w:spacing w:line="336" w:lineRule="auto"/>
              <w:ind w:firstLine="482" w:firstLineChars="200"/>
              <w:jc w:val="both"/>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b/>
                <w:bCs/>
                <w:color w:val="auto"/>
                <w:highlight w:val="none"/>
                <w:lang w:val="en-US" w:eastAsia="zh-CN"/>
              </w:rPr>
              <w:t>110千伏尧普变-工业园区变线路</w:t>
            </w:r>
            <w:r>
              <w:rPr>
                <w:rFonts w:hint="default" w:ascii="Times New Roman" w:hAnsi="Times New Roman" w:cs="Times New Roman"/>
                <w:b/>
                <w:bCs/>
                <w:color w:val="auto"/>
                <w:highlight w:val="none"/>
                <w:lang w:val="en-US" w:eastAsia="zh-CN"/>
              </w:rPr>
              <w:t>：</w:t>
            </w:r>
            <w:r>
              <w:rPr>
                <w:rFonts w:hint="default" w:ascii="Times New Roman" w:hAnsi="Times New Roman" w:cs="Times New Roman"/>
                <w:color w:val="auto"/>
                <w:highlight w:val="none"/>
                <w:lang w:val="en-US" w:eastAsia="zh-CN"/>
              </w:rPr>
              <w:t>新建线路二自220kV尧普变110千伏侧向西架设跨越新城大道后向西北架设，跨越</w:t>
            </w:r>
            <w:r>
              <w:rPr>
                <w:rFonts w:hint="eastAsia" w:ascii="Times New Roman" w:hAnsi="Times New Roman" w:cs="Times New Roman"/>
                <w:color w:val="auto"/>
                <w:highlight w:val="none"/>
                <w:lang w:val="en-US" w:eastAsia="zh-CN"/>
              </w:rPr>
              <w:t>岳普湖县迎宾大道</w:t>
            </w:r>
            <w:r>
              <w:rPr>
                <w:rFonts w:hint="default" w:ascii="Times New Roman" w:hAnsi="Times New Roman" w:cs="Times New Roman"/>
                <w:color w:val="auto"/>
                <w:highlight w:val="none"/>
                <w:lang w:val="en-US" w:eastAsia="zh-CN"/>
              </w:rPr>
              <w:t>后，调整角度架设至新建变电站东侧。</w:t>
            </w:r>
          </w:p>
          <w:p>
            <w:pPr>
              <w:keepNext w:val="0"/>
              <w:keepLines w:val="0"/>
              <w:pageBreakBefore w:val="0"/>
              <w:widowControl w:val="0"/>
              <w:kinsoku/>
              <w:wordWrap/>
              <w:overflowPunct/>
              <w:topLinePunct w:val="0"/>
              <w:bidi w:val="0"/>
              <w:adjustRightInd/>
              <w:snapToGrid/>
              <w:spacing w:line="336" w:lineRule="auto"/>
              <w:ind w:firstLine="480" w:firstLineChars="200"/>
              <w:jc w:val="both"/>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rPr>
              <w:t>线路路径见附图</w:t>
            </w:r>
            <w:r>
              <w:rPr>
                <w:rFonts w:hint="default" w:ascii="Times New Roman" w:hAnsi="Times New Roman" w:eastAsia="宋体" w:cs="Times New Roman"/>
                <w:color w:val="auto"/>
                <w:highlight w:val="none"/>
                <w:lang w:val="en-US" w:eastAsia="zh-CN"/>
              </w:rPr>
              <w:t>3</w:t>
            </w:r>
            <w:r>
              <w:rPr>
                <w:rFonts w:hint="default" w:ascii="Times New Roman" w:hAnsi="Times New Roman" w:eastAsia="宋体" w:cs="Times New Roman"/>
                <w:color w:val="auto"/>
                <w:highlight w:val="none"/>
              </w:rPr>
              <w:t>；线路杆塔一览图，见附图</w:t>
            </w:r>
            <w:r>
              <w:rPr>
                <w:rFonts w:hint="default" w:ascii="Times New Roman" w:hAnsi="Times New Roman" w:eastAsia="宋体" w:cs="Times New Roman"/>
                <w:color w:val="auto"/>
                <w:highlight w:val="none"/>
                <w:lang w:val="en-US" w:eastAsia="zh-CN"/>
              </w:rPr>
              <w:t>4。</w:t>
            </w:r>
          </w:p>
          <w:p>
            <w:pPr>
              <w:keepNext w:val="0"/>
              <w:keepLines w:val="0"/>
              <w:pageBreakBefore w:val="0"/>
              <w:widowControl w:val="0"/>
              <w:kinsoku/>
              <w:wordWrap/>
              <w:overflowPunct/>
              <w:topLinePunct w:val="0"/>
              <w:bidi w:val="0"/>
              <w:adjustRightInd/>
              <w:snapToGrid/>
              <w:spacing w:line="336" w:lineRule="auto"/>
              <w:jc w:val="both"/>
              <w:textAlignment w:val="auto"/>
              <w:rPr>
                <w:rFonts w:hint="default" w:ascii="Times New Roman" w:hAnsi="Times New Roman" w:eastAsia="宋体" w:cs="Times New Roman"/>
                <w:b/>
                <w:color w:val="auto"/>
                <w:highlight w:val="none"/>
                <w:lang w:val="en-US" w:eastAsia="zh-CN"/>
              </w:rPr>
            </w:pPr>
            <w:r>
              <w:rPr>
                <w:rFonts w:hint="default" w:ascii="Times New Roman" w:hAnsi="Times New Roman" w:eastAsia="宋体" w:cs="Times New Roman"/>
                <w:b/>
                <w:color w:val="auto"/>
                <w:highlight w:val="none"/>
                <w:lang w:val="en-US" w:eastAsia="zh-CN"/>
              </w:rPr>
              <w:t>2</w:t>
            </w:r>
            <w:r>
              <w:rPr>
                <w:rFonts w:hint="default" w:ascii="Times New Roman" w:hAnsi="Times New Roman" w:cs="Times New Roman"/>
                <w:b/>
                <w:color w:val="auto"/>
                <w:highlight w:val="none"/>
                <w:lang w:val="en-US" w:eastAsia="zh-CN"/>
              </w:rPr>
              <w:t>变电站</w:t>
            </w:r>
            <w:r>
              <w:rPr>
                <w:rFonts w:hint="default" w:ascii="Times New Roman" w:hAnsi="Times New Roman" w:eastAsia="宋体" w:cs="Times New Roman"/>
                <w:b/>
                <w:color w:val="auto"/>
                <w:highlight w:val="none"/>
                <w:lang w:val="en-US" w:eastAsia="zh-CN"/>
              </w:rPr>
              <w:t>总平面布置</w:t>
            </w:r>
          </w:p>
          <w:p>
            <w:pPr>
              <w:keepNext w:val="0"/>
              <w:keepLines w:val="0"/>
              <w:pageBreakBefore w:val="0"/>
              <w:widowControl w:val="0"/>
              <w:kinsoku/>
              <w:wordWrap/>
              <w:overflowPunct/>
              <w:topLinePunct w:val="0"/>
              <w:bidi w:val="0"/>
              <w:adjustRightInd/>
              <w:snapToGrid/>
              <w:spacing w:line="336" w:lineRule="auto"/>
              <w:ind w:firstLine="480" w:firstLineChars="200"/>
              <w:jc w:val="both"/>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本站总平面布置采用平行布置的方案。</w:t>
            </w:r>
            <w:r>
              <w:rPr>
                <w:rFonts w:hint="default" w:ascii="Times New Roman" w:hAnsi="Times New Roman" w:cs="Times New Roman"/>
                <w:color w:val="auto"/>
                <w:highlight w:val="none"/>
                <w:lang w:val="en-US" w:eastAsia="zh-CN"/>
              </w:rPr>
              <w:t>变电站为矩形，长96m，宽54m，占地面积5184m</w:t>
            </w:r>
            <w:r>
              <w:rPr>
                <w:rFonts w:hint="default" w:ascii="Times New Roman" w:hAnsi="Times New Roman" w:cs="Times New Roman"/>
                <w:color w:val="auto"/>
                <w:highlight w:val="none"/>
                <w:vertAlign w:val="superscript"/>
                <w:lang w:val="en-US" w:eastAsia="zh-CN"/>
              </w:rPr>
              <w:t>2</w:t>
            </w:r>
            <w:r>
              <w:rPr>
                <w:rFonts w:hint="default" w:ascii="Times New Roman" w:hAnsi="Times New Roman" w:cs="Times New Roman"/>
                <w:color w:val="auto"/>
                <w:highlight w:val="none"/>
                <w:vertAlign w:val="baseline"/>
                <w:lang w:val="en-US" w:eastAsia="zh-CN"/>
              </w:rPr>
              <w:t>。</w:t>
            </w:r>
            <w:r>
              <w:rPr>
                <w:rFonts w:hint="default" w:ascii="Times New Roman" w:hAnsi="Times New Roman" w:cs="Times New Roman"/>
                <w:color w:val="auto"/>
                <w:highlight w:val="none"/>
                <w:lang w:val="en-US" w:eastAsia="zh-CN"/>
              </w:rPr>
              <w:t>110kV出线架构位于变电站东侧，</w:t>
            </w:r>
            <w:r>
              <w:rPr>
                <w:rFonts w:hint="default" w:ascii="Times New Roman" w:hAnsi="Times New Roman" w:eastAsia="宋体" w:cs="Times New Roman"/>
                <w:color w:val="auto"/>
                <w:highlight w:val="none"/>
                <w:lang w:val="en-US" w:eastAsia="zh-CN"/>
              </w:rPr>
              <w:t>主变压器、110kV配电装置布置在</w:t>
            </w:r>
            <w:r>
              <w:rPr>
                <w:rFonts w:hint="default" w:ascii="Times New Roman" w:hAnsi="Times New Roman" w:cs="Times New Roman"/>
                <w:color w:val="auto"/>
                <w:highlight w:val="none"/>
                <w:lang w:val="en-US" w:eastAsia="zh-CN"/>
              </w:rPr>
              <w:t>变电站</w:t>
            </w:r>
            <w:r>
              <w:rPr>
                <w:rFonts w:hint="default" w:ascii="Times New Roman" w:hAnsi="Times New Roman" w:eastAsia="宋体" w:cs="Times New Roman"/>
                <w:color w:val="auto"/>
                <w:highlight w:val="none"/>
                <w:lang w:val="en-US" w:eastAsia="zh-CN"/>
              </w:rPr>
              <w:t>中部，</w:t>
            </w:r>
            <w:r>
              <w:rPr>
                <w:rFonts w:hint="default" w:ascii="Times New Roman" w:hAnsi="Times New Roman" w:cs="Times New Roman"/>
                <w:color w:val="auto"/>
                <w:highlight w:val="none"/>
                <w:lang w:val="en-US" w:eastAsia="zh-CN"/>
              </w:rPr>
              <w:t>西侧为35kV配电装置。</w:t>
            </w:r>
            <w:r>
              <w:rPr>
                <w:rFonts w:hint="default" w:ascii="Times New Roman" w:hAnsi="Times New Roman" w:eastAsia="宋体" w:cs="Times New Roman"/>
                <w:color w:val="auto"/>
                <w:highlight w:val="none"/>
                <w:lang w:val="en-US" w:eastAsia="zh-CN"/>
              </w:rPr>
              <w:t>事故油池位于主变压器东</w:t>
            </w:r>
            <w:r>
              <w:rPr>
                <w:rFonts w:hint="default" w:ascii="Times New Roman" w:hAnsi="Times New Roman" w:cs="Times New Roman"/>
                <w:color w:val="auto"/>
                <w:highlight w:val="none"/>
                <w:lang w:val="en-US" w:eastAsia="zh-CN"/>
              </w:rPr>
              <w:t>北</w:t>
            </w:r>
            <w:r>
              <w:rPr>
                <w:rFonts w:hint="default" w:ascii="Times New Roman" w:hAnsi="Times New Roman" w:eastAsia="宋体" w:cs="Times New Roman"/>
                <w:color w:val="auto"/>
                <w:highlight w:val="none"/>
                <w:lang w:val="en-US" w:eastAsia="zh-CN"/>
              </w:rPr>
              <w:t>侧，辅助用房、危险废物贮存库在</w:t>
            </w:r>
            <w:r>
              <w:rPr>
                <w:rFonts w:hint="default" w:ascii="Times New Roman" w:hAnsi="Times New Roman" w:cs="Times New Roman"/>
                <w:color w:val="auto"/>
                <w:highlight w:val="none"/>
                <w:lang w:val="en-US" w:eastAsia="zh-CN"/>
              </w:rPr>
              <w:t>变电站</w:t>
            </w:r>
            <w:r>
              <w:rPr>
                <w:rFonts w:hint="default" w:ascii="Times New Roman" w:hAnsi="Times New Roman" w:eastAsia="宋体" w:cs="Times New Roman"/>
                <w:color w:val="auto"/>
                <w:highlight w:val="none"/>
                <w:lang w:val="en-US" w:eastAsia="zh-CN"/>
              </w:rPr>
              <w:t>东侧依次布置。变电站设置有4m宽的消防车道，9米的转弯半径及丁字回车道。</w:t>
            </w:r>
          </w:p>
          <w:p>
            <w:pPr>
              <w:keepNext w:val="0"/>
              <w:keepLines w:val="0"/>
              <w:pageBreakBefore w:val="0"/>
              <w:widowControl w:val="0"/>
              <w:kinsoku/>
              <w:wordWrap/>
              <w:overflowPunct/>
              <w:topLinePunct w:val="0"/>
              <w:bidi w:val="0"/>
              <w:adjustRightInd/>
              <w:snapToGrid/>
              <w:spacing w:line="336" w:lineRule="auto"/>
              <w:ind w:firstLine="480" w:firstLineChars="200"/>
              <w:jc w:val="both"/>
              <w:textAlignment w:val="auto"/>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危险废物贮存库内设置2个间隔，单个间隔面积约为8m</w:t>
            </w:r>
            <w:r>
              <w:rPr>
                <w:rFonts w:hint="default" w:ascii="Times New Roman" w:hAnsi="Times New Roman" w:eastAsia="宋体" w:cs="Times New Roman"/>
                <w:color w:val="auto"/>
                <w:highlight w:val="none"/>
                <w:vertAlign w:val="superscript"/>
                <w:lang w:val="en-US" w:eastAsia="zh-CN"/>
              </w:rPr>
              <w:t>2</w:t>
            </w:r>
            <w:r>
              <w:rPr>
                <w:rFonts w:hint="default" w:ascii="Times New Roman" w:hAnsi="Times New Roman" w:eastAsia="宋体" w:cs="Times New Roman"/>
                <w:color w:val="auto"/>
                <w:highlight w:val="none"/>
                <w:vertAlign w:val="baseline"/>
                <w:lang w:val="en-US" w:eastAsia="zh-CN"/>
              </w:rPr>
              <w:t>，高2m</w:t>
            </w:r>
            <w:r>
              <w:rPr>
                <w:rFonts w:hint="default" w:ascii="Times New Roman" w:hAnsi="Times New Roman" w:eastAsia="宋体" w:cs="Times New Roman"/>
                <w:color w:val="auto"/>
                <w:highlight w:val="none"/>
                <w:lang w:val="en-US" w:eastAsia="zh-CN"/>
              </w:rPr>
              <w:t>。2处暂存区域分为废铅蓄电池间隔以及废变压器油、含油抹布劳保用品间隔。废铅蓄电池贮存间隔采用耐腐蚀防渗设计，防止酸液腐蚀渗漏；配备防泄漏托盘，避免电解液外泄；分区存放、有序摆放，防止倾倒破裂，避免酸液泄漏；配备吸附棉、中和剂、应急收集桶，用于泄漏应急处置；做好通风，减少酸雾积聚，设置防腐、防腐蚀警示标识。废油贮存间隔采用防静电处理，设置防火分隔；采用防漏油托盘、挡油围堰，防止废油漫流、渗漏；配备吸油毡、围油栏、沙土及消防灭火器材；严禁烟火，加强通风。</w:t>
            </w:r>
            <w:r>
              <w:rPr>
                <w:rFonts w:hint="default" w:ascii="Times New Roman" w:hAnsi="Times New Roman" w:cs="Times New Roman"/>
                <w:color w:val="auto"/>
                <w:highlight w:val="none"/>
                <w:lang w:val="en-US" w:eastAsia="zh-CN"/>
              </w:rPr>
              <w:t>变电站</w:t>
            </w:r>
            <w:r>
              <w:rPr>
                <w:rFonts w:hint="default" w:ascii="Times New Roman" w:hAnsi="Times New Roman" w:eastAsia="宋体" w:cs="Times New Roman"/>
                <w:color w:val="auto"/>
                <w:highlight w:val="none"/>
                <w:lang w:val="en-US" w:eastAsia="zh-CN"/>
              </w:rPr>
              <w:t>总平面图见附图5。</w:t>
            </w:r>
          </w:p>
          <w:p>
            <w:pPr>
              <w:keepNext w:val="0"/>
              <w:keepLines w:val="0"/>
              <w:pageBreakBefore w:val="0"/>
              <w:widowControl w:val="0"/>
              <w:kinsoku/>
              <w:wordWrap/>
              <w:overflowPunct/>
              <w:topLinePunct w:val="0"/>
              <w:bidi w:val="0"/>
              <w:adjustRightInd/>
              <w:snapToGrid/>
              <w:spacing w:line="336" w:lineRule="auto"/>
              <w:jc w:val="both"/>
              <w:textAlignment w:val="auto"/>
              <w:rPr>
                <w:rFonts w:hint="default" w:ascii="Times New Roman" w:hAnsi="Times New Roman" w:eastAsia="宋体" w:cs="Times New Roman"/>
                <w:b/>
                <w:color w:val="auto"/>
                <w:highlight w:val="none"/>
              </w:rPr>
            </w:pPr>
            <w:r>
              <w:rPr>
                <w:rFonts w:hint="default" w:ascii="Times New Roman" w:hAnsi="Times New Roman" w:eastAsia="宋体" w:cs="Times New Roman"/>
                <w:b/>
                <w:color w:val="auto"/>
                <w:highlight w:val="none"/>
              </w:rPr>
              <w:t>2施工现场布置</w:t>
            </w:r>
          </w:p>
          <w:p>
            <w:pPr>
              <w:keepNext w:val="0"/>
              <w:keepLines w:val="0"/>
              <w:pageBreakBefore w:val="0"/>
              <w:widowControl w:val="0"/>
              <w:kinsoku/>
              <w:wordWrap/>
              <w:overflowPunct/>
              <w:topLinePunct w:val="0"/>
              <w:bidi w:val="0"/>
              <w:adjustRightInd/>
              <w:snapToGrid/>
              <w:spacing w:beforeLines="0" w:afterLines="0" w:line="336" w:lineRule="auto"/>
              <w:ind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根据本</w:t>
            </w:r>
            <w:r>
              <w:rPr>
                <w:rFonts w:hint="default" w:ascii="Times New Roman" w:hAnsi="Times New Roman" w:eastAsia="宋体" w:cs="Times New Roman"/>
                <w:color w:val="auto"/>
                <w:sz w:val="24"/>
                <w:szCs w:val="24"/>
                <w:highlight w:val="none"/>
                <w:lang w:val="en-US" w:eastAsia="zh-CN"/>
              </w:rPr>
              <w:t>项目</w:t>
            </w:r>
            <w:r>
              <w:rPr>
                <w:rFonts w:hint="default" w:ascii="Times New Roman" w:hAnsi="Times New Roman" w:eastAsia="宋体" w:cs="Times New Roman"/>
                <w:color w:val="auto"/>
                <w:sz w:val="24"/>
                <w:szCs w:val="24"/>
                <w:highlight w:val="none"/>
              </w:rPr>
              <w:t>的线路及</w:t>
            </w:r>
            <w:r>
              <w:rPr>
                <w:rFonts w:hint="default" w:ascii="Times New Roman" w:hAnsi="Times New Roman" w:cs="Times New Roman"/>
                <w:color w:val="auto"/>
                <w:sz w:val="24"/>
                <w:szCs w:val="24"/>
                <w:highlight w:val="none"/>
                <w:lang w:val="en-US" w:eastAsia="zh-CN"/>
              </w:rPr>
              <w:t>变电站</w:t>
            </w:r>
            <w:r>
              <w:rPr>
                <w:rFonts w:hint="default" w:ascii="Times New Roman" w:hAnsi="Times New Roman" w:eastAsia="宋体" w:cs="Times New Roman"/>
                <w:color w:val="auto"/>
                <w:sz w:val="24"/>
                <w:szCs w:val="24"/>
                <w:highlight w:val="none"/>
              </w:rPr>
              <w:t>的位置，项目设</w:t>
            </w:r>
            <w:r>
              <w:rPr>
                <w:rFonts w:hint="default"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rPr>
              <w:t>处施工营地</w:t>
            </w:r>
            <w:r>
              <w:rPr>
                <w:rFonts w:hint="default" w:ascii="Times New Roman" w:hAnsi="Times New Roman" w:eastAsia="宋体" w:cs="Times New Roman"/>
                <w:color w:val="auto"/>
                <w:sz w:val="24"/>
                <w:szCs w:val="24"/>
                <w:highlight w:val="none"/>
                <w:lang w:eastAsia="zh-CN"/>
              </w:rPr>
              <w:t>，施工营地</w:t>
            </w:r>
            <w:r>
              <w:rPr>
                <w:rFonts w:hint="default" w:ascii="Times New Roman" w:hAnsi="Times New Roman" w:eastAsia="宋体" w:cs="Times New Roman"/>
                <w:color w:val="auto"/>
                <w:sz w:val="24"/>
                <w:szCs w:val="24"/>
                <w:highlight w:val="none"/>
                <w:lang w:val="en-US" w:eastAsia="zh-CN"/>
              </w:rPr>
              <w:t>设置在110kV</w:t>
            </w:r>
            <w:r>
              <w:rPr>
                <w:rFonts w:hint="default" w:ascii="Times New Roman" w:hAnsi="Times New Roman" w:cs="Times New Roman"/>
                <w:color w:val="auto"/>
                <w:sz w:val="24"/>
                <w:szCs w:val="24"/>
                <w:highlight w:val="none"/>
                <w:lang w:val="en-US" w:eastAsia="zh-CN"/>
              </w:rPr>
              <w:t>变电站南</w:t>
            </w:r>
            <w:r>
              <w:rPr>
                <w:rFonts w:hint="default" w:ascii="Times New Roman" w:hAnsi="Times New Roman" w:eastAsia="宋体" w:cs="Times New Roman"/>
                <w:color w:val="auto"/>
                <w:sz w:val="24"/>
                <w:szCs w:val="24"/>
                <w:highlight w:val="none"/>
                <w:lang w:val="en-US" w:eastAsia="zh-CN"/>
              </w:rPr>
              <w:t>侧空地内。</w:t>
            </w:r>
            <w:r>
              <w:rPr>
                <w:rFonts w:hint="default" w:ascii="Times New Roman" w:hAnsi="Times New Roman" w:eastAsia="宋体" w:cs="Times New Roman"/>
                <w:color w:val="auto"/>
                <w:sz w:val="24"/>
                <w:szCs w:val="24"/>
                <w:highlight w:val="none"/>
              </w:rPr>
              <w:t>施工营地占地面积</w:t>
            </w:r>
            <w:r>
              <w:rPr>
                <w:rFonts w:hint="default" w:ascii="Times New Roman" w:hAnsi="Times New Roman" w:eastAsia="宋体" w:cs="Times New Roman"/>
                <w:color w:val="auto"/>
                <w:sz w:val="24"/>
                <w:szCs w:val="24"/>
                <w:highlight w:val="none"/>
                <w:lang w:val="en-US" w:eastAsia="zh-CN"/>
              </w:rPr>
              <w:t>4</w:t>
            </w:r>
            <w:r>
              <w:rPr>
                <w:rFonts w:hint="default" w:ascii="Times New Roman" w:hAnsi="Times New Roman" w:eastAsia="宋体" w:cs="Times New Roman"/>
                <w:color w:val="auto"/>
                <w:sz w:val="24"/>
                <w:szCs w:val="24"/>
                <w:highlight w:val="none"/>
              </w:rPr>
              <w:t>000m</w:t>
            </w:r>
            <w:r>
              <w:rPr>
                <w:rFonts w:hint="default" w:ascii="Times New Roman" w:hAnsi="Times New Roman" w:eastAsia="宋体" w:cs="Times New Roman"/>
                <w:color w:val="auto"/>
                <w:sz w:val="24"/>
                <w:szCs w:val="24"/>
                <w:highlight w:val="none"/>
                <w:vertAlign w:val="superscript"/>
              </w:rPr>
              <w:t>2</w:t>
            </w: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rPr>
              <w:t>按使用性质划分为材料堆放区、加工区、材料库、工具房、应急物资储存间、检修间、办公室、值班室等，营地内设置移动式卫生厕所</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施工用电、</w:t>
            </w:r>
            <w:r>
              <w:rPr>
                <w:rFonts w:hint="default" w:ascii="Times New Roman" w:hAnsi="Times New Roman" w:eastAsia="宋体" w:cs="Times New Roman"/>
                <w:color w:val="auto"/>
                <w:sz w:val="24"/>
                <w:szCs w:val="24"/>
                <w:highlight w:val="none"/>
                <w:lang w:eastAsia="zh-CN"/>
              </w:rPr>
              <w:t>用水</w:t>
            </w:r>
            <w:r>
              <w:rPr>
                <w:rFonts w:hint="default" w:ascii="Times New Roman" w:hAnsi="Times New Roman" w:eastAsia="宋体" w:cs="Times New Roman"/>
                <w:color w:val="auto"/>
                <w:sz w:val="24"/>
                <w:szCs w:val="24"/>
                <w:highlight w:val="none"/>
              </w:rPr>
              <w:t>依托现有设施。</w:t>
            </w:r>
          </w:p>
          <w:p>
            <w:pPr>
              <w:keepNext w:val="0"/>
              <w:keepLines w:val="0"/>
              <w:pageBreakBefore w:val="0"/>
              <w:widowControl w:val="0"/>
              <w:kinsoku/>
              <w:wordWrap/>
              <w:overflowPunct/>
              <w:topLinePunct w:val="0"/>
              <w:bidi w:val="0"/>
              <w:adjustRightInd/>
              <w:snapToGrid/>
              <w:spacing w:beforeLines="0" w:afterLines="0" w:line="336" w:lineRule="auto"/>
              <w:ind w:firstLine="480" w:firstLineChars="200"/>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根据项目实际情况</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本期</w:t>
            </w:r>
            <w:r>
              <w:rPr>
                <w:rFonts w:hint="default" w:ascii="Times New Roman" w:hAnsi="Times New Roman" w:cs="Times New Roman"/>
                <w:color w:val="auto"/>
                <w:sz w:val="24"/>
                <w:szCs w:val="24"/>
                <w:highlight w:val="none"/>
                <w:lang w:val="en-US" w:eastAsia="zh-CN"/>
              </w:rPr>
              <w:t>输电线路</w:t>
            </w:r>
            <w:r>
              <w:rPr>
                <w:rFonts w:hint="default" w:ascii="Times New Roman" w:hAnsi="Times New Roman" w:eastAsia="宋体" w:cs="Times New Roman"/>
                <w:color w:val="auto"/>
                <w:sz w:val="24"/>
                <w:szCs w:val="24"/>
                <w:highlight w:val="none"/>
              </w:rPr>
              <w:t>地形为平地，牵张场每4公里设置</w:t>
            </w:r>
            <w:r>
              <w:rPr>
                <w:rFonts w:hint="default" w:ascii="Times New Roman" w:hAnsi="Times New Roman" w:eastAsia="宋体" w:cs="Times New Roman"/>
                <w:color w:val="auto"/>
                <w:sz w:val="24"/>
                <w:szCs w:val="24"/>
                <w:highlight w:val="none"/>
                <w:lang w:val="en-US" w:eastAsia="zh-CN"/>
              </w:rPr>
              <w:t>1</w:t>
            </w:r>
            <w:r>
              <w:rPr>
                <w:rFonts w:hint="default" w:ascii="Times New Roman" w:hAnsi="Times New Roman" w:eastAsia="宋体" w:cs="Times New Roman"/>
                <w:color w:val="auto"/>
                <w:sz w:val="24"/>
                <w:szCs w:val="24"/>
                <w:highlight w:val="none"/>
              </w:rPr>
              <w:t>处</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共设置</w:t>
            </w:r>
            <w:r>
              <w:rPr>
                <w:rFonts w:hint="default" w:ascii="Times New Roman" w:hAnsi="Times New Roman" w:cs="Times New Roman"/>
                <w:color w:val="auto"/>
                <w:sz w:val="24"/>
                <w:szCs w:val="24"/>
                <w:highlight w:val="none"/>
                <w:lang w:val="en-US" w:eastAsia="zh-CN"/>
              </w:rPr>
              <w:t>8</w:t>
            </w:r>
            <w:r>
              <w:rPr>
                <w:rFonts w:hint="default" w:ascii="Times New Roman" w:hAnsi="Times New Roman" w:eastAsia="宋体" w:cs="Times New Roman"/>
                <w:color w:val="auto"/>
                <w:sz w:val="24"/>
                <w:szCs w:val="24"/>
                <w:highlight w:val="none"/>
                <w:lang w:val="en-US" w:eastAsia="zh-CN"/>
              </w:rPr>
              <w:t>处牵张场</w:t>
            </w:r>
            <w:r>
              <w:rPr>
                <w:rFonts w:hint="default"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每个占地</w:t>
            </w:r>
            <w:r>
              <w:rPr>
                <w:rFonts w:hint="default" w:ascii="Times New Roman" w:hAnsi="Times New Roman"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rPr>
              <w:t>00m</w:t>
            </w:r>
            <w:r>
              <w:rPr>
                <w:rFonts w:hint="default" w:ascii="Times New Roman" w:hAnsi="Times New Roman" w:eastAsia="宋体" w:cs="Times New Roman"/>
                <w:color w:val="auto"/>
                <w:sz w:val="24"/>
                <w:szCs w:val="24"/>
                <w:highlight w:val="none"/>
                <w:vertAlign w:val="superscript"/>
              </w:rPr>
              <w:t>2</w:t>
            </w:r>
            <w:r>
              <w:rPr>
                <w:rFonts w:hint="default" w:ascii="Times New Roman" w:hAnsi="Times New Roman" w:cs="Times New Roman"/>
                <w:color w:val="auto"/>
                <w:sz w:val="24"/>
                <w:szCs w:val="24"/>
                <w:highlight w:val="none"/>
                <w:vertAlign w:val="baseline"/>
                <w:lang w:eastAsia="zh-CN"/>
              </w:rPr>
              <w:t>，</w:t>
            </w:r>
            <w:r>
              <w:rPr>
                <w:rFonts w:hint="default" w:ascii="Times New Roman" w:hAnsi="Times New Roman" w:cs="Times New Roman"/>
                <w:color w:val="auto"/>
                <w:sz w:val="24"/>
                <w:szCs w:val="24"/>
                <w:highlight w:val="none"/>
                <w:lang w:val="en-US" w:eastAsia="zh-CN"/>
              </w:rPr>
              <w:t>设置2个跨越场，每个占地400m</w:t>
            </w:r>
            <w:r>
              <w:rPr>
                <w:rFonts w:hint="default" w:ascii="Times New Roman" w:hAnsi="Times New Roman" w:cs="Times New Roman"/>
                <w:color w:val="auto"/>
                <w:sz w:val="24"/>
                <w:szCs w:val="24"/>
                <w:highlight w:val="none"/>
                <w:vertAlign w:val="superscript"/>
                <w:lang w:val="en-US" w:eastAsia="zh-CN"/>
              </w:rPr>
              <w:t>2</w:t>
            </w:r>
            <w:r>
              <w:rPr>
                <w:rFonts w:hint="default" w:ascii="Times New Roman" w:hAnsi="Times New Roman" w:cs="Times New Roman"/>
                <w:color w:val="auto"/>
                <w:sz w:val="24"/>
                <w:szCs w:val="24"/>
                <w:highlight w:val="none"/>
                <w:vertAlign w:val="baseline"/>
                <w:lang w:val="en-US" w:eastAsia="zh-CN"/>
              </w:rPr>
              <w:t>牵张场、跨越场占地合计3200m</w:t>
            </w:r>
            <w:r>
              <w:rPr>
                <w:rFonts w:hint="default" w:ascii="Times New Roman" w:hAnsi="Times New Roman" w:cs="Times New Roman"/>
                <w:color w:val="auto"/>
                <w:sz w:val="24"/>
                <w:szCs w:val="24"/>
                <w:highlight w:val="none"/>
                <w:vertAlign w:val="superscript"/>
                <w:lang w:val="en-US" w:eastAsia="zh-CN"/>
              </w:rPr>
              <w:t>2</w:t>
            </w:r>
            <w:r>
              <w:rPr>
                <w:rFonts w:hint="default" w:ascii="Times New Roman" w:hAnsi="Times New Roman" w:cs="Times New Roman"/>
                <w:color w:val="auto"/>
                <w:sz w:val="24"/>
                <w:szCs w:val="24"/>
                <w:highlight w:val="none"/>
                <w:vertAlign w:val="baseline"/>
                <w:lang w:val="en-US" w:eastAsia="zh-CN"/>
              </w:rPr>
              <w:t>。</w:t>
            </w:r>
          </w:p>
          <w:p>
            <w:pPr>
              <w:keepNext w:val="0"/>
              <w:keepLines w:val="0"/>
              <w:pageBreakBefore w:val="0"/>
              <w:widowControl w:val="0"/>
              <w:kinsoku/>
              <w:wordWrap/>
              <w:overflowPunct/>
              <w:topLinePunct w:val="0"/>
              <w:bidi w:val="0"/>
              <w:adjustRightInd/>
              <w:snapToGrid/>
              <w:spacing w:beforeLines="0" w:afterLines="0" w:line="336" w:lineRule="auto"/>
              <w:ind w:firstLine="480" w:firstLineChars="20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现场踏勘核实，线路局部路段依托既有公路、简易道路开展施工；新增施工便道 8.92km，设计路面宽度 4m，为砂石结构。</w:t>
            </w:r>
          </w:p>
          <w:p>
            <w:pPr>
              <w:keepNext w:val="0"/>
              <w:keepLines w:val="0"/>
              <w:pageBreakBefore w:val="0"/>
              <w:widowControl w:val="0"/>
              <w:kinsoku/>
              <w:wordWrap/>
              <w:overflowPunct/>
              <w:topLinePunct w:val="0"/>
              <w:autoSpaceDE w:val="0"/>
              <w:autoSpaceDN w:val="0"/>
              <w:bidi w:val="0"/>
              <w:adjustRightInd/>
              <w:snapToGrid/>
              <w:spacing w:line="336" w:lineRule="auto"/>
              <w:ind w:firstLine="480" w:firstLineChars="200"/>
              <w:jc w:val="both"/>
              <w:textAlignment w:val="auto"/>
              <w:rPr>
                <w:rFonts w:hint="default" w:ascii="Times New Roman" w:hAnsi="Times New Roman" w:eastAsia="宋体" w:cs="Times New Roman"/>
                <w:color w:val="auto"/>
                <w:highlight w:val="none"/>
              </w:rPr>
            </w:pPr>
            <w:r>
              <w:rPr>
                <w:rFonts w:hint="default" w:ascii="Times New Roman" w:hAnsi="Times New Roman" w:eastAsia="宋体" w:cs="Times New Roman"/>
                <w:color w:val="auto"/>
                <w:sz w:val="24"/>
                <w:szCs w:val="24"/>
                <w:highlight w:val="none"/>
              </w:rPr>
              <w:t>塔基施工场地主要用于基础开挖临时堆土、施工临时堆料及立塔过程中的锚坑用地等。一般情况下，塔基施工场地在塔基两侧或一侧，输电线路塔基</w:t>
            </w:r>
            <w:r>
              <w:rPr>
                <w:rFonts w:hint="default" w:ascii="Times New Roman" w:hAnsi="Times New Roman" w:eastAsia="宋体" w:cs="Times New Roman"/>
                <w:snapToGrid w:val="0"/>
                <w:color w:val="auto"/>
                <w:kern w:val="0"/>
                <w:sz w:val="24"/>
                <w:szCs w:val="24"/>
                <w:highlight w:val="none"/>
              </w:rPr>
              <w:t>分直线塔、耐张塔、钢管杆，单基面积=</w:t>
            </w:r>
            <w:r>
              <w:rPr>
                <w:rFonts w:hint="eastAsia" w:ascii="Times New Roman" w:hAnsi="Times New Roman" w:cs="Times New Roman"/>
                <w:snapToGrid w:val="0"/>
                <w:color w:val="auto"/>
                <w:kern w:val="0"/>
                <w:sz w:val="24"/>
                <w:szCs w:val="24"/>
                <w:highlight w:val="none"/>
                <w:lang w:eastAsia="zh-CN"/>
              </w:rPr>
              <w:t>（</w:t>
            </w:r>
            <w:r>
              <w:rPr>
                <w:rFonts w:hint="default" w:ascii="Times New Roman" w:hAnsi="Times New Roman" w:eastAsia="宋体" w:cs="Times New Roman"/>
                <w:snapToGrid w:val="0"/>
                <w:color w:val="auto"/>
                <w:kern w:val="0"/>
                <w:sz w:val="24"/>
                <w:szCs w:val="24"/>
                <w:highlight w:val="none"/>
              </w:rPr>
              <w:t>根开+2m</w:t>
            </w:r>
            <w:r>
              <w:rPr>
                <w:rFonts w:hint="eastAsia" w:ascii="Times New Roman" w:hAnsi="Times New Roman" w:cs="Times New Roman"/>
                <w:snapToGrid w:val="0"/>
                <w:color w:val="auto"/>
                <w:kern w:val="0"/>
                <w:sz w:val="24"/>
                <w:szCs w:val="24"/>
                <w:highlight w:val="none"/>
                <w:lang w:eastAsia="zh-CN"/>
              </w:rPr>
              <w:t>）</w:t>
            </w:r>
            <w:r>
              <w:rPr>
                <w:rFonts w:hint="default" w:ascii="Times New Roman" w:hAnsi="Times New Roman" w:eastAsia="宋体" w:cs="Times New Roman"/>
                <w:snapToGrid w:val="0"/>
                <w:color w:val="auto"/>
                <w:kern w:val="0"/>
                <w:sz w:val="24"/>
                <w:szCs w:val="24"/>
                <w:highlight w:val="none"/>
              </w:rPr>
              <w:t>×</w:t>
            </w:r>
            <w:r>
              <w:rPr>
                <w:rFonts w:hint="eastAsia" w:ascii="Times New Roman" w:hAnsi="Times New Roman" w:cs="Times New Roman"/>
                <w:snapToGrid w:val="0"/>
                <w:color w:val="auto"/>
                <w:kern w:val="0"/>
                <w:sz w:val="24"/>
                <w:szCs w:val="24"/>
                <w:highlight w:val="none"/>
                <w:lang w:eastAsia="zh-CN"/>
              </w:rPr>
              <w:t>（</w:t>
            </w:r>
            <w:r>
              <w:rPr>
                <w:rFonts w:hint="default" w:ascii="Times New Roman" w:hAnsi="Times New Roman" w:eastAsia="宋体" w:cs="Times New Roman"/>
                <w:snapToGrid w:val="0"/>
                <w:color w:val="auto"/>
                <w:kern w:val="0"/>
                <w:sz w:val="24"/>
                <w:szCs w:val="24"/>
                <w:highlight w:val="none"/>
              </w:rPr>
              <w:t>根开+2m</w:t>
            </w:r>
            <w:r>
              <w:rPr>
                <w:rFonts w:hint="eastAsia" w:ascii="Times New Roman" w:hAnsi="Times New Roman" w:cs="Times New Roman"/>
                <w:snapToGrid w:val="0"/>
                <w:color w:val="auto"/>
                <w:kern w:val="0"/>
                <w:sz w:val="24"/>
                <w:szCs w:val="24"/>
                <w:highlight w:val="none"/>
                <w:lang w:eastAsia="zh-CN"/>
              </w:rPr>
              <w:t>）</w:t>
            </w:r>
            <w:r>
              <w:rPr>
                <w:rFonts w:hint="default" w:ascii="Times New Roman" w:hAnsi="Times New Roman" w:eastAsia="宋体" w:cs="Times New Roman"/>
                <w:snapToGrid w:val="0"/>
                <w:color w:val="auto"/>
                <w:kern w:val="0"/>
                <w:sz w:val="24"/>
                <w:szCs w:val="24"/>
                <w:highlight w:val="none"/>
              </w:rPr>
              <w:t>计算，本</w:t>
            </w:r>
            <w:r>
              <w:rPr>
                <w:rFonts w:hint="default" w:ascii="Times New Roman" w:hAnsi="Times New Roman" w:eastAsia="宋体" w:cs="Times New Roman"/>
                <w:snapToGrid w:val="0"/>
                <w:color w:val="auto"/>
                <w:kern w:val="0"/>
                <w:sz w:val="24"/>
                <w:szCs w:val="24"/>
                <w:highlight w:val="none"/>
                <w:lang w:val="en-US" w:eastAsia="zh-CN"/>
              </w:rPr>
              <w:t>项目为110kV输电线路，</w:t>
            </w:r>
            <w:r>
              <w:rPr>
                <w:rFonts w:hint="default" w:ascii="Times New Roman" w:hAnsi="Times New Roman" w:eastAsia="宋体" w:cs="Times New Roman"/>
                <w:snapToGrid w:val="0"/>
                <w:color w:val="auto"/>
                <w:kern w:val="0"/>
                <w:sz w:val="24"/>
                <w:szCs w:val="24"/>
                <w:highlight w:val="none"/>
              </w:rPr>
              <w:t>共计</w:t>
            </w:r>
            <w:r>
              <w:rPr>
                <w:rFonts w:hint="default" w:ascii="Times New Roman" w:hAnsi="Times New Roman" w:cs="Times New Roman"/>
                <w:snapToGrid w:val="0"/>
                <w:color w:val="auto"/>
                <w:kern w:val="0"/>
                <w:sz w:val="24"/>
                <w:szCs w:val="24"/>
                <w:highlight w:val="none"/>
                <w:lang w:val="en-US" w:eastAsia="zh-CN"/>
              </w:rPr>
              <w:t>107</w:t>
            </w:r>
            <w:r>
              <w:rPr>
                <w:rFonts w:hint="default" w:ascii="Times New Roman" w:hAnsi="Times New Roman" w:eastAsia="宋体" w:cs="Times New Roman"/>
                <w:snapToGrid w:val="0"/>
                <w:color w:val="auto"/>
                <w:kern w:val="0"/>
                <w:sz w:val="24"/>
                <w:szCs w:val="24"/>
                <w:highlight w:val="none"/>
              </w:rPr>
              <w:t>基</w:t>
            </w:r>
            <w:r>
              <w:rPr>
                <w:rFonts w:hint="default" w:ascii="Times New Roman" w:hAnsi="Times New Roman" w:eastAsia="宋体" w:cs="Times New Roman"/>
                <w:snapToGrid w:val="0"/>
                <w:color w:val="auto"/>
                <w:kern w:val="0"/>
                <w:sz w:val="24"/>
                <w:szCs w:val="24"/>
                <w:highlight w:val="none"/>
                <w:lang w:val="en-US" w:eastAsia="zh-CN"/>
              </w:rPr>
              <w:t>铁塔，</w:t>
            </w:r>
            <w:r>
              <w:rPr>
                <w:rFonts w:hint="default" w:ascii="Times New Roman" w:hAnsi="Times New Roman" w:cs="Times New Roman"/>
                <w:snapToGrid w:val="0"/>
                <w:color w:val="auto"/>
                <w:kern w:val="0"/>
                <w:sz w:val="24"/>
                <w:szCs w:val="24"/>
                <w:highlight w:val="none"/>
                <w:lang w:val="en-US" w:eastAsia="zh-CN"/>
              </w:rPr>
              <w:t>根据勘界资料，</w:t>
            </w:r>
            <w:r>
              <w:rPr>
                <w:rFonts w:hint="default" w:ascii="Times New Roman" w:hAnsi="Times New Roman" w:eastAsia="宋体" w:cs="Times New Roman"/>
                <w:snapToGrid w:val="0"/>
                <w:color w:val="auto"/>
                <w:kern w:val="0"/>
                <w:sz w:val="24"/>
                <w:szCs w:val="24"/>
                <w:highlight w:val="none"/>
                <w:lang w:val="en-US" w:eastAsia="zh-CN"/>
              </w:rPr>
              <w:t>平均塔基永久占地面积约</w:t>
            </w:r>
            <w:r>
              <w:rPr>
                <w:rFonts w:hint="default" w:ascii="Times New Roman" w:hAnsi="Times New Roman" w:cs="Times New Roman"/>
                <w:snapToGrid w:val="0"/>
                <w:color w:val="auto"/>
                <w:kern w:val="0"/>
                <w:sz w:val="24"/>
                <w:szCs w:val="24"/>
                <w:highlight w:val="none"/>
                <w:lang w:val="en-US" w:eastAsia="zh-CN"/>
              </w:rPr>
              <w:t>79.25</w:t>
            </w:r>
            <w:r>
              <w:rPr>
                <w:rFonts w:hint="default" w:ascii="Times New Roman" w:hAnsi="Times New Roman" w:eastAsia="宋体" w:cs="Times New Roman"/>
                <w:snapToGrid w:val="0"/>
                <w:color w:val="auto"/>
                <w:kern w:val="0"/>
                <w:sz w:val="24"/>
                <w:szCs w:val="24"/>
                <w:highlight w:val="none"/>
                <w:lang w:val="en-US" w:eastAsia="zh-CN"/>
              </w:rPr>
              <w:t>m</w:t>
            </w:r>
            <w:r>
              <w:rPr>
                <w:rFonts w:hint="default" w:ascii="Times New Roman" w:hAnsi="Times New Roman" w:eastAsia="宋体" w:cs="Times New Roman"/>
                <w:snapToGrid w:val="0"/>
                <w:color w:val="auto"/>
                <w:kern w:val="0"/>
                <w:sz w:val="24"/>
                <w:szCs w:val="24"/>
                <w:highlight w:val="none"/>
                <w:vertAlign w:val="superscript"/>
                <w:lang w:val="en-US" w:eastAsia="zh-CN"/>
              </w:rPr>
              <w:t>2</w:t>
            </w:r>
            <w:r>
              <w:rPr>
                <w:rFonts w:hint="default" w:ascii="Times New Roman" w:hAnsi="Times New Roman" w:eastAsia="宋体" w:cs="Times New Roman"/>
                <w:snapToGrid w:val="0"/>
                <w:color w:val="auto"/>
                <w:kern w:val="0"/>
                <w:sz w:val="24"/>
                <w:szCs w:val="24"/>
                <w:highlight w:val="none"/>
                <w:lang w:val="en-US" w:eastAsia="zh-CN"/>
              </w:rPr>
              <w:t>，</w:t>
            </w:r>
            <w:r>
              <w:rPr>
                <w:rFonts w:hint="default" w:ascii="Times New Roman" w:hAnsi="Times New Roman" w:eastAsia="宋体" w:cs="Times New Roman"/>
                <w:snapToGrid w:val="0"/>
                <w:color w:val="auto"/>
                <w:kern w:val="0"/>
                <w:sz w:val="24"/>
                <w:szCs w:val="24"/>
                <w:highlight w:val="none"/>
              </w:rPr>
              <w:t>平均单塔施工占地面积</w:t>
            </w:r>
            <w:r>
              <w:rPr>
                <w:rFonts w:hint="default" w:ascii="Times New Roman" w:hAnsi="Times New Roman" w:eastAsia="宋体" w:cs="Times New Roman"/>
                <w:snapToGrid w:val="0"/>
                <w:color w:val="auto"/>
                <w:kern w:val="0"/>
                <w:sz w:val="24"/>
                <w:szCs w:val="24"/>
                <w:highlight w:val="none"/>
                <w:lang w:val="en-US" w:eastAsia="zh-CN"/>
              </w:rPr>
              <w:t>约</w:t>
            </w:r>
            <w:r>
              <w:rPr>
                <w:rFonts w:hint="eastAsia" w:ascii="Times New Roman" w:hAnsi="Times New Roman" w:cs="Times New Roman"/>
                <w:snapToGrid w:val="0"/>
                <w:color w:val="auto"/>
                <w:kern w:val="0"/>
                <w:sz w:val="24"/>
                <w:szCs w:val="24"/>
                <w:highlight w:val="none"/>
                <w:lang w:val="en-US" w:eastAsia="zh-CN"/>
              </w:rPr>
              <w:t>300</w:t>
            </w:r>
            <w:r>
              <w:rPr>
                <w:rFonts w:hint="default" w:ascii="Times New Roman" w:hAnsi="Times New Roman" w:eastAsia="宋体" w:cs="Times New Roman"/>
                <w:snapToGrid w:val="0"/>
                <w:color w:val="auto"/>
                <w:kern w:val="0"/>
                <w:sz w:val="24"/>
                <w:szCs w:val="24"/>
                <w:highlight w:val="none"/>
              </w:rPr>
              <w:t>m</w:t>
            </w:r>
            <w:r>
              <w:rPr>
                <w:rFonts w:hint="default" w:ascii="Times New Roman" w:hAnsi="Times New Roman" w:eastAsia="宋体" w:cs="Times New Roman"/>
                <w:snapToGrid w:val="0"/>
                <w:color w:val="auto"/>
                <w:kern w:val="0"/>
                <w:sz w:val="24"/>
                <w:szCs w:val="24"/>
                <w:highlight w:val="none"/>
                <w:vertAlign w:val="superscript"/>
              </w:rPr>
              <w:t>2</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highlight w:val="none"/>
              </w:rPr>
              <w:t>本项目占地情况及占地面积汇总见表2-3</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val="en-US" w:eastAsia="zh-CN"/>
              </w:rPr>
              <w:t>施工总布置图见附图6。</w:t>
            </w:r>
          </w:p>
          <w:p>
            <w:pPr>
              <w:widowControl w:val="0"/>
              <w:spacing w:line="360" w:lineRule="auto"/>
              <w:jc w:val="both"/>
              <w:rPr>
                <w:rFonts w:hint="default" w:ascii="Times New Roman" w:hAnsi="Times New Roman" w:eastAsia="宋体" w:cs="Times New Roman"/>
                <w:b/>
                <w:bCs/>
                <w:color w:val="auto"/>
                <w:highlight w:val="none"/>
              </w:rPr>
            </w:pPr>
            <w:bookmarkStart w:id="23" w:name="_Hlk202742561"/>
            <w:r>
              <w:rPr>
                <w:rFonts w:hint="default" w:ascii="Times New Roman" w:hAnsi="Times New Roman" w:eastAsia="宋体" w:cs="Times New Roman"/>
                <w:b/>
                <w:bCs/>
                <w:color w:val="auto"/>
                <w:highlight w:val="none"/>
              </w:rPr>
              <w:t>3</w:t>
            </w:r>
            <w:r>
              <w:rPr>
                <w:rFonts w:hint="default" w:ascii="Times New Roman" w:hAnsi="Times New Roman" w:eastAsia="宋体" w:cs="Times New Roman"/>
                <w:b/>
                <w:bCs/>
                <w:color w:val="auto"/>
                <w:highlight w:val="none"/>
                <w:lang w:val="en-US" w:eastAsia="zh-CN"/>
              </w:rPr>
              <w:t>土石方平衡</w:t>
            </w:r>
          </w:p>
          <w:p>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both"/>
              <w:textAlignment w:val="auto"/>
              <w:rPr>
                <w:rFonts w:hint="default" w:ascii="Times New Roman" w:hAnsi="Times New Roman" w:eastAsia="宋体" w:cs="Times New Roman"/>
                <w:color w:val="auto"/>
                <w:highlight w:val="none"/>
              </w:rPr>
            </w:pPr>
            <w:r>
              <w:rPr>
                <w:rFonts w:hint="default" w:ascii="Times New Roman" w:hAnsi="Times New Roman" w:eastAsia="宋体" w:cs="Times New Roman"/>
                <w:b w:val="0"/>
                <w:bCs w:val="0"/>
                <w:color w:val="auto"/>
                <w:highlight w:val="none"/>
                <w:lang w:val="en-US" w:eastAsia="zh-CN"/>
              </w:rPr>
              <w:t>本项目总挖方24540m</w:t>
            </w:r>
            <w:r>
              <w:rPr>
                <w:rFonts w:hint="default" w:ascii="Times New Roman" w:hAnsi="Times New Roman" w:eastAsia="宋体" w:cs="Times New Roman"/>
                <w:b w:val="0"/>
                <w:bCs w:val="0"/>
                <w:color w:val="auto"/>
                <w:highlight w:val="none"/>
                <w:vertAlign w:val="superscript"/>
                <w:lang w:val="en-US" w:eastAsia="zh-CN"/>
              </w:rPr>
              <w:t>3</w:t>
            </w:r>
            <w:r>
              <w:rPr>
                <w:rFonts w:hint="default" w:ascii="Times New Roman" w:hAnsi="Times New Roman" w:eastAsia="宋体" w:cs="Times New Roman"/>
                <w:b w:val="0"/>
                <w:bCs w:val="0"/>
                <w:color w:val="auto"/>
                <w:highlight w:val="none"/>
                <w:lang w:val="en-US" w:eastAsia="zh-CN"/>
              </w:rPr>
              <w:t>，总回填方20065m</w:t>
            </w:r>
            <w:r>
              <w:rPr>
                <w:rFonts w:hint="default" w:ascii="Times New Roman" w:hAnsi="Times New Roman" w:eastAsia="宋体" w:cs="Times New Roman"/>
                <w:b w:val="0"/>
                <w:bCs w:val="0"/>
                <w:color w:val="auto"/>
                <w:highlight w:val="none"/>
                <w:vertAlign w:val="superscript"/>
                <w:lang w:val="en-US" w:eastAsia="zh-CN"/>
              </w:rPr>
              <w:t>3</w:t>
            </w:r>
            <w:r>
              <w:rPr>
                <w:rFonts w:hint="default" w:ascii="Times New Roman" w:hAnsi="Times New Roman" w:eastAsia="宋体" w:cs="Times New Roman"/>
                <w:b w:val="0"/>
                <w:bCs w:val="0"/>
                <w:color w:val="auto"/>
                <w:highlight w:val="none"/>
                <w:lang w:val="en-US" w:eastAsia="zh-CN"/>
              </w:rPr>
              <w:t>，塔基</w:t>
            </w:r>
            <w:r>
              <w:rPr>
                <w:rFonts w:hint="default" w:ascii="Times New Roman" w:hAnsi="Times New Roman" w:cs="Times New Roman"/>
                <w:b w:val="0"/>
                <w:bCs w:val="0"/>
                <w:color w:val="auto"/>
                <w:highlight w:val="none"/>
                <w:lang w:val="en-US" w:eastAsia="zh-CN"/>
              </w:rPr>
              <w:t>开挖弃方</w:t>
            </w:r>
            <w:r>
              <w:rPr>
                <w:rFonts w:hint="default" w:ascii="Times New Roman" w:hAnsi="Times New Roman" w:eastAsia="宋体" w:cs="Times New Roman"/>
                <w:b w:val="0"/>
                <w:bCs w:val="0"/>
                <w:color w:val="auto"/>
                <w:highlight w:val="none"/>
                <w:lang w:val="en-US" w:eastAsia="zh-CN"/>
              </w:rPr>
              <w:t>就近</w:t>
            </w:r>
            <w:r>
              <w:rPr>
                <w:rFonts w:hint="default" w:ascii="Times New Roman" w:hAnsi="Times New Roman" w:cs="Times New Roman"/>
                <w:b w:val="0"/>
                <w:bCs w:val="0"/>
                <w:color w:val="auto"/>
                <w:highlight w:val="none"/>
                <w:lang w:val="en-US" w:eastAsia="zh-CN"/>
              </w:rPr>
              <w:t>用于塔基区护坡及平整</w:t>
            </w:r>
            <w:r>
              <w:rPr>
                <w:rFonts w:hint="default" w:ascii="Times New Roman" w:hAnsi="Times New Roman" w:eastAsia="宋体" w:cs="Times New Roman"/>
                <w:b w:val="0"/>
                <w:bCs w:val="0"/>
                <w:color w:val="auto"/>
                <w:highlight w:val="none"/>
                <w:lang w:val="en-US" w:eastAsia="zh-CN"/>
              </w:rPr>
              <w:t>。</w:t>
            </w:r>
            <w:r>
              <w:rPr>
                <w:rFonts w:hint="default" w:ascii="Times New Roman" w:hAnsi="Times New Roman" w:cs="Times New Roman"/>
                <w:b w:val="0"/>
                <w:bCs w:val="0"/>
                <w:color w:val="auto"/>
                <w:highlight w:val="none"/>
                <w:lang w:val="en-US" w:eastAsia="zh-CN"/>
              </w:rPr>
              <w:t>变电站</w:t>
            </w:r>
            <w:r>
              <w:rPr>
                <w:rFonts w:hint="default" w:ascii="Times New Roman" w:hAnsi="Times New Roman" w:eastAsia="宋体" w:cs="Times New Roman"/>
                <w:b w:val="0"/>
                <w:bCs w:val="0"/>
                <w:color w:val="auto"/>
                <w:highlight w:val="none"/>
                <w:lang w:val="en-US" w:eastAsia="zh-CN"/>
              </w:rPr>
              <w:t>施工便道</w:t>
            </w:r>
            <w:r>
              <w:rPr>
                <w:rFonts w:hint="default" w:ascii="Times New Roman" w:hAnsi="Times New Roman" w:cs="Times New Roman"/>
                <w:b w:val="0"/>
                <w:bCs w:val="0"/>
                <w:color w:val="auto"/>
                <w:highlight w:val="none"/>
                <w:lang w:val="en-US" w:eastAsia="zh-CN"/>
              </w:rPr>
              <w:t>多余弃方</w:t>
            </w:r>
            <w:r>
              <w:rPr>
                <w:rFonts w:hint="default" w:ascii="Times New Roman" w:hAnsi="Times New Roman" w:eastAsia="宋体" w:cs="Times New Roman"/>
                <w:b w:val="0"/>
                <w:bCs w:val="0"/>
                <w:color w:val="auto"/>
                <w:highlight w:val="none"/>
                <w:lang w:val="en-US" w:eastAsia="zh-CN"/>
              </w:rPr>
              <w:t>回填坑洼处</w:t>
            </w:r>
            <w:r>
              <w:rPr>
                <w:rFonts w:hint="default" w:ascii="Times New Roman" w:hAnsi="Times New Roman" w:cs="Times New Roman"/>
                <w:b w:val="0"/>
                <w:bCs w:val="0"/>
                <w:color w:val="auto"/>
                <w:highlight w:val="none"/>
                <w:lang w:val="en-US" w:eastAsia="zh-CN"/>
              </w:rPr>
              <w:t>，</w:t>
            </w:r>
            <w:r>
              <w:rPr>
                <w:rFonts w:hint="default" w:ascii="Times New Roman" w:hAnsi="Times New Roman" w:eastAsia="宋体" w:cs="Times New Roman"/>
                <w:b w:val="0"/>
                <w:bCs w:val="0"/>
                <w:color w:val="auto"/>
                <w:highlight w:val="none"/>
                <w:lang w:val="en-US" w:eastAsia="zh-CN"/>
              </w:rPr>
              <w:t>弃土全部利用不外运。</w:t>
            </w:r>
            <w:r>
              <w:rPr>
                <w:rFonts w:hint="default" w:ascii="Times New Roman" w:hAnsi="Times New Roman" w:eastAsia="宋体" w:cs="Times New Roman"/>
                <w:color w:val="auto"/>
                <w:highlight w:val="none"/>
              </w:rPr>
              <w:t>土石方平衡见表2-4。</w:t>
            </w:r>
          </w:p>
          <w:p>
            <w:pPr>
              <w:widowControl w:val="0"/>
              <w:spacing w:line="360" w:lineRule="auto"/>
              <w:jc w:val="center"/>
              <w:rPr>
                <w:rFonts w:hint="default" w:ascii="Times New Roman" w:hAnsi="Times New Roman" w:eastAsia="宋体" w:cs="Times New Roman"/>
                <w:b/>
                <w:bCs/>
                <w:color w:val="auto"/>
                <w:kern w:val="2"/>
                <w:sz w:val="24"/>
                <w:szCs w:val="24"/>
                <w:highlight w:val="none"/>
              </w:rPr>
            </w:pPr>
            <w:r>
              <w:rPr>
                <w:rFonts w:hint="default" w:ascii="Times New Roman" w:hAnsi="Times New Roman" w:eastAsia="宋体" w:cs="Times New Roman"/>
                <w:b/>
                <w:bCs/>
                <w:color w:val="auto"/>
                <w:highlight w:val="none"/>
              </w:rPr>
              <w:t>表2-4 土石方工程量表</w:t>
            </w:r>
            <w:bookmarkEnd w:id="23"/>
            <w:r>
              <w:rPr>
                <w:rFonts w:hint="default" w:ascii="Times New Roman" w:hAnsi="Times New Roman" w:eastAsia="宋体" w:cs="Times New Roman"/>
                <w:b/>
                <w:bCs w:val="0"/>
                <w:color w:val="auto"/>
                <w:kern w:val="2"/>
                <w:sz w:val="24"/>
                <w:szCs w:val="24"/>
                <w:highlight w:val="none"/>
                <w:lang w:val="en-US" w:eastAsia="zh-CN" w:bidi="ar"/>
              </w:rPr>
              <w:t xml:space="preserve">  单位m</w:t>
            </w:r>
            <w:r>
              <w:rPr>
                <w:rFonts w:hint="default" w:ascii="Times New Roman" w:hAnsi="Times New Roman" w:eastAsia="宋体" w:cs="Times New Roman"/>
                <w:b/>
                <w:bCs w:val="0"/>
                <w:color w:val="auto"/>
                <w:kern w:val="2"/>
                <w:sz w:val="24"/>
                <w:szCs w:val="24"/>
                <w:highlight w:val="none"/>
                <w:vertAlign w:val="superscript"/>
                <w:lang w:val="en-US" w:eastAsia="zh-CN" w:bidi="ar"/>
              </w:rPr>
              <w:t>3</w:t>
            </w:r>
          </w:p>
          <w:tbl>
            <w:tblPr>
              <w:tblStyle w:val="28"/>
              <w:tblW w:w="780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484"/>
              <w:gridCol w:w="1010"/>
              <w:gridCol w:w="1400"/>
              <w:gridCol w:w="1010"/>
              <w:gridCol w:w="1513"/>
              <w:gridCol w:w="138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8" w:hRule="atLeast"/>
              </w:trPr>
              <w:tc>
                <w:tcPr>
                  <w:tcW w:w="1484" w:type="dxa"/>
                  <w:tcBorders>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项目</w:t>
                  </w:r>
                </w:p>
              </w:tc>
              <w:tc>
                <w:tcPr>
                  <w:tcW w:w="1010" w:type="dxa"/>
                  <w:tcBorders>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挖方</w:t>
                  </w:r>
                </w:p>
              </w:tc>
              <w:tc>
                <w:tcPr>
                  <w:tcW w:w="1400" w:type="dxa"/>
                  <w:tcBorders>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填方</w:t>
                  </w:r>
                </w:p>
              </w:tc>
              <w:tc>
                <w:tcPr>
                  <w:tcW w:w="1010" w:type="dxa"/>
                  <w:tcBorders>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借方</w:t>
                  </w:r>
                </w:p>
              </w:tc>
              <w:tc>
                <w:tcPr>
                  <w:tcW w:w="2900" w:type="dxa"/>
                  <w:gridSpan w:val="2"/>
                  <w:tcBorders>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弃方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4" w:hRule="atLeast"/>
              </w:trPr>
              <w:tc>
                <w:tcPr>
                  <w:tcW w:w="1484" w:type="dxa"/>
                  <w:tcBorders>
                    <w:top w:val="single" w:color="auto" w:sz="4" w:space="0"/>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塔基</w:t>
                  </w:r>
                </w:p>
              </w:tc>
              <w:tc>
                <w:tcPr>
                  <w:tcW w:w="1010" w:type="dxa"/>
                  <w:tcBorders>
                    <w:top w:val="single" w:color="auto" w:sz="4" w:space="0"/>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8740</w:t>
                  </w:r>
                </w:p>
              </w:tc>
              <w:tc>
                <w:tcPr>
                  <w:tcW w:w="1400" w:type="dxa"/>
                  <w:tcBorders>
                    <w:top w:val="single" w:color="auto" w:sz="4" w:space="0"/>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6520</w:t>
                  </w:r>
                </w:p>
              </w:tc>
              <w:tc>
                <w:tcPr>
                  <w:tcW w:w="1010" w:type="dxa"/>
                  <w:tcBorders>
                    <w:top w:val="single" w:color="auto" w:sz="4" w:space="0"/>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0</w:t>
                  </w:r>
                </w:p>
              </w:tc>
              <w:tc>
                <w:tcPr>
                  <w:tcW w:w="1513" w:type="dxa"/>
                  <w:tcBorders>
                    <w:top w:val="single" w:color="auto" w:sz="4" w:space="0"/>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2"/>
                      <w:szCs w:val="22"/>
                      <w:highlight w:val="none"/>
                      <w:u w:val="none"/>
                      <w:lang w:val="en-US" w:eastAsia="zh-CN" w:bidi="ar-SA"/>
                    </w:rPr>
                  </w:pPr>
                  <w:r>
                    <w:rPr>
                      <w:rFonts w:hint="default" w:ascii="Times New Roman" w:hAnsi="Times New Roman" w:eastAsia="宋体" w:cs="Times New Roman"/>
                      <w:i w:val="0"/>
                      <w:iCs w:val="0"/>
                      <w:color w:val="auto"/>
                      <w:kern w:val="0"/>
                      <w:sz w:val="22"/>
                      <w:szCs w:val="22"/>
                      <w:highlight w:val="none"/>
                      <w:u w:val="none"/>
                      <w:lang w:val="en-US" w:eastAsia="zh-CN" w:bidi="ar"/>
                    </w:rPr>
                    <w:t>2220</w:t>
                  </w:r>
                </w:p>
              </w:tc>
              <w:tc>
                <w:tcPr>
                  <w:tcW w:w="1387" w:type="dxa"/>
                  <w:vMerge w:val="restart"/>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弃方回填坑洼处，弃土全部利用不外运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9" w:hRule="atLeast"/>
              </w:trPr>
              <w:tc>
                <w:tcPr>
                  <w:tcW w:w="1484" w:type="dxa"/>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cs="Times New Roman"/>
                      <w:color w:val="auto"/>
                      <w:kern w:val="0"/>
                      <w:sz w:val="21"/>
                      <w:szCs w:val="21"/>
                      <w:highlight w:val="none"/>
                      <w:lang w:val="en-US" w:eastAsia="zh-CN"/>
                    </w:rPr>
                    <w:t>变电站</w:t>
                  </w:r>
                </w:p>
              </w:tc>
              <w:tc>
                <w:tcPr>
                  <w:tcW w:w="1010" w:type="dxa"/>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3200</w:t>
                  </w:r>
                </w:p>
              </w:tc>
              <w:tc>
                <w:tcPr>
                  <w:tcW w:w="1400" w:type="dxa"/>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2745</w:t>
                  </w:r>
                </w:p>
              </w:tc>
              <w:tc>
                <w:tcPr>
                  <w:tcW w:w="1010" w:type="dxa"/>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0</w:t>
                  </w:r>
                </w:p>
              </w:tc>
              <w:tc>
                <w:tcPr>
                  <w:tcW w:w="1513" w:type="dxa"/>
                  <w:tcBorders>
                    <w:top w:val="single" w:color="auto" w:sz="4" w:space="0"/>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2"/>
                      <w:szCs w:val="22"/>
                      <w:highlight w:val="none"/>
                      <w:u w:val="none"/>
                      <w:lang w:val="en-US" w:eastAsia="zh-CN" w:bidi="ar-SA"/>
                    </w:rPr>
                  </w:pPr>
                  <w:r>
                    <w:rPr>
                      <w:rFonts w:hint="default" w:ascii="Times New Roman" w:hAnsi="Times New Roman" w:eastAsia="宋体" w:cs="Times New Roman"/>
                      <w:i w:val="0"/>
                      <w:iCs w:val="0"/>
                      <w:color w:val="auto"/>
                      <w:kern w:val="0"/>
                      <w:sz w:val="22"/>
                      <w:szCs w:val="22"/>
                      <w:highlight w:val="none"/>
                      <w:u w:val="none"/>
                      <w:lang w:val="en-US" w:eastAsia="zh-CN" w:bidi="ar"/>
                    </w:rPr>
                    <w:t>455</w:t>
                  </w:r>
                </w:p>
              </w:tc>
              <w:tc>
                <w:tcPr>
                  <w:tcW w:w="1387" w:type="dxa"/>
                  <w:vMerge w:val="continue"/>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29" w:hRule="atLeast"/>
              </w:trPr>
              <w:tc>
                <w:tcPr>
                  <w:tcW w:w="1484" w:type="dxa"/>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施工便道</w:t>
                  </w:r>
                </w:p>
              </w:tc>
              <w:tc>
                <w:tcPr>
                  <w:tcW w:w="1010" w:type="dxa"/>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12600</w:t>
                  </w:r>
                </w:p>
              </w:tc>
              <w:tc>
                <w:tcPr>
                  <w:tcW w:w="1400" w:type="dxa"/>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10800</w:t>
                  </w:r>
                </w:p>
              </w:tc>
              <w:tc>
                <w:tcPr>
                  <w:tcW w:w="1010" w:type="dxa"/>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1"/>
                      <w:szCs w:val="21"/>
                      <w:highlight w:val="none"/>
                      <w:u w:val="none"/>
                      <w:lang w:val="en-US" w:eastAsia="zh-CN" w:bidi="ar-SA"/>
                    </w:rPr>
                  </w:pPr>
                  <w:r>
                    <w:rPr>
                      <w:rFonts w:hint="default" w:ascii="Times New Roman" w:hAnsi="Times New Roman" w:eastAsia="宋体" w:cs="Times New Roman"/>
                      <w:i w:val="0"/>
                      <w:iCs w:val="0"/>
                      <w:color w:val="auto"/>
                      <w:kern w:val="0"/>
                      <w:sz w:val="21"/>
                      <w:szCs w:val="21"/>
                      <w:highlight w:val="none"/>
                      <w:u w:val="none"/>
                      <w:lang w:val="en-US" w:eastAsia="zh-CN" w:bidi="ar"/>
                    </w:rPr>
                    <w:t>0</w:t>
                  </w:r>
                </w:p>
              </w:tc>
              <w:tc>
                <w:tcPr>
                  <w:tcW w:w="1513" w:type="dxa"/>
                  <w:tcBorders>
                    <w:top w:val="single" w:color="auto" w:sz="4" w:space="0"/>
                    <w:bottom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2"/>
                      <w:szCs w:val="22"/>
                      <w:highlight w:val="none"/>
                      <w:u w:val="none"/>
                      <w:lang w:val="en-US" w:eastAsia="zh-CN" w:bidi="ar-SA"/>
                    </w:rPr>
                  </w:pPr>
                  <w:r>
                    <w:rPr>
                      <w:rFonts w:hint="default" w:ascii="Times New Roman" w:hAnsi="Times New Roman" w:eastAsia="宋体" w:cs="Times New Roman"/>
                      <w:i w:val="0"/>
                      <w:iCs w:val="0"/>
                      <w:color w:val="auto"/>
                      <w:kern w:val="0"/>
                      <w:sz w:val="22"/>
                      <w:szCs w:val="22"/>
                      <w:highlight w:val="none"/>
                      <w:u w:val="none"/>
                      <w:lang w:val="en-US" w:eastAsia="zh-CN" w:bidi="ar"/>
                    </w:rPr>
                    <w:t>1800</w:t>
                  </w:r>
                </w:p>
              </w:tc>
              <w:tc>
                <w:tcPr>
                  <w:tcW w:w="1387" w:type="dxa"/>
                  <w:vMerge w:val="continue"/>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1" w:hRule="atLeast"/>
              </w:trPr>
              <w:tc>
                <w:tcPr>
                  <w:tcW w:w="1484" w:type="dxa"/>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r>
                    <w:rPr>
                      <w:rFonts w:hint="default" w:ascii="Times New Roman" w:hAnsi="Times New Roman" w:eastAsia="宋体" w:cs="Times New Roman"/>
                      <w:color w:val="auto"/>
                      <w:kern w:val="0"/>
                      <w:sz w:val="21"/>
                      <w:szCs w:val="21"/>
                      <w:highlight w:val="none"/>
                      <w:lang w:val="en-US" w:eastAsia="zh-CN"/>
                    </w:rPr>
                    <w:t>合计</w:t>
                  </w:r>
                </w:p>
              </w:tc>
              <w:tc>
                <w:tcPr>
                  <w:tcW w:w="1010" w:type="dxa"/>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2"/>
                      <w:szCs w:val="22"/>
                      <w:highlight w:val="none"/>
                      <w:u w:val="none"/>
                      <w:lang w:val="en-US" w:eastAsia="zh-CN" w:bidi="ar-SA"/>
                    </w:rPr>
                  </w:pPr>
                  <w:r>
                    <w:rPr>
                      <w:rFonts w:hint="default" w:ascii="Times New Roman" w:hAnsi="Times New Roman" w:eastAsia="宋体" w:cs="Times New Roman"/>
                      <w:i w:val="0"/>
                      <w:iCs w:val="0"/>
                      <w:color w:val="auto"/>
                      <w:kern w:val="0"/>
                      <w:sz w:val="22"/>
                      <w:szCs w:val="22"/>
                      <w:highlight w:val="none"/>
                      <w:u w:val="none"/>
                      <w:lang w:val="en-US" w:eastAsia="zh-CN" w:bidi="ar"/>
                    </w:rPr>
                    <w:t>24540</w:t>
                  </w:r>
                </w:p>
              </w:tc>
              <w:tc>
                <w:tcPr>
                  <w:tcW w:w="1400" w:type="dxa"/>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2"/>
                      <w:szCs w:val="22"/>
                      <w:highlight w:val="none"/>
                      <w:u w:val="none"/>
                      <w:lang w:val="en-US" w:eastAsia="zh-CN" w:bidi="ar-SA"/>
                    </w:rPr>
                  </w:pPr>
                  <w:r>
                    <w:rPr>
                      <w:rFonts w:hint="default" w:ascii="Times New Roman" w:hAnsi="Times New Roman" w:eastAsia="宋体" w:cs="Times New Roman"/>
                      <w:i w:val="0"/>
                      <w:iCs w:val="0"/>
                      <w:color w:val="auto"/>
                      <w:kern w:val="0"/>
                      <w:sz w:val="22"/>
                      <w:szCs w:val="22"/>
                      <w:highlight w:val="none"/>
                      <w:u w:val="none"/>
                      <w:lang w:val="en-US" w:eastAsia="zh-CN" w:bidi="ar"/>
                    </w:rPr>
                    <w:t>20065</w:t>
                  </w:r>
                </w:p>
              </w:tc>
              <w:tc>
                <w:tcPr>
                  <w:tcW w:w="1010" w:type="dxa"/>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2"/>
                      <w:szCs w:val="22"/>
                      <w:highlight w:val="none"/>
                      <w:u w:val="none"/>
                      <w:lang w:val="en-US" w:eastAsia="zh-CN" w:bidi="ar-SA"/>
                    </w:rPr>
                  </w:pPr>
                  <w:r>
                    <w:rPr>
                      <w:rFonts w:hint="default" w:ascii="Times New Roman" w:hAnsi="Times New Roman" w:eastAsia="宋体" w:cs="Times New Roman"/>
                      <w:i w:val="0"/>
                      <w:iCs w:val="0"/>
                      <w:color w:val="auto"/>
                      <w:kern w:val="0"/>
                      <w:sz w:val="22"/>
                      <w:szCs w:val="22"/>
                      <w:highlight w:val="none"/>
                      <w:u w:val="none"/>
                      <w:lang w:val="en-US" w:eastAsia="zh-CN" w:bidi="ar"/>
                    </w:rPr>
                    <w:t>0</w:t>
                  </w:r>
                </w:p>
              </w:tc>
              <w:tc>
                <w:tcPr>
                  <w:tcW w:w="1513" w:type="dxa"/>
                  <w:tcBorders>
                    <w:top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22"/>
                      <w:szCs w:val="22"/>
                      <w:highlight w:val="none"/>
                      <w:u w:val="none"/>
                      <w:lang w:val="en-US" w:eastAsia="zh-CN" w:bidi="ar-SA"/>
                    </w:rPr>
                  </w:pPr>
                  <w:r>
                    <w:rPr>
                      <w:rFonts w:hint="default" w:ascii="Times New Roman" w:hAnsi="Times New Roman" w:eastAsia="宋体" w:cs="Times New Roman"/>
                      <w:i w:val="0"/>
                      <w:iCs w:val="0"/>
                      <w:color w:val="auto"/>
                      <w:kern w:val="0"/>
                      <w:sz w:val="22"/>
                      <w:szCs w:val="22"/>
                      <w:highlight w:val="none"/>
                      <w:u w:val="none"/>
                      <w:lang w:val="en-US" w:eastAsia="zh-CN" w:bidi="ar"/>
                    </w:rPr>
                    <w:t>4475</w:t>
                  </w:r>
                </w:p>
              </w:tc>
              <w:tc>
                <w:tcPr>
                  <w:tcW w:w="1387" w:type="dxa"/>
                  <w:vMerge w:val="continue"/>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rPr>
                  </w:pPr>
                </w:p>
              </w:tc>
            </w:tr>
          </w:tbl>
          <w:p>
            <w:pPr>
              <w:widowControl w:val="0"/>
              <w:spacing w:line="360" w:lineRule="auto"/>
              <w:jc w:val="both"/>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4劳动定员</w:t>
            </w:r>
          </w:p>
          <w:p>
            <w:pPr>
              <w:widowControl w:val="0"/>
              <w:spacing w:line="360" w:lineRule="auto"/>
              <w:ind w:firstLine="480" w:firstLineChars="200"/>
              <w:jc w:val="both"/>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施工期：本项目施工人数为50人，施工期</w:t>
            </w:r>
            <w:r>
              <w:rPr>
                <w:rFonts w:hint="default" w:ascii="Times New Roman" w:hAnsi="Times New Roman" w:eastAsia="宋体" w:cs="Times New Roman"/>
                <w:color w:val="auto"/>
                <w:highlight w:val="none"/>
                <w:lang w:eastAsia="zh-CN"/>
              </w:rPr>
              <w:t>12个月</w:t>
            </w:r>
            <w:r>
              <w:rPr>
                <w:rFonts w:hint="default" w:ascii="Times New Roman" w:hAnsi="Times New Roman" w:eastAsia="宋体" w:cs="Times New Roman"/>
                <w:color w:val="auto"/>
                <w:highlight w:val="none"/>
              </w:rPr>
              <w:t>。</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3243" w:hRule="atLeast"/>
        </w:trPr>
        <w:tc>
          <w:tcPr>
            <w:tcW w:w="675" w:type="dxa"/>
            <w:vAlign w:val="center"/>
          </w:tcPr>
          <w:p>
            <w:pPr>
              <w:widowControl w:val="0"/>
              <w:adjustRightInd w:val="0"/>
              <w:snapToGrid w:val="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施工方案</w:t>
            </w:r>
          </w:p>
        </w:tc>
        <w:tc>
          <w:tcPr>
            <w:tcW w:w="8094" w:type="dxa"/>
            <w:vAlign w:val="center"/>
          </w:tcPr>
          <w:p>
            <w:pPr>
              <w:keepNext w:val="0"/>
              <w:keepLines w:val="0"/>
              <w:pageBreakBefore w:val="0"/>
              <w:widowControl w:val="0"/>
              <w:kinsoku/>
              <w:wordWrap/>
              <w:overflowPunct/>
              <w:topLinePunct w:val="0"/>
              <w:autoSpaceDE/>
              <w:autoSpaceDN/>
              <w:bidi w:val="0"/>
              <w:spacing w:line="336" w:lineRule="auto"/>
              <w:jc w:val="both"/>
              <w:textAlignment w:val="auto"/>
              <w:rPr>
                <w:rFonts w:hint="default" w:ascii="Times New Roman" w:hAnsi="Times New Roman" w:eastAsia="宋体" w:cs="Times New Roman"/>
                <w:color w:val="auto"/>
                <w:highlight w:val="none"/>
              </w:rPr>
            </w:pPr>
            <w:r>
              <w:rPr>
                <w:rFonts w:hint="default" w:ascii="Times New Roman" w:hAnsi="Times New Roman" w:eastAsia="宋体" w:cs="Times New Roman"/>
                <w:b/>
                <w:color w:val="auto"/>
                <w:highlight w:val="none"/>
              </w:rPr>
              <w:t>1 施工工艺及时序</w:t>
            </w:r>
          </w:p>
          <w:p>
            <w:pPr>
              <w:keepNext w:val="0"/>
              <w:keepLines w:val="0"/>
              <w:pageBreakBefore w:val="0"/>
              <w:widowControl w:val="0"/>
              <w:kinsoku/>
              <w:wordWrap/>
              <w:overflowPunct/>
              <w:topLinePunct w:val="0"/>
              <w:autoSpaceDE/>
              <w:autoSpaceDN/>
              <w:bidi w:val="0"/>
              <w:adjustRightInd w:val="0"/>
              <w:snapToGrid w:val="0"/>
              <w:spacing w:beforeLines="0" w:afterLines="0" w:line="336" w:lineRule="auto"/>
              <w:jc w:val="both"/>
              <w:textAlignment w:val="auto"/>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 xml:space="preserve">1.1 </w:t>
            </w:r>
            <w:r>
              <w:rPr>
                <w:rFonts w:hint="default" w:ascii="Times New Roman" w:hAnsi="Times New Roman" w:cs="Times New Roman"/>
                <w:b/>
                <w:color w:val="auto"/>
                <w:sz w:val="24"/>
                <w:szCs w:val="24"/>
                <w:highlight w:val="none"/>
                <w:lang w:eastAsia="zh-CN"/>
              </w:rPr>
              <w:t>变电站</w:t>
            </w:r>
            <w:r>
              <w:rPr>
                <w:rFonts w:hint="default" w:ascii="Times New Roman" w:hAnsi="Times New Roman" w:eastAsia="宋体" w:cs="Times New Roman"/>
                <w:b/>
                <w:color w:val="auto"/>
                <w:sz w:val="24"/>
                <w:szCs w:val="24"/>
                <w:highlight w:val="none"/>
              </w:rPr>
              <w:t>施工工艺流程和方法</w:t>
            </w:r>
          </w:p>
          <w:p>
            <w:pPr>
              <w:pStyle w:val="44"/>
              <w:keepNext w:val="0"/>
              <w:keepLines w:val="0"/>
              <w:pageBreakBefore w:val="0"/>
              <w:widowControl w:val="0"/>
              <w:kinsoku/>
              <w:wordWrap/>
              <w:overflowPunct/>
              <w:topLinePunct w:val="0"/>
              <w:autoSpaceDE/>
              <w:autoSpaceDN/>
              <w:bidi w:val="0"/>
              <w:spacing w:beforeLines="0" w:afterLines="0" w:line="336" w:lineRule="auto"/>
              <w:ind w:firstLine="0" w:firstLineChars="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（1）场地平整：对施工场地进行平整、清理；</w:t>
            </w:r>
          </w:p>
          <w:p>
            <w:pPr>
              <w:pStyle w:val="44"/>
              <w:keepNext w:val="0"/>
              <w:keepLines w:val="0"/>
              <w:pageBreakBefore w:val="0"/>
              <w:widowControl w:val="0"/>
              <w:kinsoku/>
              <w:wordWrap/>
              <w:overflowPunct/>
              <w:topLinePunct w:val="0"/>
              <w:autoSpaceDE/>
              <w:autoSpaceDN/>
              <w:bidi w:val="0"/>
              <w:spacing w:beforeLines="0" w:afterLines="0" w:line="336" w:lineRule="auto"/>
              <w:ind w:firstLine="0" w:firstLineChars="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（2）基础开挖：主要包括土方开挖、浇筑地基、地基回填等；</w:t>
            </w:r>
          </w:p>
          <w:p>
            <w:pPr>
              <w:pStyle w:val="44"/>
              <w:keepNext w:val="0"/>
              <w:keepLines w:val="0"/>
              <w:pageBreakBefore w:val="0"/>
              <w:widowControl w:val="0"/>
              <w:kinsoku/>
              <w:wordWrap/>
              <w:overflowPunct/>
              <w:topLinePunct w:val="0"/>
              <w:autoSpaceDE/>
              <w:autoSpaceDN/>
              <w:bidi w:val="0"/>
              <w:spacing w:beforeLines="0" w:afterLines="0" w:line="336" w:lineRule="auto"/>
              <w:ind w:firstLine="0" w:firstLineChars="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（3）土建工程建设：为配电室及附属用房的建设等，主要包括钢筋砼浇筑、墙体砌筑、屋面制作、门窗制作等工程；</w:t>
            </w:r>
          </w:p>
          <w:p>
            <w:pPr>
              <w:pStyle w:val="44"/>
              <w:keepNext w:val="0"/>
              <w:keepLines w:val="0"/>
              <w:pageBreakBefore w:val="0"/>
              <w:widowControl w:val="0"/>
              <w:kinsoku/>
              <w:wordWrap/>
              <w:overflowPunct/>
              <w:topLinePunct w:val="0"/>
              <w:autoSpaceDE/>
              <w:autoSpaceDN/>
              <w:bidi w:val="0"/>
              <w:spacing w:beforeLines="0" w:afterLines="0" w:line="336" w:lineRule="auto"/>
              <w:ind w:firstLine="0" w:firstLineChars="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（4）设备安装及调试：主要包括各设施、设备、管线的安装、调试等； </w:t>
            </w:r>
          </w:p>
          <w:p>
            <w:pPr>
              <w:pStyle w:val="44"/>
              <w:keepNext w:val="0"/>
              <w:keepLines w:val="0"/>
              <w:pageBreakBefore w:val="0"/>
              <w:widowControl w:val="0"/>
              <w:kinsoku/>
              <w:wordWrap/>
              <w:overflowPunct/>
              <w:topLinePunct w:val="0"/>
              <w:autoSpaceDE/>
              <w:autoSpaceDN/>
              <w:bidi w:val="0"/>
              <w:spacing w:beforeLines="0" w:afterLines="0" w:line="336" w:lineRule="auto"/>
              <w:ind w:firstLine="0" w:firstLineChars="0"/>
              <w:jc w:val="both"/>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（5）竣工验收</w:t>
            </w:r>
          </w:p>
          <w:p>
            <w:pPr>
              <w:pStyle w:val="44"/>
              <w:keepNext w:val="0"/>
              <w:keepLines w:val="0"/>
              <w:pageBreakBefore w:val="0"/>
              <w:widowControl w:val="0"/>
              <w:kinsoku/>
              <w:wordWrap/>
              <w:overflowPunct/>
              <w:topLinePunct w:val="0"/>
              <w:autoSpaceDE/>
              <w:autoSpaceDN/>
              <w:bidi w:val="0"/>
              <w:spacing w:beforeLines="0" w:afterLines="0" w:line="336" w:lineRule="auto"/>
              <w:jc w:val="both"/>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主要施工工艺、产污节点图见下图</w:t>
            </w:r>
            <w:r>
              <w:rPr>
                <w:rFonts w:hint="default" w:ascii="Times New Roman" w:hAnsi="Times New Roman" w:eastAsia="宋体" w:cs="Times New Roman"/>
                <w:color w:val="auto"/>
                <w:sz w:val="24"/>
                <w:szCs w:val="24"/>
                <w:highlight w:val="none"/>
                <w:lang w:eastAsia="zh-CN"/>
              </w:rPr>
              <w:t>。</w:t>
            </w:r>
          </w:p>
          <w:p>
            <w:pPr>
              <w:pStyle w:val="44"/>
              <w:widowControl w:val="0"/>
              <w:spacing w:beforeLines="0" w:afterLines="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drawing>
                <wp:inline distT="0" distB="0" distL="114300" distR="114300">
                  <wp:extent cx="4514850" cy="1327150"/>
                  <wp:effectExtent l="0" t="0" r="6350" b="0"/>
                  <wp:docPr id="3" name="图片 1" descr="J:\Desktop\图片177.png图片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J:\Desktop\图片177.png图片177"/>
                          <pic:cNvPicPr>
                            <a:picLocks noChangeAspect="1"/>
                          </pic:cNvPicPr>
                        </pic:nvPicPr>
                        <pic:blipFill>
                          <a:blip r:embed="rId8"/>
                          <a:srcRect/>
                          <a:stretch>
                            <a:fillRect/>
                          </a:stretch>
                        </pic:blipFill>
                        <pic:spPr>
                          <a:xfrm>
                            <a:off x="0" y="0"/>
                            <a:ext cx="4514850" cy="1327150"/>
                          </a:xfrm>
                          <a:prstGeom prst="rect">
                            <a:avLst/>
                          </a:prstGeom>
                          <a:noFill/>
                          <a:ln>
                            <a:noFill/>
                          </a:ln>
                        </pic:spPr>
                      </pic:pic>
                    </a:graphicData>
                  </a:graphic>
                </wp:inline>
              </w:drawing>
            </w:r>
          </w:p>
          <w:p>
            <w:pPr>
              <w:widowControl w:val="0"/>
              <w:spacing w:beforeLines="0" w:afterLines="0"/>
              <w:jc w:val="center"/>
              <w:rPr>
                <w:rFonts w:hint="default" w:ascii="Times New Roman" w:hAnsi="Times New Roman" w:eastAsia="宋体" w:cs="Times New Roman"/>
                <w:color w:val="auto"/>
                <w:sz w:val="21"/>
                <w:szCs w:val="24"/>
                <w:highlight w:val="none"/>
              </w:rPr>
            </w:pPr>
            <w:r>
              <w:rPr>
                <w:rFonts w:hint="default" w:ascii="Times New Roman" w:hAnsi="Times New Roman" w:eastAsia="宋体" w:cs="Times New Roman"/>
                <w:b/>
                <w:color w:val="auto"/>
                <w:sz w:val="24"/>
                <w:szCs w:val="24"/>
                <w:highlight w:val="none"/>
              </w:rPr>
              <w:t>图2-</w:t>
            </w: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cs="Times New Roman"/>
                <w:b/>
                <w:color w:val="auto"/>
                <w:sz w:val="24"/>
                <w:szCs w:val="24"/>
                <w:highlight w:val="none"/>
                <w:lang w:eastAsia="zh-CN"/>
              </w:rPr>
              <w:t>变电站</w:t>
            </w:r>
            <w:r>
              <w:rPr>
                <w:rFonts w:hint="default" w:ascii="Times New Roman" w:hAnsi="Times New Roman" w:eastAsia="宋体" w:cs="Times New Roman"/>
                <w:b/>
                <w:color w:val="auto"/>
                <w:sz w:val="24"/>
                <w:szCs w:val="24"/>
                <w:highlight w:val="none"/>
              </w:rPr>
              <w:t>主要施工工艺时序及产污节点图</w:t>
            </w:r>
          </w:p>
          <w:p>
            <w:pPr>
              <w:widowControl w:val="0"/>
              <w:spacing w:beforeLines="0" w:afterLines="0" w:line="360" w:lineRule="auto"/>
              <w:jc w:val="left"/>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1.2 输电线路施工工艺流程和方法</w:t>
            </w:r>
          </w:p>
          <w:p>
            <w:pPr>
              <w:pStyle w:val="44"/>
              <w:widowControl w:val="0"/>
              <w:spacing w:beforeLines="0" w:afterLines="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（1）基坑开挖：基坑开挖前，先采用GPS卫星定位系统、全站仪及经纬仪进行复测，</w:t>
            </w:r>
            <w:r>
              <w:rPr>
                <w:rFonts w:hint="default" w:ascii="Times New Roman" w:hAnsi="Times New Roman" w:eastAsia="宋体" w:cs="Times New Roman"/>
                <w:color w:val="auto"/>
                <w:sz w:val="24"/>
                <w:szCs w:val="24"/>
                <w:highlight w:val="none"/>
                <w:lang w:val="zh-CN"/>
              </w:rPr>
              <w:t>确定位置后采用机械及人工辅助开挖</w:t>
            </w:r>
            <w:r>
              <w:rPr>
                <w:rFonts w:hint="default" w:ascii="Times New Roman" w:hAnsi="Times New Roman" w:eastAsia="宋体" w:cs="Times New Roman"/>
                <w:color w:val="auto"/>
                <w:sz w:val="24"/>
                <w:szCs w:val="24"/>
                <w:highlight w:val="none"/>
              </w:rPr>
              <w:t>。基坑开挖前要先清理基面，保证基面的平整和高差的统一。</w:t>
            </w:r>
          </w:p>
          <w:p>
            <w:pPr>
              <w:widowControl w:val="0"/>
              <w:spacing w:beforeLines="0" w:afterLines="0" w:line="360" w:lineRule="auto"/>
              <w:ind w:firstLine="480" w:firstLineChars="20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（2）塔基建设：基坑开挖后进行</w:t>
            </w:r>
            <w:r>
              <w:rPr>
                <w:rFonts w:hint="default" w:ascii="Times New Roman" w:hAnsi="Times New Roman" w:eastAsia="宋体" w:cs="Times New Roman"/>
                <w:color w:val="auto"/>
                <w:sz w:val="24"/>
                <w:szCs w:val="24"/>
                <w:highlight w:val="none"/>
                <w:lang w:val="zh-CN"/>
              </w:rPr>
              <w:t>钢筋绑扎，混凝土采用混凝土运输车运输，现场布料浇筑，振动棒进行振捣，</w:t>
            </w:r>
            <w:r>
              <w:rPr>
                <w:rFonts w:hint="default" w:ascii="Times New Roman" w:hAnsi="Times New Roman" w:eastAsia="宋体" w:cs="Times New Roman"/>
                <w:color w:val="auto"/>
                <w:sz w:val="24"/>
                <w:szCs w:val="24"/>
                <w:highlight w:val="none"/>
              </w:rPr>
              <w:t>最后进行</w:t>
            </w:r>
            <w:r>
              <w:rPr>
                <w:rFonts w:hint="default" w:ascii="Times New Roman" w:hAnsi="Times New Roman" w:eastAsia="宋体" w:cs="Times New Roman"/>
                <w:color w:val="auto"/>
                <w:sz w:val="24"/>
                <w:szCs w:val="24"/>
                <w:highlight w:val="none"/>
                <w:lang w:val="zh-CN"/>
              </w:rPr>
              <w:t>混凝土养护及基坑回填。</w:t>
            </w:r>
          </w:p>
          <w:p>
            <w:pPr>
              <w:pStyle w:val="44"/>
              <w:widowControl w:val="0"/>
              <w:spacing w:beforeLines="0" w:afterLines="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（2）铁塔安装：铁塔采用流动式起重机组立，预先将塔身组装成塔片或塔段，按吊装的顺序叠放，横担部分组装成整体，以提高起重机吊装的使用效率。</w:t>
            </w:r>
          </w:p>
          <w:p>
            <w:pPr>
              <w:widowControl w:val="0"/>
              <w:spacing w:beforeLines="0" w:afterLines="0" w:line="360" w:lineRule="auto"/>
              <w:ind w:firstLine="480" w:firstLineChars="20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输电线及地线架设：设置牵张场，导线采用张力机、牵引机“一牵一”张力展放，导线连接采用液压机压接。地线安装采用人力展放或汽车牵引展放，各级引绳带张力逐级牵引，导引绳转换采用小张力机、小牵引机“一牵一”张力展放，地线连接采用液压机压接。</w:t>
            </w:r>
          </w:p>
          <w:p>
            <w:pPr>
              <w:pStyle w:val="44"/>
              <w:widowControl w:val="0"/>
              <w:spacing w:beforeLines="0" w:afterLines="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（5）竣工验收。</w:t>
            </w:r>
          </w:p>
          <w:p>
            <w:pPr>
              <w:pStyle w:val="44"/>
              <w:widowControl w:val="0"/>
              <w:spacing w:beforeLines="0" w:afterLines="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主要施工工艺、时序见图2-</w:t>
            </w:r>
            <w:r>
              <w:rPr>
                <w:rFonts w:hint="default" w:ascii="Times New Roman" w:hAnsi="Times New Roman" w:eastAsia="宋体" w:cs="Times New Roman"/>
                <w:color w:val="auto"/>
                <w:sz w:val="24"/>
                <w:szCs w:val="24"/>
                <w:highlight w:val="none"/>
                <w:lang w:val="en-US" w:eastAsia="zh-CN"/>
              </w:rPr>
              <w:t>2</w:t>
            </w:r>
            <w:r>
              <w:rPr>
                <w:rFonts w:hint="default" w:ascii="Times New Roman" w:hAnsi="Times New Roman" w:eastAsia="宋体" w:cs="Times New Roman"/>
                <w:color w:val="auto"/>
                <w:sz w:val="24"/>
                <w:szCs w:val="24"/>
                <w:highlight w:val="none"/>
              </w:rPr>
              <w:t>。</w:t>
            </w:r>
          </w:p>
          <w:p>
            <w:pPr>
              <w:pStyle w:val="44"/>
              <w:widowControl w:val="0"/>
              <w:spacing w:beforeLines="0" w:afterLines="0"/>
              <w:jc w:val="both"/>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drawing>
                <wp:inline distT="0" distB="0" distL="114300" distR="114300">
                  <wp:extent cx="4712970" cy="911860"/>
                  <wp:effectExtent l="0" t="0" r="11430" b="254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a:stretch>
                            <a:fillRect/>
                          </a:stretch>
                        </pic:blipFill>
                        <pic:spPr>
                          <a:xfrm>
                            <a:off x="0" y="0"/>
                            <a:ext cx="4712970" cy="911860"/>
                          </a:xfrm>
                          <a:prstGeom prst="rect">
                            <a:avLst/>
                          </a:prstGeom>
                          <a:noFill/>
                          <a:ln>
                            <a:noFill/>
                          </a:ln>
                        </pic:spPr>
                      </pic:pic>
                    </a:graphicData>
                  </a:graphic>
                </wp:inline>
              </w:drawing>
            </w:r>
          </w:p>
          <w:p>
            <w:pPr>
              <w:widowControl w:val="0"/>
              <w:adjustRightInd w:val="0"/>
              <w:snapToGrid w:val="0"/>
              <w:spacing w:beforeLines="0" w:afterLines="0" w:line="360" w:lineRule="auto"/>
              <w:jc w:val="center"/>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图2-</w:t>
            </w: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rPr>
              <w:t xml:space="preserve">  输电线路主要施工工艺时序及产污节点图</w:t>
            </w:r>
          </w:p>
          <w:p>
            <w:pPr>
              <w:widowControl w:val="0"/>
              <w:adjustRightInd w:val="0"/>
              <w:snapToGrid w:val="0"/>
              <w:spacing w:line="360" w:lineRule="auto"/>
              <w:jc w:val="both"/>
              <w:rPr>
                <w:rFonts w:hint="default" w:ascii="Times New Roman" w:hAnsi="Times New Roman" w:eastAsia="宋体" w:cs="Times New Roman"/>
                <w:color w:val="auto"/>
                <w:highlight w:val="none"/>
              </w:rPr>
            </w:pPr>
            <w:r>
              <w:rPr>
                <w:rFonts w:hint="default" w:ascii="Times New Roman" w:hAnsi="Times New Roman" w:eastAsia="宋体" w:cs="Times New Roman"/>
                <w:b/>
                <w:color w:val="auto"/>
                <w:highlight w:val="none"/>
              </w:rPr>
              <w:t>2 施工建设周期</w:t>
            </w:r>
          </w:p>
          <w:p>
            <w:pPr>
              <w:widowControl w:val="0"/>
              <w:adjustRightInd w:val="0"/>
              <w:snapToGrid w:val="0"/>
              <w:spacing w:line="360" w:lineRule="auto"/>
              <w:ind w:firstLine="480" w:firstLineChars="200"/>
              <w:jc w:val="left"/>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本项目预计2026年</w:t>
            </w:r>
            <w:r>
              <w:rPr>
                <w:rFonts w:hint="default" w:ascii="Times New Roman" w:hAnsi="Times New Roman" w:cs="Times New Roman"/>
                <w:color w:val="auto"/>
                <w:highlight w:val="none"/>
                <w:lang w:val="en-US" w:eastAsia="zh-CN"/>
              </w:rPr>
              <w:t>8</w:t>
            </w:r>
            <w:r>
              <w:rPr>
                <w:rFonts w:hint="default" w:ascii="Times New Roman" w:hAnsi="Times New Roman" w:eastAsia="宋体" w:cs="Times New Roman"/>
                <w:color w:val="auto"/>
                <w:highlight w:val="none"/>
              </w:rPr>
              <w:t>月开工建设，202</w:t>
            </w:r>
            <w:r>
              <w:rPr>
                <w:rFonts w:hint="default" w:ascii="Times New Roman" w:hAnsi="Times New Roman" w:eastAsia="宋体" w:cs="Times New Roman"/>
                <w:color w:val="auto"/>
                <w:highlight w:val="none"/>
                <w:lang w:val="en-US" w:eastAsia="zh-CN"/>
              </w:rPr>
              <w:t>7</w:t>
            </w:r>
            <w:r>
              <w:rPr>
                <w:rFonts w:hint="default" w:ascii="Times New Roman" w:hAnsi="Times New Roman" w:eastAsia="宋体" w:cs="Times New Roman"/>
                <w:color w:val="auto"/>
                <w:highlight w:val="none"/>
              </w:rPr>
              <w:t>年</w:t>
            </w:r>
            <w:r>
              <w:rPr>
                <w:rFonts w:hint="default" w:ascii="Times New Roman" w:hAnsi="Times New Roman" w:cs="Times New Roman"/>
                <w:color w:val="auto"/>
                <w:highlight w:val="none"/>
                <w:lang w:val="en-US" w:eastAsia="zh-CN"/>
              </w:rPr>
              <w:t>8</w:t>
            </w:r>
            <w:r>
              <w:rPr>
                <w:rFonts w:hint="default" w:ascii="Times New Roman" w:hAnsi="Times New Roman" w:eastAsia="宋体" w:cs="Times New Roman"/>
                <w:color w:val="auto"/>
                <w:highlight w:val="none"/>
              </w:rPr>
              <w:t>月完工，</w:t>
            </w:r>
            <w:r>
              <w:rPr>
                <w:rFonts w:hint="default" w:ascii="Times New Roman" w:hAnsi="Times New Roman" w:cs="Times New Roman"/>
                <w:color w:val="auto"/>
                <w:highlight w:val="none"/>
                <w:lang w:val="en-US" w:eastAsia="zh-CN"/>
              </w:rPr>
              <w:t>工程施工建设周期约</w:t>
            </w:r>
            <w:r>
              <w:rPr>
                <w:rFonts w:hint="default" w:ascii="Times New Roman" w:hAnsi="Times New Roman" w:eastAsia="宋体" w:cs="Times New Roman"/>
                <w:color w:val="auto"/>
                <w:highlight w:val="none"/>
                <w:lang w:eastAsia="zh-CN"/>
              </w:rPr>
              <w:t>12个月</w:t>
            </w:r>
            <w:r>
              <w:rPr>
                <w:rFonts w:hint="default" w:ascii="Times New Roman" w:hAnsi="Times New Roman" w:eastAsia="宋体" w:cs="Times New Roman"/>
                <w:color w:val="auto"/>
                <w:highlight w:val="none"/>
              </w:rPr>
              <w:t>。</w:t>
            </w:r>
          </w:p>
        </w:tc>
      </w:tr>
      <w:tr>
        <w:tblPrEx>
          <w:tblBorders>
            <w:top w:val="single" w:color="000000" w:sz="8" w:space="0"/>
            <w:left w:val="single" w:color="000000" w:sz="8" w:space="0"/>
            <w:bottom w:val="single" w:color="000000" w:sz="8" w:space="0"/>
            <w:right w:val="single" w:color="000000" w:sz="8"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675" w:type="dxa"/>
            <w:vAlign w:val="center"/>
          </w:tcPr>
          <w:p>
            <w:pPr>
              <w:widowControl w:val="0"/>
              <w:adjustRightInd w:val="0"/>
              <w:snapToGrid w:val="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其他</w:t>
            </w:r>
          </w:p>
        </w:tc>
        <w:tc>
          <w:tcPr>
            <w:tcW w:w="8094" w:type="dxa"/>
            <w:vAlign w:val="center"/>
          </w:tcPr>
          <w:p>
            <w:pPr>
              <w:widowControl w:val="0"/>
              <w:adjustRightInd w:val="0"/>
              <w:snapToGrid w:val="0"/>
              <w:spacing w:line="360" w:lineRule="auto"/>
              <w:ind w:firstLine="480" w:firstLineChars="200"/>
              <w:jc w:val="left"/>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本项目初步设计批复</w:t>
            </w:r>
            <w:r>
              <w:rPr>
                <w:rFonts w:hint="eastAsia" w:ascii="Times New Roman" w:hAnsi="Times New Roman" w:cs="Times New Roman"/>
                <w:color w:val="auto"/>
                <w:highlight w:val="none"/>
                <w:lang w:val="en-US" w:eastAsia="zh-CN"/>
              </w:rPr>
              <w:t>阶段</w:t>
            </w:r>
            <w:r>
              <w:rPr>
                <w:rFonts w:hint="eastAsia" w:ascii="Times New Roman" w:hAnsi="Times New Roman" w:eastAsia="宋体" w:cs="Times New Roman"/>
                <w:color w:val="auto"/>
                <w:highlight w:val="none"/>
                <w:lang w:val="en-US" w:eastAsia="zh-CN"/>
              </w:rPr>
              <w:t>2回线路全长共</w:t>
            </w:r>
            <w:r>
              <w:rPr>
                <w:rFonts w:hint="eastAsia" w:ascii="Times New Roman" w:hAnsi="Times New Roman" w:cs="Times New Roman"/>
                <w:color w:val="auto"/>
                <w:highlight w:val="none"/>
                <w:lang w:val="en-US" w:eastAsia="zh-CN"/>
              </w:rPr>
              <w:t>3</w:t>
            </w:r>
            <w:r>
              <w:rPr>
                <w:rFonts w:hint="eastAsia" w:ascii="Times New Roman" w:hAnsi="Times New Roman" w:eastAsia="宋体" w:cs="Times New Roman"/>
                <w:color w:val="auto"/>
                <w:highlight w:val="none"/>
                <w:lang w:val="en-US" w:eastAsia="zh-CN"/>
              </w:rPr>
              <w:t>1.3km，</w:t>
            </w:r>
            <w:r>
              <w:rPr>
                <w:rFonts w:hint="eastAsia" w:ascii="Times New Roman" w:hAnsi="Times New Roman" w:cs="Times New Roman"/>
                <w:color w:val="auto"/>
                <w:highlight w:val="none"/>
                <w:lang w:val="en-US" w:eastAsia="zh-CN"/>
              </w:rPr>
              <w:t>后期通过</w:t>
            </w:r>
            <w:r>
              <w:rPr>
                <w:rFonts w:hint="eastAsia" w:ascii="Times New Roman" w:hAnsi="Times New Roman" w:eastAsia="宋体" w:cs="Times New Roman"/>
                <w:color w:val="auto"/>
                <w:highlight w:val="none"/>
                <w:lang w:val="en-US" w:eastAsia="zh-CN"/>
              </w:rPr>
              <w:t>优化路径走向</w:t>
            </w:r>
            <w:r>
              <w:rPr>
                <w:rFonts w:hint="eastAsia" w:ascii="Times New Roman" w:hAnsi="Times New Roman" w:cs="Times New Roman"/>
                <w:color w:val="auto"/>
                <w:highlight w:val="none"/>
                <w:lang w:val="en-US" w:eastAsia="zh-CN"/>
              </w:rPr>
              <w:t>，2回线总长度</w:t>
            </w:r>
            <w:r>
              <w:rPr>
                <w:rFonts w:hint="eastAsia" w:ascii="Times New Roman" w:hAnsi="Times New Roman" w:eastAsia="宋体" w:cs="Times New Roman"/>
                <w:color w:val="auto"/>
                <w:highlight w:val="none"/>
                <w:lang w:val="en-US" w:eastAsia="zh-CN"/>
              </w:rPr>
              <w:t>29.849</w:t>
            </w:r>
            <w:r>
              <w:rPr>
                <w:rFonts w:hint="eastAsia" w:ascii="Times New Roman" w:hAnsi="Times New Roman" w:cs="Times New Roman"/>
                <w:color w:val="auto"/>
                <w:highlight w:val="none"/>
                <w:lang w:val="en-US" w:eastAsia="zh-CN"/>
              </w:rPr>
              <w:t>（</w:t>
            </w:r>
            <w:r>
              <w:rPr>
                <w:rFonts w:hint="eastAsia" w:ascii="Times New Roman" w:hAnsi="Times New Roman" w:eastAsia="宋体" w:cs="Times New Roman"/>
                <w:color w:val="auto"/>
                <w:highlight w:val="none"/>
                <w:lang w:val="en-US" w:eastAsia="zh-CN"/>
              </w:rPr>
              <w:t>21.893</w:t>
            </w:r>
            <w:r>
              <w:rPr>
                <w:rFonts w:hint="eastAsia" w:ascii="Times New Roman" w:hAnsi="Times New Roman" w:cs="Times New Roman"/>
                <w:color w:val="auto"/>
                <w:highlight w:val="none"/>
                <w:lang w:val="en-US" w:eastAsia="zh-CN"/>
              </w:rPr>
              <w:t>+</w:t>
            </w:r>
            <w:r>
              <w:rPr>
                <w:rFonts w:hint="eastAsia" w:ascii="Times New Roman" w:hAnsi="Times New Roman" w:eastAsia="宋体" w:cs="Times New Roman"/>
                <w:color w:val="auto"/>
                <w:highlight w:val="none"/>
                <w:lang w:val="en-US" w:eastAsia="zh-CN"/>
              </w:rPr>
              <w:t>7.956</w:t>
            </w:r>
            <w:r>
              <w:rPr>
                <w:rFonts w:hint="eastAsia" w:ascii="Times New Roman" w:hAnsi="Times New Roman" w:cs="Times New Roman"/>
                <w:color w:val="auto"/>
                <w:highlight w:val="none"/>
                <w:lang w:val="en-US" w:eastAsia="zh-CN"/>
              </w:rPr>
              <w:t>）km。</w:t>
            </w:r>
          </w:p>
        </w:tc>
      </w:tr>
    </w:tbl>
    <w:p>
      <w:pPr>
        <w:pStyle w:val="14"/>
        <w:ind w:firstLine="480"/>
        <w:rPr>
          <w:rFonts w:hint="default" w:ascii="Times New Roman" w:hAnsi="Times New Roman" w:eastAsia="宋体" w:cs="Times New Roman"/>
          <w:color w:val="auto"/>
          <w:highlight w:val="none"/>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adjustRightInd w:val="0"/>
        <w:snapToGrid w:val="0"/>
        <w:jc w:val="center"/>
        <w:outlineLvl w:val="0"/>
        <w:rPr>
          <w:rFonts w:hint="default" w:ascii="Times New Roman" w:hAnsi="Times New Roman" w:eastAsia="宋体" w:cs="Times New Roman"/>
          <w:snapToGrid w:val="0"/>
          <w:color w:val="auto"/>
          <w:sz w:val="30"/>
          <w:szCs w:val="30"/>
          <w:highlight w:val="none"/>
        </w:rPr>
      </w:pPr>
      <w:bookmarkStart w:id="24" w:name="_Toc201659586"/>
      <w:bookmarkStart w:id="25" w:name="_Toc123038780"/>
      <w:bookmarkStart w:id="26" w:name="_Toc70009835"/>
      <w:bookmarkStart w:id="27" w:name="_Toc123061333"/>
      <w:bookmarkStart w:id="28" w:name="_Toc201659446"/>
      <w:bookmarkStart w:id="29" w:name="_Toc210812360"/>
      <w:bookmarkStart w:id="30" w:name="_Toc72921440"/>
      <w:bookmarkStart w:id="31" w:name="_Toc67826158"/>
      <w:bookmarkStart w:id="32" w:name="_Toc15303"/>
      <w:bookmarkStart w:id="33" w:name="_Toc70007222"/>
      <w:bookmarkStart w:id="34" w:name="_Toc67825864"/>
      <w:bookmarkStart w:id="35" w:name="_Toc70009647"/>
      <w:bookmarkStart w:id="36" w:name="_Toc215697931"/>
      <w:bookmarkStart w:id="37" w:name="_Toc97229031"/>
      <w:bookmarkStart w:id="38" w:name="_Toc202798673"/>
      <w:bookmarkStart w:id="39" w:name="_Toc25568"/>
      <w:bookmarkStart w:id="40" w:name="_Toc201659316"/>
      <w:r>
        <w:rPr>
          <w:rFonts w:hint="default" w:ascii="Times New Roman" w:hAnsi="Times New Roman" w:eastAsia="宋体" w:cs="Times New Roman"/>
          <w:snapToGrid w:val="0"/>
          <w:color w:val="auto"/>
          <w:sz w:val="30"/>
          <w:szCs w:val="30"/>
          <w:highlight w:val="none"/>
        </w:rPr>
        <w:t>三、生态环境现状、保护目标及评价标准</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tbl>
      <w:tblPr>
        <w:tblStyle w:val="28"/>
        <w:tblW w:w="9157"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04"/>
        <w:gridCol w:w="825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highlight w:val="none"/>
              </w:rPr>
              <w:t>生态环境现状</w:t>
            </w:r>
          </w:p>
        </w:tc>
        <w:tc>
          <w:tcPr>
            <w:tcW w:w="8253" w:type="dxa"/>
            <w:vAlign w:val="center"/>
          </w:tcPr>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36" w:lineRule="auto"/>
              <w:ind w:left="0" w:right="0"/>
              <w:textAlignment w:val="auto"/>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1生态环境现状</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36" w:lineRule="auto"/>
              <w:ind w:left="0" w:right="0"/>
              <w:textAlignment w:val="auto"/>
              <w:rPr>
                <w:rFonts w:hint="default" w:ascii="Times New Roman" w:hAnsi="Times New Roman" w:eastAsia="宋体" w:cs="Times New Roman"/>
                <w:b/>
                <w:bCs/>
                <w:color w:val="auto"/>
                <w:szCs w:val="21"/>
                <w:highlight w:val="none"/>
              </w:rPr>
            </w:pPr>
            <w:r>
              <w:rPr>
                <w:rFonts w:hint="default" w:ascii="Times New Roman" w:hAnsi="Times New Roman" w:eastAsia="宋体" w:cs="Times New Roman"/>
                <w:b/>
                <w:bCs/>
                <w:color w:val="auto"/>
                <w:szCs w:val="21"/>
                <w:highlight w:val="none"/>
              </w:rPr>
              <w:t>1.1主体功能规划情况</w:t>
            </w:r>
          </w:p>
          <w:p>
            <w:pPr>
              <w:pStyle w:val="45"/>
              <w:keepNext w:val="0"/>
              <w:keepLines w:val="0"/>
              <w:pageBreakBefore w:val="0"/>
              <w:suppressLineNumbers w:val="0"/>
              <w:kinsoku/>
              <w:wordWrap/>
              <w:overflowPunct/>
              <w:topLinePunct w:val="0"/>
              <w:autoSpaceDE/>
              <w:autoSpaceDN/>
              <w:bidi w:val="0"/>
              <w:adjustRightInd w:val="0"/>
              <w:snapToGrid w:val="0"/>
              <w:spacing w:before="0" w:beforeLines="0" w:beforeAutospacing="0" w:after="0" w:afterLines="0" w:afterAutospacing="0" w:line="336" w:lineRule="auto"/>
              <w:ind w:left="0" w:right="0"/>
              <w:textAlignment w:val="auto"/>
              <w:rPr>
                <w:rFonts w:hint="default" w:ascii="Times New Roman" w:hAnsi="Times New Roman" w:eastAsia="宋体" w:cs="Times New Roman"/>
                <w:color w:val="auto"/>
                <w:kern w:val="2"/>
                <w:sz w:val="24"/>
                <w:szCs w:val="24"/>
                <w:highlight w:val="none"/>
              </w:rPr>
            </w:pPr>
            <w:bookmarkStart w:id="41" w:name="_Hlk202781777"/>
            <w:bookmarkStart w:id="42" w:name="_Hlk191599169"/>
            <w:bookmarkStart w:id="43" w:name="_Hlk173854861"/>
            <w:r>
              <w:rPr>
                <w:rFonts w:hint="default" w:ascii="Times New Roman" w:hAnsi="Times New Roman" w:eastAsia="宋体" w:cs="Times New Roman"/>
                <w:color w:val="auto"/>
                <w:kern w:val="2"/>
                <w:sz w:val="24"/>
                <w:szCs w:val="24"/>
                <w:highlight w:val="none"/>
              </w:rPr>
              <w:t>根据《新疆维吾尔自治区主体功能区规划》，主体功能区按开发方式，分为重点开发、限制开发和禁止开发区域三类；按开发内容，分为城市化地区、农产品主产区和重点生态功能区三类；按层级，分为国家和自治区两个层面。</w:t>
            </w:r>
          </w:p>
          <w:p>
            <w:pPr>
              <w:pStyle w:val="45"/>
              <w:keepNext w:val="0"/>
              <w:keepLines w:val="0"/>
              <w:pageBreakBefore w:val="0"/>
              <w:suppressLineNumbers w:val="0"/>
              <w:kinsoku/>
              <w:wordWrap/>
              <w:overflowPunct/>
              <w:topLinePunct w:val="0"/>
              <w:autoSpaceDE/>
              <w:autoSpaceDN/>
              <w:bidi w:val="0"/>
              <w:adjustRightInd w:val="0"/>
              <w:snapToGrid w:val="0"/>
              <w:spacing w:before="0" w:beforeLines="0" w:beforeAutospacing="0" w:after="0" w:afterLines="0" w:afterAutospacing="0" w:line="336" w:lineRule="auto"/>
              <w:ind w:left="0" w:right="0"/>
              <w:textAlignment w:val="auto"/>
              <w:rPr>
                <w:rFonts w:hint="default" w:ascii="Times New Roman" w:hAnsi="Times New Roman" w:eastAsia="宋体" w:cs="Times New Roman"/>
                <w:color w:val="auto"/>
                <w:kern w:val="2"/>
                <w:sz w:val="24"/>
                <w:szCs w:val="24"/>
                <w:highlight w:val="none"/>
              </w:rPr>
            </w:pPr>
            <w:r>
              <w:rPr>
                <w:rFonts w:hint="default" w:ascii="Times New Roman" w:hAnsi="Times New Roman" w:eastAsia="宋体" w:cs="Times New Roman"/>
                <w:color w:val="auto"/>
                <w:kern w:val="2"/>
                <w:sz w:val="24"/>
                <w:szCs w:val="24"/>
                <w:highlight w:val="none"/>
                <w:lang w:val="en-US" w:eastAsia="zh-CN"/>
              </w:rPr>
              <w:t>本项目位于岳普湖县</w:t>
            </w:r>
            <w:r>
              <w:rPr>
                <w:rFonts w:hint="eastAsia" w:cs="Times New Roman"/>
                <w:color w:val="auto"/>
                <w:kern w:val="2"/>
                <w:sz w:val="24"/>
                <w:szCs w:val="24"/>
                <w:highlight w:val="none"/>
                <w:lang w:val="en-US" w:eastAsia="zh-CN"/>
              </w:rPr>
              <w:t>及伽师县</w:t>
            </w:r>
            <w:r>
              <w:rPr>
                <w:rFonts w:hint="default" w:ascii="Times New Roman" w:hAnsi="Times New Roman" w:eastAsia="宋体" w:cs="Times New Roman"/>
                <w:color w:val="auto"/>
                <w:kern w:val="2"/>
                <w:sz w:val="24"/>
                <w:szCs w:val="24"/>
                <w:highlight w:val="none"/>
                <w:lang w:val="en-US" w:eastAsia="zh-CN"/>
              </w:rPr>
              <w:t>，根据《新疆维吾尔自治区主体功能区规划》，本项目所在区域为国家级重点生态功能区，</w:t>
            </w:r>
            <w:r>
              <w:rPr>
                <w:rFonts w:hint="default" w:ascii="Times New Roman" w:hAnsi="Times New Roman" w:eastAsia="宋体" w:cs="Times New Roman"/>
                <w:color w:val="auto"/>
                <w:kern w:val="2"/>
                <w:sz w:val="24"/>
                <w:szCs w:val="24"/>
                <w:highlight w:val="none"/>
              </w:rPr>
              <w:t>其功能定位是：推进新型工业化、农牧业现代化、新型城镇化的重要节点。</w:t>
            </w:r>
          </w:p>
          <w:p>
            <w:pPr>
              <w:pStyle w:val="45"/>
              <w:keepNext w:val="0"/>
              <w:keepLines w:val="0"/>
              <w:pageBreakBefore w:val="0"/>
              <w:suppressLineNumbers w:val="0"/>
              <w:kinsoku/>
              <w:wordWrap/>
              <w:overflowPunct/>
              <w:topLinePunct w:val="0"/>
              <w:autoSpaceDE/>
              <w:autoSpaceDN/>
              <w:bidi w:val="0"/>
              <w:adjustRightInd w:val="0"/>
              <w:snapToGrid w:val="0"/>
              <w:spacing w:before="0" w:beforeLines="0" w:beforeAutospacing="0" w:after="0" w:afterLines="0" w:afterAutospacing="0" w:line="336" w:lineRule="auto"/>
              <w:ind w:left="0" w:right="0"/>
              <w:textAlignment w:val="auto"/>
              <w:rPr>
                <w:rFonts w:hint="default" w:ascii="Times New Roman" w:hAnsi="Times New Roman" w:eastAsia="宋体" w:cs="Times New Roman"/>
                <w:color w:val="auto"/>
                <w:kern w:val="2"/>
                <w:sz w:val="24"/>
                <w:szCs w:val="24"/>
                <w:highlight w:val="none"/>
              </w:rPr>
            </w:pPr>
            <w:r>
              <w:rPr>
                <w:rFonts w:hint="default" w:ascii="Times New Roman" w:hAnsi="Times New Roman" w:eastAsia="宋体" w:cs="Times New Roman"/>
                <w:color w:val="auto"/>
                <w:kern w:val="2"/>
                <w:sz w:val="24"/>
                <w:szCs w:val="24"/>
                <w:highlight w:val="none"/>
              </w:rPr>
              <w:t>相符性分析：</w:t>
            </w:r>
          </w:p>
          <w:p>
            <w:pPr>
              <w:pStyle w:val="45"/>
              <w:keepNext w:val="0"/>
              <w:keepLines w:val="0"/>
              <w:pageBreakBefore w:val="0"/>
              <w:suppressLineNumbers w:val="0"/>
              <w:kinsoku/>
              <w:wordWrap/>
              <w:overflowPunct/>
              <w:topLinePunct w:val="0"/>
              <w:autoSpaceDE/>
              <w:autoSpaceDN/>
              <w:bidi w:val="0"/>
              <w:adjustRightInd w:val="0"/>
              <w:snapToGrid w:val="0"/>
              <w:spacing w:before="0" w:beforeLines="0" w:beforeAutospacing="0" w:after="0" w:afterLines="0" w:afterAutospacing="0" w:line="336" w:lineRule="auto"/>
              <w:ind w:left="0" w:right="0"/>
              <w:textAlignment w:val="auto"/>
              <w:rPr>
                <w:rFonts w:hint="default" w:ascii="Times New Roman" w:hAnsi="Times New Roman" w:eastAsia="宋体" w:cs="Times New Roman"/>
                <w:color w:val="auto"/>
                <w:kern w:val="2"/>
                <w:sz w:val="24"/>
                <w:szCs w:val="24"/>
                <w:highlight w:val="none"/>
                <w:lang w:val="en-US" w:eastAsia="zh-CN"/>
              </w:rPr>
            </w:pPr>
            <w:r>
              <w:rPr>
                <w:rFonts w:hint="default" w:ascii="Times New Roman" w:hAnsi="Times New Roman" w:eastAsia="宋体" w:cs="Times New Roman"/>
                <w:color w:val="auto"/>
                <w:kern w:val="2"/>
                <w:sz w:val="24"/>
                <w:szCs w:val="24"/>
                <w:highlight w:val="none"/>
              </w:rPr>
              <w:t>本</w:t>
            </w:r>
            <w:r>
              <w:rPr>
                <w:rFonts w:hint="default" w:ascii="Times New Roman" w:hAnsi="Times New Roman" w:eastAsia="宋体" w:cs="Times New Roman"/>
                <w:color w:val="auto"/>
                <w:kern w:val="2"/>
                <w:sz w:val="24"/>
                <w:szCs w:val="24"/>
                <w:highlight w:val="none"/>
                <w:lang w:val="en-US" w:eastAsia="zh-CN"/>
              </w:rPr>
              <w:t>项目</w:t>
            </w:r>
            <w:r>
              <w:rPr>
                <w:rFonts w:hint="default" w:ascii="Times New Roman" w:hAnsi="Times New Roman" w:eastAsia="宋体" w:cs="Times New Roman"/>
                <w:color w:val="auto"/>
                <w:kern w:val="2"/>
                <w:sz w:val="24"/>
                <w:szCs w:val="24"/>
                <w:highlight w:val="none"/>
              </w:rPr>
              <w:t>为</w:t>
            </w:r>
            <w:r>
              <w:rPr>
                <w:rFonts w:hint="default" w:ascii="Times New Roman" w:hAnsi="Times New Roman" w:eastAsia="宋体" w:cs="Times New Roman"/>
                <w:color w:val="auto"/>
                <w:kern w:val="2"/>
                <w:sz w:val="24"/>
                <w:szCs w:val="24"/>
                <w:highlight w:val="none"/>
                <w:lang w:val="en-US" w:eastAsia="zh-CN"/>
              </w:rPr>
              <w:t>输变电工程</w:t>
            </w:r>
            <w:r>
              <w:rPr>
                <w:rFonts w:hint="default" w:ascii="Times New Roman" w:hAnsi="Times New Roman" w:eastAsia="宋体" w:cs="Times New Roman"/>
                <w:color w:val="auto"/>
                <w:kern w:val="2"/>
                <w:sz w:val="24"/>
                <w:szCs w:val="24"/>
                <w:highlight w:val="none"/>
              </w:rPr>
              <w:t>，项目所在区域不在生态红线区内；本环评已提出尽量少占用土地及施工后的生态恢复相关要求，同时要求建设单位需对开发活动严格控制，尽可能减少对生态系统的干扰；在项目实施过程中积极采取生态保护措施，加强对生态系统保护和恢复，高度注意保护植被，保护野生动物，保护地貌，维护自然生态环境，积极落实本环评提出的各项生态环境保护措施，因此，</w:t>
            </w:r>
            <w:r>
              <w:rPr>
                <w:rFonts w:hint="default" w:ascii="Times New Roman" w:hAnsi="Times New Roman" w:cs="Times New Roman"/>
                <w:color w:val="auto"/>
                <w:kern w:val="2"/>
                <w:sz w:val="24"/>
                <w:szCs w:val="24"/>
                <w:highlight w:val="none"/>
                <w:lang w:eastAsia="zh-CN"/>
              </w:rPr>
              <w:t>本项目</w:t>
            </w:r>
            <w:r>
              <w:rPr>
                <w:rFonts w:hint="default" w:ascii="Times New Roman" w:hAnsi="Times New Roman" w:eastAsia="宋体" w:cs="Times New Roman"/>
                <w:color w:val="auto"/>
                <w:kern w:val="2"/>
                <w:sz w:val="24"/>
                <w:szCs w:val="24"/>
                <w:highlight w:val="none"/>
              </w:rPr>
              <w:t>建设符合《新疆维吾尔自治区主体功能区规划》对于工程区块的开发原则，与区域生态功能的保护是协调的。</w:t>
            </w:r>
            <w:r>
              <w:rPr>
                <w:rFonts w:hint="default" w:ascii="Times New Roman" w:hAnsi="Times New Roman" w:cs="Times New Roman"/>
                <w:color w:val="auto"/>
                <w:kern w:val="2"/>
                <w:sz w:val="24"/>
                <w:szCs w:val="24"/>
                <w:highlight w:val="none"/>
                <w:lang w:val="en-US" w:eastAsia="zh-CN"/>
              </w:rPr>
              <w:t>项目在</w:t>
            </w:r>
            <w:r>
              <w:rPr>
                <w:rFonts w:hint="default" w:ascii="Times New Roman" w:hAnsi="Times New Roman" w:eastAsia="宋体" w:cs="Times New Roman"/>
                <w:color w:val="auto"/>
                <w:kern w:val="2"/>
                <w:sz w:val="24"/>
                <w:szCs w:val="24"/>
                <w:highlight w:val="none"/>
              </w:rPr>
              <w:t>新疆维吾尔自治区主体功能区规划</w:t>
            </w:r>
            <w:r>
              <w:rPr>
                <w:rFonts w:hint="default" w:ascii="Times New Roman" w:hAnsi="Times New Roman" w:cs="Times New Roman"/>
                <w:color w:val="auto"/>
                <w:kern w:val="2"/>
                <w:sz w:val="24"/>
                <w:szCs w:val="24"/>
                <w:highlight w:val="none"/>
                <w:lang w:eastAsia="zh-CN"/>
              </w:rPr>
              <w:t>中的</w:t>
            </w:r>
            <w:r>
              <w:rPr>
                <w:rFonts w:hint="default" w:ascii="Times New Roman" w:hAnsi="Times New Roman" w:cs="Times New Roman"/>
                <w:color w:val="auto"/>
                <w:kern w:val="2"/>
                <w:sz w:val="24"/>
                <w:szCs w:val="24"/>
                <w:highlight w:val="none"/>
                <w:lang w:val="en-US" w:eastAsia="zh-CN"/>
              </w:rPr>
              <w:t>位置见附图7</w:t>
            </w:r>
            <w:r>
              <w:rPr>
                <w:rFonts w:hint="eastAsia" w:cs="Times New Roman"/>
                <w:color w:val="auto"/>
                <w:kern w:val="2"/>
                <w:sz w:val="24"/>
                <w:szCs w:val="24"/>
                <w:highlight w:val="none"/>
                <w:lang w:val="en-US" w:eastAsia="zh-CN"/>
              </w:rPr>
              <w:t>。</w:t>
            </w:r>
          </w:p>
          <w:p>
            <w:pPr>
              <w:pStyle w:val="45"/>
              <w:keepNext w:val="0"/>
              <w:keepLines w:val="0"/>
              <w:pageBreakBefore w:val="0"/>
              <w:numPr>
                <w:ilvl w:val="0"/>
                <w:numId w:val="0"/>
              </w:numPr>
              <w:suppressLineNumbers w:val="0"/>
              <w:kinsoku/>
              <w:wordWrap/>
              <w:overflowPunct/>
              <w:topLinePunct w:val="0"/>
              <w:autoSpaceDE/>
              <w:autoSpaceDN/>
              <w:bidi w:val="0"/>
              <w:adjustRightInd w:val="0"/>
              <w:snapToGrid w:val="0"/>
              <w:spacing w:before="0" w:beforeLines="0" w:beforeAutospacing="0" w:after="0" w:afterLines="0" w:afterAutospacing="0" w:line="336" w:lineRule="auto"/>
              <w:ind w:left="0" w:right="0" w:firstLine="0"/>
              <w:textAlignment w:val="auto"/>
              <w:rPr>
                <w:rFonts w:hint="default" w:ascii="Times New Roman" w:hAnsi="Times New Roman" w:eastAsia="宋体" w:cs="Times New Roman"/>
                <w:b/>
                <w:color w:val="auto"/>
                <w:kern w:val="2"/>
                <w:sz w:val="24"/>
                <w:szCs w:val="24"/>
                <w:highlight w:val="none"/>
              </w:rPr>
            </w:pPr>
            <w:r>
              <w:rPr>
                <w:rFonts w:hint="default" w:ascii="Times New Roman" w:hAnsi="Times New Roman" w:eastAsia="宋体" w:cs="Times New Roman"/>
                <w:b/>
                <w:color w:val="auto"/>
                <w:kern w:val="2"/>
                <w:sz w:val="24"/>
                <w:szCs w:val="24"/>
                <w:highlight w:val="none"/>
                <w:lang w:val="en-US" w:eastAsia="zh-CN"/>
              </w:rPr>
              <w:t>1.2</w:t>
            </w:r>
            <w:r>
              <w:rPr>
                <w:rFonts w:hint="default" w:ascii="Times New Roman" w:hAnsi="Times New Roman" w:eastAsia="宋体" w:cs="Times New Roman"/>
                <w:b/>
                <w:color w:val="auto"/>
                <w:kern w:val="2"/>
                <w:sz w:val="24"/>
                <w:szCs w:val="24"/>
                <w:highlight w:val="none"/>
              </w:rPr>
              <w:t>生态功能区划情况</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36" w:lineRule="auto"/>
              <w:ind w:left="0" w:right="0" w:firstLine="480" w:firstLineChars="200"/>
              <w:textAlignment w:val="auto"/>
              <w:rPr>
                <w:rFonts w:hint="default" w:ascii="Times New Roman" w:hAnsi="Times New Roman" w:eastAsia="宋体" w:cs="Times New Roman"/>
                <w:b/>
                <w:bCs/>
                <w:color w:val="auto"/>
                <w:highlight w:val="none"/>
                <w:lang w:val="en-US" w:eastAsia="zh-CN"/>
              </w:rPr>
            </w:pPr>
            <w:r>
              <w:rPr>
                <w:rFonts w:hint="default" w:ascii="Times New Roman" w:hAnsi="Times New Roman" w:eastAsia="宋体" w:cs="Times New Roman"/>
                <w:color w:val="auto"/>
                <w:sz w:val="24"/>
                <w:szCs w:val="24"/>
                <w:highlight w:val="none"/>
              </w:rPr>
              <w:t>根据《新疆生态环境功能区划》，项目所在地属于“Ⅳ塔里木盆地暖温荒漠及绿洲农业生态区——Ⅳ</w:t>
            </w:r>
            <w:r>
              <w:rPr>
                <w:rFonts w:hint="default" w:ascii="Times New Roman" w:hAnsi="Times New Roman" w:eastAsia="宋体" w:cs="Times New Roman"/>
                <w:color w:val="auto"/>
                <w:sz w:val="24"/>
                <w:szCs w:val="24"/>
                <w:highlight w:val="none"/>
                <w:vertAlign w:val="subscript"/>
              </w:rPr>
              <w:t>1</w:t>
            </w:r>
            <w:r>
              <w:rPr>
                <w:rFonts w:hint="default" w:ascii="Times New Roman" w:hAnsi="Times New Roman" w:eastAsia="宋体" w:cs="Times New Roman"/>
                <w:color w:val="auto"/>
                <w:sz w:val="24"/>
                <w:szCs w:val="24"/>
                <w:highlight w:val="none"/>
              </w:rPr>
              <w:t>塔里木盆地西部、北部荒漠及绿洲农业生态亚区——57．三角洲绿洲农业盐渍化敏感生态功能区”，具体生态功能区划见下表。</w:t>
            </w:r>
            <w:r>
              <w:rPr>
                <w:rFonts w:hint="default" w:ascii="Times New Roman" w:hAnsi="Times New Roman" w:eastAsia="宋体" w:cs="Times New Roman"/>
                <w:color w:val="auto"/>
                <w:sz w:val="24"/>
                <w:szCs w:val="24"/>
                <w:highlight w:val="none"/>
                <w:lang w:val="en-US" w:eastAsia="zh-CN"/>
              </w:rPr>
              <w:t>项目在</w:t>
            </w:r>
            <w:r>
              <w:rPr>
                <w:rFonts w:hint="default" w:ascii="Times New Roman" w:hAnsi="Times New Roman" w:eastAsia="宋体" w:cs="Times New Roman"/>
                <w:color w:val="auto"/>
                <w:sz w:val="24"/>
                <w:szCs w:val="24"/>
                <w:highlight w:val="none"/>
              </w:rPr>
              <w:t>新疆生态环境功能区划</w:t>
            </w:r>
            <w:r>
              <w:rPr>
                <w:rFonts w:hint="default" w:ascii="Times New Roman" w:hAnsi="Times New Roman" w:eastAsia="宋体" w:cs="Times New Roman"/>
                <w:color w:val="auto"/>
                <w:sz w:val="24"/>
                <w:szCs w:val="24"/>
                <w:highlight w:val="none"/>
                <w:lang w:eastAsia="zh-CN"/>
              </w:rPr>
              <w:t>中的</w:t>
            </w:r>
            <w:r>
              <w:rPr>
                <w:rFonts w:hint="default" w:ascii="Times New Roman" w:hAnsi="Times New Roman" w:eastAsia="宋体" w:cs="Times New Roman"/>
                <w:color w:val="auto"/>
                <w:sz w:val="24"/>
                <w:szCs w:val="24"/>
                <w:highlight w:val="none"/>
                <w:lang w:val="en-US" w:eastAsia="zh-CN"/>
              </w:rPr>
              <w:t>位置见附图</w:t>
            </w:r>
            <w:r>
              <w:rPr>
                <w:rFonts w:hint="default" w:ascii="Times New Roman" w:hAnsi="Times New Roman" w:cs="Times New Roman"/>
                <w:color w:val="auto"/>
                <w:sz w:val="24"/>
                <w:szCs w:val="24"/>
                <w:highlight w:val="none"/>
                <w:lang w:val="en-US" w:eastAsia="zh-CN"/>
              </w:rPr>
              <w:t>8。</w:t>
            </w:r>
          </w:p>
          <w:p>
            <w:pPr>
              <w:pStyle w:val="26"/>
              <w:keepNext w:val="0"/>
              <w:keepLines w:val="0"/>
              <w:widowControl w:val="0"/>
              <w:suppressLineNumbers w:val="0"/>
              <w:adjustRightInd w:val="0"/>
              <w:snapToGrid w:val="0"/>
              <w:spacing w:before="0" w:beforeAutospacing="0" w:after="0" w:afterAutospacing="0" w:line="360" w:lineRule="auto"/>
              <w:ind w:left="0" w:leftChars="0" w:right="0" w:firstLine="482" w:firstLineChars="200"/>
              <w:jc w:val="center"/>
              <w:rPr>
                <w:rFonts w:hint="default" w:ascii="Times New Roman" w:hAnsi="Times New Roman" w:eastAsia="宋体" w:cs="Times New Roman"/>
                <w:b/>
                <w:bCs w:val="0"/>
                <w:color w:val="auto"/>
                <w:kern w:val="0"/>
                <w:sz w:val="24"/>
                <w:szCs w:val="24"/>
                <w:highlight w:val="none"/>
              </w:rPr>
            </w:pPr>
            <w:r>
              <w:rPr>
                <w:rFonts w:hint="default" w:ascii="Times New Roman" w:hAnsi="Times New Roman" w:eastAsia="宋体" w:cs="Times New Roman"/>
                <w:b/>
                <w:bCs w:val="0"/>
                <w:color w:val="auto"/>
                <w:kern w:val="0"/>
                <w:sz w:val="24"/>
                <w:szCs w:val="24"/>
                <w:highlight w:val="none"/>
                <w:lang w:val="en-US" w:eastAsia="zh-CN" w:bidi="ar"/>
              </w:rPr>
              <w:t>表3-1     本项目所属生态功能区主要特征</w:t>
            </w:r>
          </w:p>
          <w:tbl>
            <w:tblPr>
              <w:tblStyle w:val="28"/>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auto"/>
              <w:tblLayout w:type="fixed"/>
              <w:tblCellMar>
                <w:top w:w="0" w:type="dxa"/>
                <w:left w:w="108" w:type="dxa"/>
                <w:bottom w:w="0" w:type="dxa"/>
                <w:right w:w="108" w:type="dxa"/>
              </w:tblCellMar>
            </w:tblPr>
            <w:tblGrid>
              <w:gridCol w:w="2521"/>
              <w:gridCol w:w="548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369" w:hRule="atLeast"/>
                <w:jc w:val="center"/>
              </w:trPr>
              <w:tc>
                <w:tcPr>
                  <w:tcW w:w="1574" w:type="pct"/>
                  <w:tcBorders>
                    <w:top w:val="single" w:color="auto" w:sz="12" w:space="0"/>
                    <w:left w:val="single" w:color="auto" w:sz="12" w:space="0"/>
                    <w:bottom w:val="single" w:color="auto" w:sz="6" w:space="0"/>
                    <w:right w:val="single" w:color="auto" w:sz="6"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color w:val="auto"/>
                      <w:kern w:val="0"/>
                      <w:sz w:val="21"/>
                      <w:szCs w:val="21"/>
                      <w:highlight w:val="none"/>
                    </w:rPr>
                  </w:pPr>
                  <w:r>
                    <w:rPr>
                      <w:rFonts w:hint="default" w:ascii="Times New Roman" w:hAnsi="Times New Roman" w:eastAsia="宋体" w:cs="Times New Roman"/>
                      <w:b w:val="0"/>
                      <w:bCs/>
                      <w:color w:val="auto"/>
                      <w:kern w:val="0"/>
                      <w:sz w:val="21"/>
                      <w:szCs w:val="21"/>
                      <w:highlight w:val="none"/>
                      <w:lang w:val="en-US" w:eastAsia="zh-CN" w:bidi="ar"/>
                    </w:rPr>
                    <w:t>功能区</w:t>
                  </w:r>
                </w:p>
              </w:tc>
              <w:tc>
                <w:tcPr>
                  <w:tcW w:w="3425" w:type="pct"/>
                  <w:tcBorders>
                    <w:top w:val="single" w:color="auto" w:sz="12" w:space="0"/>
                    <w:left w:val="single" w:color="auto" w:sz="6" w:space="0"/>
                    <w:bottom w:val="single" w:color="auto" w:sz="6" w:space="0"/>
                    <w:right w:val="single" w:color="auto" w:sz="12"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b/>
                      <w:bCs w:val="0"/>
                      <w:color w:val="auto"/>
                      <w:kern w:val="0"/>
                      <w:sz w:val="21"/>
                      <w:szCs w:val="21"/>
                      <w:highlight w:val="none"/>
                    </w:rPr>
                  </w:pPr>
                  <w:r>
                    <w:rPr>
                      <w:rFonts w:hint="default" w:ascii="Times New Roman" w:hAnsi="Times New Roman" w:eastAsia="宋体" w:cs="Times New Roman"/>
                      <w:color w:val="auto"/>
                      <w:kern w:val="2"/>
                      <w:sz w:val="21"/>
                      <w:szCs w:val="21"/>
                      <w:highlight w:val="none"/>
                      <w:lang w:val="en-US" w:eastAsia="zh-CN" w:bidi="ar"/>
                    </w:rPr>
                    <w:t>57．三角洲绿洲农业盐渍化敏感生态功能区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324" w:hRule="atLeast"/>
                <w:jc w:val="center"/>
              </w:trPr>
              <w:tc>
                <w:tcPr>
                  <w:tcW w:w="1574" w:type="pct"/>
                  <w:tcBorders>
                    <w:top w:val="single" w:color="auto" w:sz="6" w:space="0"/>
                    <w:left w:val="single" w:color="auto" w:sz="12" w:space="0"/>
                    <w:bottom w:val="single" w:color="auto" w:sz="6" w:space="0"/>
                    <w:right w:val="single" w:color="auto" w:sz="6"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主要生态服务功能</w:t>
                  </w:r>
                </w:p>
              </w:tc>
              <w:tc>
                <w:tcPr>
                  <w:tcW w:w="3425" w:type="pct"/>
                  <w:tcBorders>
                    <w:top w:val="single" w:color="auto" w:sz="6" w:space="0"/>
                    <w:left w:val="single" w:color="auto" w:sz="6" w:space="0"/>
                    <w:bottom w:val="single" w:color="auto" w:sz="6"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2"/>
                      <w:sz w:val="21"/>
                      <w:szCs w:val="21"/>
                      <w:highlight w:val="none"/>
                      <w:lang w:val="en-US" w:eastAsia="zh-CN" w:bidi="ar"/>
                    </w:rPr>
                    <w:t>农畜产品生产、荒漠化控制、旅游</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288" w:hRule="atLeast"/>
                <w:jc w:val="center"/>
              </w:trPr>
              <w:tc>
                <w:tcPr>
                  <w:tcW w:w="1574" w:type="pct"/>
                  <w:tcBorders>
                    <w:top w:val="single" w:color="auto" w:sz="6" w:space="0"/>
                    <w:left w:val="single" w:color="auto" w:sz="12" w:space="0"/>
                    <w:bottom w:val="single" w:color="auto" w:sz="6" w:space="0"/>
                    <w:right w:val="single" w:color="auto" w:sz="6"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主要生态环境问题</w:t>
                  </w:r>
                </w:p>
              </w:tc>
              <w:tc>
                <w:tcPr>
                  <w:tcW w:w="3425" w:type="pct"/>
                  <w:tcBorders>
                    <w:top w:val="single" w:color="auto" w:sz="6" w:space="0"/>
                    <w:left w:val="single" w:color="auto" w:sz="6" w:space="0"/>
                    <w:bottom w:val="single" w:color="auto" w:sz="6"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2"/>
                      <w:sz w:val="21"/>
                      <w:szCs w:val="21"/>
                      <w:highlight w:val="none"/>
                      <w:lang w:val="en-US" w:eastAsia="zh-CN" w:bidi="ar"/>
                    </w:rPr>
                    <w:t>土壤盐渍化、三角洲下部天然水质差、城市污水处理滞后、浮尘天气多、土壤质量下降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340" w:hRule="atLeast"/>
                <w:jc w:val="center"/>
              </w:trPr>
              <w:tc>
                <w:tcPr>
                  <w:tcW w:w="1574" w:type="pct"/>
                  <w:tcBorders>
                    <w:top w:val="single" w:color="auto" w:sz="6" w:space="0"/>
                    <w:left w:val="single" w:color="auto" w:sz="12" w:space="0"/>
                    <w:bottom w:val="single" w:color="auto" w:sz="6" w:space="0"/>
                    <w:right w:val="single" w:color="auto" w:sz="6"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主要生态敏感因子、敏感程度</w:t>
                  </w:r>
                </w:p>
              </w:tc>
              <w:tc>
                <w:tcPr>
                  <w:tcW w:w="3425" w:type="pct"/>
                  <w:tcBorders>
                    <w:top w:val="single" w:color="auto" w:sz="6" w:space="0"/>
                    <w:left w:val="single" w:color="auto" w:sz="6" w:space="0"/>
                    <w:bottom w:val="single" w:color="auto" w:sz="6"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2"/>
                      <w:sz w:val="21"/>
                      <w:szCs w:val="21"/>
                      <w:highlight w:val="none"/>
                      <w:lang w:val="en-US" w:eastAsia="zh-CN" w:bidi="ar"/>
                    </w:rPr>
                    <w:t>生物多样性及其生境中度敏感，土地沙漠化、土壤盐渍化高度敏感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369" w:hRule="atLeast"/>
                <w:jc w:val="center"/>
              </w:trPr>
              <w:tc>
                <w:tcPr>
                  <w:tcW w:w="1574" w:type="pct"/>
                  <w:tcBorders>
                    <w:top w:val="single" w:color="auto" w:sz="6" w:space="0"/>
                    <w:left w:val="single" w:color="auto" w:sz="12" w:space="0"/>
                    <w:bottom w:val="single" w:color="auto" w:sz="6" w:space="0"/>
                    <w:right w:val="single" w:color="auto" w:sz="6"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主要保护目标</w:t>
                  </w:r>
                </w:p>
              </w:tc>
              <w:tc>
                <w:tcPr>
                  <w:tcW w:w="3425" w:type="pct"/>
                  <w:tcBorders>
                    <w:top w:val="single" w:color="auto" w:sz="6" w:space="0"/>
                    <w:left w:val="single" w:color="auto" w:sz="6" w:space="0"/>
                    <w:bottom w:val="single" w:color="auto" w:sz="6" w:space="0"/>
                    <w:right w:val="single" w:color="auto" w:sz="12"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2"/>
                      <w:sz w:val="21"/>
                      <w:szCs w:val="21"/>
                      <w:highlight w:val="none"/>
                      <w:lang w:val="en-US" w:eastAsia="zh-CN" w:bidi="ar"/>
                    </w:rPr>
                    <w:t>改善人畜饮用水质、防治地方病、引洪放淤扩大植被覆盖、建设城镇污水处理系统、加强农田投入品的使用管理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359" w:hRule="atLeast"/>
                <w:jc w:val="center"/>
              </w:trPr>
              <w:tc>
                <w:tcPr>
                  <w:tcW w:w="1574" w:type="pct"/>
                  <w:tcBorders>
                    <w:top w:val="single" w:color="auto" w:sz="6" w:space="0"/>
                    <w:left w:val="single" w:color="auto" w:sz="12" w:space="0"/>
                    <w:bottom w:val="single" w:color="auto" w:sz="6" w:space="0"/>
                    <w:right w:val="single" w:color="auto" w:sz="6"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主要保护措施</w:t>
                  </w:r>
                </w:p>
              </w:tc>
              <w:tc>
                <w:tcPr>
                  <w:tcW w:w="3425" w:type="pct"/>
                  <w:tcBorders>
                    <w:top w:val="single" w:color="auto" w:sz="6" w:space="0"/>
                    <w:left w:val="single" w:color="auto" w:sz="6" w:space="0"/>
                    <w:bottom w:val="single" w:color="auto" w:sz="6" w:space="0"/>
                    <w:right w:val="single" w:color="auto" w:sz="12"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2"/>
                      <w:sz w:val="21"/>
                      <w:szCs w:val="21"/>
                      <w:highlight w:val="none"/>
                      <w:lang w:val="en-US" w:eastAsia="zh-CN" w:bidi="ar"/>
                    </w:rPr>
                    <w:t>改善人畜饮用水质、防治地方病、引洪放淤扩大植被覆盖、建设城镇污水处理系统、加强农田投入品的使用管理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auto"/>
                <w:tblCellMar>
                  <w:top w:w="0" w:type="dxa"/>
                  <w:left w:w="108" w:type="dxa"/>
                  <w:bottom w:w="0" w:type="dxa"/>
                  <w:right w:w="108" w:type="dxa"/>
                </w:tblCellMar>
              </w:tblPrEx>
              <w:trPr>
                <w:trHeight w:val="90" w:hRule="atLeast"/>
                <w:jc w:val="center"/>
              </w:trPr>
              <w:tc>
                <w:tcPr>
                  <w:tcW w:w="1574" w:type="pct"/>
                  <w:tcBorders>
                    <w:top w:val="single" w:color="auto" w:sz="6" w:space="0"/>
                    <w:left w:val="single" w:color="auto" w:sz="12" w:space="0"/>
                    <w:bottom w:val="single" w:color="auto" w:sz="12" w:space="0"/>
                    <w:right w:val="single" w:color="auto" w:sz="6"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0"/>
                      <w:sz w:val="21"/>
                      <w:szCs w:val="21"/>
                      <w:highlight w:val="none"/>
                      <w:lang w:val="en-US" w:eastAsia="zh-CN" w:bidi="ar"/>
                    </w:rPr>
                    <w:t>适宜发展方向</w:t>
                  </w:r>
                </w:p>
              </w:tc>
              <w:tc>
                <w:tcPr>
                  <w:tcW w:w="3425" w:type="pct"/>
                  <w:tcBorders>
                    <w:top w:val="single" w:color="auto" w:sz="6" w:space="0"/>
                    <w:left w:val="single" w:color="auto" w:sz="6" w:space="0"/>
                    <w:bottom w:val="single" w:color="auto" w:sz="12" w:space="0"/>
                    <w:right w:val="single" w:color="auto" w:sz="12" w:space="0"/>
                  </w:tcBorders>
                  <w:shd w:val="clear" w:color="auto" w:fill="auto"/>
                  <w:vAlign w:val="center"/>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rPr>
                  </w:pPr>
                  <w:r>
                    <w:rPr>
                      <w:rFonts w:hint="default" w:ascii="Times New Roman" w:hAnsi="Times New Roman" w:eastAsia="宋体" w:cs="Times New Roman"/>
                      <w:color w:val="auto"/>
                      <w:kern w:val="2"/>
                      <w:sz w:val="21"/>
                      <w:szCs w:val="21"/>
                      <w:highlight w:val="none"/>
                      <w:lang w:val="en-US" w:eastAsia="zh-CN" w:bidi="ar"/>
                    </w:rPr>
                    <w:t>以农牧业为基础，建设棉花及特色林果业基地，发展民俗风情旅游</w:t>
                  </w:r>
                </w:p>
              </w:tc>
            </w:tr>
          </w:tbl>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36" w:lineRule="auto"/>
              <w:ind w:left="0" w:right="0"/>
              <w:textAlignment w:val="auto"/>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lang w:val="en-US" w:eastAsia="zh-CN"/>
              </w:rPr>
              <w:t>1.3生态现状调查</w:t>
            </w:r>
          </w:p>
          <w:p>
            <w:pPr>
              <w:keepNext w:val="0"/>
              <w:keepLines w:val="0"/>
              <w:pageBreakBefore w:val="0"/>
              <w:widowControl/>
              <w:suppressLineNumbers w:val="0"/>
              <w:kinsoku/>
              <w:wordWrap/>
              <w:overflowPunct/>
              <w:topLinePunct w:val="0"/>
              <w:autoSpaceDE/>
              <w:autoSpaceDN/>
              <w:bidi w:val="0"/>
              <w:spacing w:before="0" w:beforeLines="0" w:beforeAutospacing="0" w:after="0" w:afterLines="0" w:afterAutospacing="0" w:line="336" w:lineRule="auto"/>
              <w:ind w:left="0" w:right="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lang w:eastAsia="zh-CN"/>
              </w:rPr>
              <w:t>（</w:t>
            </w:r>
            <w:r>
              <w:rPr>
                <w:rFonts w:hint="default" w:ascii="Times New Roman" w:hAnsi="Times New Roman" w:eastAsia="宋体" w:cs="Times New Roman"/>
                <w:b/>
                <w:color w:val="auto"/>
                <w:sz w:val="24"/>
                <w:szCs w:val="24"/>
                <w:highlight w:val="none"/>
                <w:lang w:val="en-US" w:eastAsia="zh-CN"/>
              </w:rPr>
              <w:t>1</w:t>
            </w:r>
            <w:r>
              <w:rPr>
                <w:rFonts w:hint="default" w:ascii="Times New Roman" w:hAnsi="Times New Roman" w:eastAsia="宋体" w:cs="Times New Roman"/>
                <w:b/>
                <w:color w:val="auto"/>
                <w:sz w:val="24"/>
                <w:szCs w:val="24"/>
                <w:highlight w:val="none"/>
                <w:lang w:eastAsia="zh-CN"/>
              </w:rPr>
              <w:t>）</w:t>
            </w:r>
            <w:r>
              <w:rPr>
                <w:rFonts w:hint="default" w:ascii="Times New Roman" w:hAnsi="Times New Roman" w:eastAsia="宋体" w:cs="Times New Roman"/>
                <w:b/>
                <w:color w:val="auto"/>
                <w:sz w:val="24"/>
                <w:szCs w:val="24"/>
                <w:highlight w:val="none"/>
              </w:rPr>
              <w:t>土地利用类型</w:t>
            </w:r>
          </w:p>
          <w:p>
            <w:pPr>
              <w:keepNext w:val="0"/>
              <w:keepLines w:val="0"/>
              <w:pageBreakBefore w:val="0"/>
              <w:widowControl/>
              <w:suppressLineNumbers w:val="0"/>
              <w:kinsoku/>
              <w:wordWrap/>
              <w:overflowPunct/>
              <w:topLinePunct w:val="0"/>
              <w:autoSpaceDE/>
              <w:autoSpaceDN/>
              <w:bidi w:val="0"/>
              <w:spacing w:before="0" w:beforeLines="0" w:beforeAutospacing="0" w:after="0" w:afterLines="0" w:afterAutospacing="0" w:line="336" w:lineRule="auto"/>
              <w:ind w:left="0" w:right="0"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根据调查结果，本项目输电线路沿线途经乡村居民点、果园、农田、乡村公路等区域。经现场实地核查，</w:t>
            </w:r>
            <w:r>
              <w:rPr>
                <w:rFonts w:hint="default" w:ascii="Times New Roman" w:hAnsi="Times New Roman" w:cs="Times New Roman"/>
                <w:color w:val="auto"/>
                <w:sz w:val="24"/>
                <w:szCs w:val="24"/>
                <w:highlight w:val="none"/>
                <w:lang w:val="en-US" w:eastAsia="zh-CN"/>
              </w:rPr>
              <w:t>变电站及线路</w:t>
            </w:r>
            <w:r>
              <w:rPr>
                <w:rFonts w:hint="default" w:ascii="Times New Roman" w:hAnsi="Times New Roman" w:eastAsia="宋体" w:cs="Times New Roman"/>
                <w:color w:val="auto"/>
                <w:sz w:val="24"/>
                <w:szCs w:val="24"/>
                <w:highlight w:val="none"/>
                <w:lang w:val="en-US" w:eastAsia="zh-CN"/>
              </w:rPr>
              <w:t>工程占地以</w:t>
            </w:r>
            <w:r>
              <w:rPr>
                <w:rFonts w:hint="default" w:ascii="Times New Roman" w:hAnsi="Times New Roman" w:cs="Times New Roman"/>
                <w:color w:val="auto"/>
                <w:sz w:val="24"/>
                <w:szCs w:val="24"/>
                <w:highlight w:val="none"/>
                <w:lang w:val="en-US" w:eastAsia="zh-CN"/>
              </w:rPr>
              <w:t>其他草地、盐碱地</w:t>
            </w:r>
            <w:r>
              <w:rPr>
                <w:rFonts w:hint="default" w:ascii="Times New Roman" w:hAnsi="Times New Roman" w:eastAsia="宋体" w:cs="Times New Roman"/>
                <w:color w:val="auto"/>
                <w:sz w:val="24"/>
                <w:szCs w:val="24"/>
                <w:highlight w:val="none"/>
                <w:lang w:val="en-US" w:eastAsia="zh-CN"/>
              </w:rPr>
              <w:t>为主要地类，同时涉及有林地、农用地、村庄建设用地</w:t>
            </w:r>
            <w:r>
              <w:rPr>
                <w:rFonts w:hint="default"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本项目所在区域土地利用现状见附图</w:t>
            </w:r>
            <w:r>
              <w:rPr>
                <w:rFonts w:hint="default" w:ascii="Times New Roman" w:hAnsi="Times New Roman" w:cs="Times New Roman"/>
                <w:color w:val="auto"/>
                <w:sz w:val="24"/>
                <w:szCs w:val="24"/>
                <w:highlight w:val="none"/>
                <w:lang w:val="en-US" w:eastAsia="zh-CN"/>
              </w:rPr>
              <w:t>9</w:t>
            </w:r>
            <w:r>
              <w:rPr>
                <w:rFonts w:hint="default" w:ascii="Times New Roman" w:hAnsi="Times New Roman" w:eastAsia="宋体" w:cs="Times New Roman"/>
                <w:color w:val="auto"/>
                <w:sz w:val="24"/>
                <w:szCs w:val="24"/>
                <w:highlight w:val="none"/>
                <w:lang w:val="en-US" w:eastAsia="zh-CN"/>
              </w:rPr>
              <w:t>。</w:t>
            </w:r>
          </w:p>
          <w:p>
            <w:pPr>
              <w:keepNext w:val="0"/>
              <w:keepLines w:val="0"/>
              <w:pageBreakBefore w:val="0"/>
              <w:widowControl/>
              <w:suppressLineNumbers w:val="0"/>
              <w:kinsoku/>
              <w:wordWrap/>
              <w:overflowPunct/>
              <w:topLinePunct w:val="0"/>
              <w:autoSpaceDE/>
              <w:autoSpaceDN/>
              <w:bidi w:val="0"/>
              <w:spacing w:before="0" w:beforeLines="0" w:beforeAutospacing="0" w:after="0" w:afterLines="0" w:afterAutospacing="0" w:line="336" w:lineRule="auto"/>
              <w:ind w:left="0" w:right="0"/>
              <w:textAlignment w:val="auto"/>
              <w:rPr>
                <w:rFonts w:hint="default" w:ascii="Times New Roman" w:hAnsi="Times New Roman" w:eastAsia="宋体" w:cs="Times New Roman"/>
                <w:b/>
                <w:color w:val="auto"/>
                <w:sz w:val="24"/>
                <w:szCs w:val="24"/>
                <w:highlight w:val="none"/>
                <w:lang w:eastAsia="zh-CN"/>
              </w:rPr>
            </w:pPr>
            <w:r>
              <w:rPr>
                <w:rFonts w:hint="default" w:ascii="Times New Roman" w:hAnsi="Times New Roman" w:eastAsia="宋体" w:cs="Times New Roman"/>
                <w:b/>
                <w:color w:val="auto"/>
                <w:sz w:val="24"/>
                <w:szCs w:val="24"/>
                <w:highlight w:val="none"/>
                <w:lang w:eastAsia="zh-CN"/>
              </w:rPr>
              <w:t>（</w:t>
            </w:r>
            <w:r>
              <w:rPr>
                <w:rFonts w:hint="default" w:ascii="Times New Roman" w:hAnsi="Times New Roman" w:eastAsia="宋体" w:cs="Times New Roman"/>
                <w:b/>
                <w:color w:val="auto"/>
                <w:sz w:val="24"/>
                <w:szCs w:val="24"/>
                <w:highlight w:val="none"/>
                <w:lang w:val="en-US" w:eastAsia="zh-CN"/>
              </w:rPr>
              <w:t>2</w:t>
            </w:r>
            <w:r>
              <w:rPr>
                <w:rFonts w:hint="default" w:ascii="Times New Roman" w:hAnsi="Times New Roman" w:eastAsia="宋体" w:cs="Times New Roman"/>
                <w:b/>
                <w:color w:val="auto"/>
                <w:sz w:val="24"/>
                <w:szCs w:val="24"/>
                <w:highlight w:val="none"/>
                <w:lang w:eastAsia="zh-CN"/>
              </w:rPr>
              <w:t>）土壤类型</w:t>
            </w:r>
          </w:p>
          <w:p>
            <w:pPr>
              <w:keepNext w:val="0"/>
              <w:keepLines w:val="0"/>
              <w:pageBreakBefore w:val="0"/>
              <w:widowControl/>
              <w:suppressLineNumbers w:val="0"/>
              <w:kinsoku/>
              <w:wordWrap/>
              <w:overflowPunct/>
              <w:topLinePunct w:val="0"/>
              <w:autoSpaceDE/>
              <w:autoSpaceDN/>
              <w:bidi w:val="0"/>
              <w:spacing w:before="0" w:beforeLines="0" w:beforeAutospacing="0" w:after="0" w:afterLines="0" w:afterAutospacing="0" w:line="336" w:lineRule="auto"/>
              <w:ind w:left="0" w:right="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根据现场踏勘，本项目</w:t>
            </w:r>
            <w:r>
              <w:rPr>
                <w:rFonts w:hint="default" w:ascii="Times New Roman" w:hAnsi="Times New Roman" w:eastAsia="宋体" w:cs="Times New Roman"/>
                <w:color w:val="auto"/>
                <w:sz w:val="24"/>
                <w:szCs w:val="24"/>
                <w:highlight w:val="none"/>
                <w:lang w:val="en-US" w:eastAsia="zh-CN"/>
              </w:rPr>
              <w:t>线路沿线及变电站</w:t>
            </w:r>
            <w:r>
              <w:rPr>
                <w:rFonts w:hint="default" w:ascii="Times New Roman" w:hAnsi="Times New Roman" w:eastAsia="宋体" w:cs="Times New Roman"/>
                <w:color w:val="auto"/>
                <w:sz w:val="24"/>
                <w:szCs w:val="24"/>
                <w:highlight w:val="none"/>
              </w:rPr>
              <w:t>工程占地范围内分布土壤共5类，分别为典型盐土、盐化潮土、盐化灌淤土、盐化草甸土、草甸盐土，均属区域盐碱化土壤</w:t>
            </w:r>
            <w:r>
              <w:rPr>
                <w:rFonts w:hint="default"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所在位置土壤类型图见附图</w:t>
            </w:r>
            <w:r>
              <w:rPr>
                <w:rFonts w:hint="default" w:ascii="Times New Roman" w:hAnsi="Times New Roman" w:cs="Times New Roman"/>
                <w:color w:val="auto"/>
                <w:sz w:val="24"/>
                <w:szCs w:val="24"/>
                <w:highlight w:val="none"/>
                <w:lang w:val="en-US" w:eastAsia="zh-CN"/>
              </w:rPr>
              <w:t>10</w:t>
            </w:r>
            <w:r>
              <w:rPr>
                <w:rFonts w:hint="default" w:ascii="Times New Roman" w:hAnsi="Times New Roman" w:eastAsia="宋体" w:cs="Times New Roman"/>
                <w:color w:val="auto"/>
                <w:sz w:val="24"/>
                <w:szCs w:val="24"/>
                <w:highlight w:val="none"/>
              </w:rPr>
              <w:t>。</w:t>
            </w:r>
          </w:p>
          <w:p>
            <w:pPr>
              <w:keepNext w:val="0"/>
              <w:keepLines w:val="0"/>
              <w:pageBreakBefore w:val="0"/>
              <w:widowControl/>
              <w:suppressLineNumbers w:val="0"/>
              <w:kinsoku/>
              <w:wordWrap/>
              <w:overflowPunct/>
              <w:topLinePunct w:val="0"/>
              <w:autoSpaceDE/>
              <w:autoSpaceDN/>
              <w:bidi w:val="0"/>
              <w:spacing w:before="0" w:beforeLines="0" w:beforeAutospacing="0" w:after="0" w:afterLines="0" w:afterAutospacing="0" w:line="336" w:lineRule="auto"/>
              <w:ind w:left="0" w:right="0"/>
              <w:textAlignment w:val="auto"/>
              <w:rPr>
                <w:rFonts w:hint="default" w:ascii="Times New Roman" w:hAnsi="Times New Roman" w:eastAsia="宋体" w:cs="Times New Roman"/>
                <w:b/>
                <w:color w:val="auto"/>
                <w:sz w:val="24"/>
                <w:szCs w:val="24"/>
                <w:highlight w:val="none"/>
                <w:lang w:eastAsia="zh-CN"/>
              </w:rPr>
            </w:pPr>
            <w:r>
              <w:rPr>
                <w:rFonts w:hint="default" w:ascii="Times New Roman" w:hAnsi="Times New Roman" w:eastAsia="宋体" w:cs="Times New Roman"/>
                <w:b/>
                <w:color w:val="auto"/>
                <w:sz w:val="24"/>
                <w:szCs w:val="24"/>
                <w:highlight w:val="none"/>
                <w:lang w:eastAsia="zh-CN"/>
              </w:rPr>
              <w:t>（</w:t>
            </w:r>
            <w:r>
              <w:rPr>
                <w:rFonts w:hint="default" w:ascii="Times New Roman" w:hAnsi="Times New Roman" w:eastAsia="宋体" w:cs="Times New Roman"/>
                <w:b/>
                <w:color w:val="auto"/>
                <w:sz w:val="24"/>
                <w:szCs w:val="24"/>
                <w:highlight w:val="none"/>
                <w:lang w:val="en-US" w:eastAsia="zh-CN"/>
              </w:rPr>
              <w:t>3</w:t>
            </w:r>
            <w:r>
              <w:rPr>
                <w:rFonts w:hint="default" w:ascii="Times New Roman" w:hAnsi="Times New Roman" w:eastAsia="宋体" w:cs="Times New Roman"/>
                <w:b/>
                <w:color w:val="auto"/>
                <w:sz w:val="24"/>
                <w:szCs w:val="24"/>
                <w:highlight w:val="none"/>
                <w:lang w:eastAsia="zh-CN"/>
              </w:rPr>
              <w:t>）植被、动物</w:t>
            </w:r>
          </w:p>
          <w:p>
            <w:pPr>
              <w:keepNext w:val="0"/>
              <w:keepLines w:val="0"/>
              <w:pageBreakBefore w:val="0"/>
              <w:widowControl/>
              <w:suppressLineNumbers w:val="0"/>
              <w:kinsoku/>
              <w:wordWrap/>
              <w:overflowPunct/>
              <w:topLinePunct w:val="0"/>
              <w:autoSpaceDE/>
              <w:autoSpaceDN/>
              <w:bidi w:val="0"/>
              <w:spacing w:before="0" w:beforeLines="0" w:beforeAutospacing="0" w:after="0" w:afterLines="0" w:afterAutospacing="0" w:line="336" w:lineRule="auto"/>
              <w:ind w:left="0" w:right="0" w:firstLine="480"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项目所在地主要原生植被为花花柴草甸，线路途经地形复杂，沿线穿插分布人工经济作物、多枝柽柳荒漠、盐生草荒漠与芦苇草甸等多种植被类型植被覆盖度约</w:t>
            </w:r>
            <w:r>
              <w:rPr>
                <w:rFonts w:hint="default" w:ascii="Times New Roman" w:hAnsi="Times New Roman" w:cs="Times New Roman"/>
                <w:color w:val="auto"/>
                <w:sz w:val="24"/>
                <w:szCs w:val="24"/>
                <w:highlight w:val="none"/>
                <w:lang w:val="en-US" w:eastAsia="zh-CN"/>
              </w:rPr>
              <w:t>15</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20</w:t>
            </w:r>
            <w:r>
              <w:rPr>
                <w:rFonts w:hint="default" w:ascii="Times New Roman" w:hAnsi="Times New Roman" w:eastAsia="宋体"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对照《国家重点保护野生植物名录</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2021 版</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》和《新疆维吾尔自治区重点保护野生植物名录》</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新政发〔2023〕63 号</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比对，项目区内无国家及自治区级重点保护野生植物。</w:t>
            </w:r>
            <w:r>
              <w:rPr>
                <w:rFonts w:hint="default" w:ascii="Times New Roman" w:hAnsi="Times New Roman" w:cs="Times New Roman"/>
                <w:color w:val="auto"/>
                <w:sz w:val="24"/>
                <w:szCs w:val="24"/>
                <w:highlight w:val="none"/>
                <w:lang w:val="en-US" w:eastAsia="zh-CN"/>
              </w:rPr>
              <w:t>项目区常见的植物见表3-2</w:t>
            </w:r>
            <w:r>
              <w:rPr>
                <w:rFonts w:hint="default" w:ascii="Times New Roman" w:hAnsi="Times New Roman" w:eastAsia="宋体" w:cs="Times New Roman"/>
                <w:color w:val="auto"/>
                <w:sz w:val="24"/>
                <w:szCs w:val="24"/>
                <w:highlight w:val="none"/>
                <w:lang w:val="en-US" w:eastAsia="zh-CN"/>
              </w:rPr>
              <w:t>。</w:t>
            </w:r>
          </w:p>
          <w:p>
            <w:pPr>
              <w:keepNext w:val="0"/>
              <w:keepLines w:val="0"/>
              <w:widowControl/>
              <w:suppressLineNumbers w:val="0"/>
              <w:spacing w:before="0" w:beforeLines="0" w:beforeAutospacing="0" w:after="0" w:afterLines="0" w:afterAutospacing="0" w:line="360" w:lineRule="auto"/>
              <w:ind w:left="0" w:right="0" w:firstLine="482" w:firstLineChars="200"/>
              <w:jc w:val="center"/>
              <w:rPr>
                <w:rFonts w:hint="default" w:ascii="Times New Roman" w:hAnsi="Times New Roman" w:eastAsia="宋体" w:cs="Times New Roman"/>
                <w:b/>
                <w:bCs w:val="0"/>
                <w:color w:val="auto"/>
                <w:sz w:val="24"/>
                <w:szCs w:val="24"/>
                <w:highlight w:val="none"/>
                <w:lang w:val="en-US" w:eastAsia="zh-CN"/>
              </w:rPr>
            </w:pPr>
            <w:r>
              <w:rPr>
                <w:rFonts w:hint="default" w:ascii="Times New Roman" w:hAnsi="Times New Roman" w:cs="Times New Roman"/>
                <w:b/>
                <w:bCs w:val="0"/>
                <w:color w:val="auto"/>
                <w:kern w:val="0"/>
                <w:sz w:val="24"/>
                <w:szCs w:val="24"/>
                <w:highlight w:val="none"/>
                <w:lang w:val="en-US" w:eastAsia="zh-CN" w:bidi="ar"/>
              </w:rPr>
              <w:t xml:space="preserve">表3-2    </w:t>
            </w:r>
            <w:r>
              <w:rPr>
                <w:rFonts w:hint="default" w:ascii="Times New Roman" w:hAnsi="Times New Roman" w:cs="Times New Roman"/>
                <w:b/>
                <w:bCs w:val="0"/>
                <w:color w:val="auto"/>
                <w:sz w:val="24"/>
                <w:szCs w:val="24"/>
                <w:highlight w:val="none"/>
                <w:lang w:val="en-US" w:eastAsia="zh-CN"/>
              </w:rPr>
              <w:t>项目区常见植被</w:t>
            </w:r>
          </w:p>
          <w:tbl>
            <w:tblPr>
              <w:tblStyle w:val="29"/>
              <w:tblW w:w="4998" w:type="pct"/>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97"/>
              <w:gridCol w:w="2602"/>
              <w:gridCol w:w="440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3" w:hRule="atLeast"/>
              </w:trPr>
              <w:tc>
                <w:tcPr>
                  <w:tcW w:w="622"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cs="Times New Roman"/>
                      <w:i w:val="0"/>
                      <w:iCs w:val="0"/>
                      <w:color w:val="auto"/>
                      <w:kern w:val="0"/>
                      <w:sz w:val="21"/>
                      <w:szCs w:val="21"/>
                      <w:highlight w:val="none"/>
                      <w:lang w:val="en-US" w:eastAsia="zh-CN" w:bidi="ar"/>
                    </w:rPr>
                    <w:t>序号</w:t>
                  </w:r>
                </w:p>
              </w:tc>
              <w:tc>
                <w:tcPr>
                  <w:tcW w:w="1625"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cs="Times New Roman"/>
                      <w:i w:val="0"/>
                      <w:iCs w:val="0"/>
                      <w:color w:val="auto"/>
                      <w:kern w:val="0"/>
                      <w:sz w:val="21"/>
                      <w:szCs w:val="21"/>
                      <w:highlight w:val="none"/>
                      <w:lang w:val="en-US" w:eastAsia="zh-CN" w:bidi="ar"/>
                    </w:rPr>
                    <w:t>植被名称</w:t>
                  </w:r>
                </w:p>
              </w:tc>
              <w:tc>
                <w:tcPr>
                  <w:tcW w:w="2751"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cs="Times New Roman"/>
                      <w:i w:val="0"/>
                      <w:iCs w:val="0"/>
                      <w:color w:val="auto"/>
                      <w:kern w:val="0"/>
                      <w:sz w:val="21"/>
                      <w:szCs w:val="21"/>
                      <w:highlight w:val="none"/>
                      <w:lang w:val="en-US" w:eastAsia="zh-CN" w:bidi="ar"/>
                    </w:rPr>
                    <w:t>拉丁名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22"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cs="Times New Roman"/>
                      <w:i w:val="0"/>
                      <w:iCs w:val="0"/>
                      <w:color w:val="auto"/>
                      <w:kern w:val="0"/>
                      <w:sz w:val="21"/>
                      <w:szCs w:val="21"/>
                      <w:highlight w:val="none"/>
                      <w:lang w:val="en-US" w:eastAsia="zh-CN" w:bidi="ar"/>
                    </w:rPr>
                    <w:t>1</w:t>
                  </w:r>
                </w:p>
              </w:tc>
              <w:tc>
                <w:tcPr>
                  <w:tcW w:w="1625"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eastAsia="宋体" w:cs="Times New Roman"/>
                      <w:i w:val="0"/>
                      <w:iCs w:val="0"/>
                      <w:color w:val="auto"/>
                      <w:kern w:val="0"/>
                      <w:sz w:val="21"/>
                      <w:szCs w:val="21"/>
                      <w:highlight w:val="none"/>
                      <w:lang w:val="en-US" w:eastAsia="zh-CN" w:bidi="ar"/>
                    </w:rPr>
                    <w:t>花花柴</w:t>
                  </w:r>
                </w:p>
              </w:tc>
              <w:tc>
                <w:tcPr>
                  <w:tcW w:w="2751"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iCs/>
                      <w:color w:val="auto"/>
                      <w:kern w:val="0"/>
                      <w:sz w:val="21"/>
                      <w:szCs w:val="21"/>
                      <w:highlight w:val="none"/>
                      <w:lang w:val="en-US" w:eastAsia="zh-CN" w:bidi="ar"/>
                    </w:rPr>
                  </w:pPr>
                  <w:r>
                    <w:rPr>
                      <w:rFonts w:hint="default" w:ascii="Times New Roman" w:hAnsi="Times New Roman" w:eastAsia="宋体" w:cs="Times New Roman"/>
                      <w:i/>
                      <w:iCs/>
                      <w:color w:val="auto"/>
                      <w:kern w:val="0"/>
                      <w:sz w:val="21"/>
                      <w:szCs w:val="21"/>
                      <w:highlight w:val="none"/>
                      <w:lang w:val="en-US" w:eastAsia="zh-CN" w:bidi="ar"/>
                    </w:rPr>
                    <w:t>Kareliniacaspia</w:t>
                  </w:r>
                  <w:r>
                    <w:rPr>
                      <w:rFonts w:hint="eastAsia" w:ascii="Times New Roman" w:hAnsi="Times New Roman" w:cs="Times New Roman"/>
                      <w:i/>
                      <w:iCs/>
                      <w:color w:val="auto"/>
                      <w:kern w:val="0"/>
                      <w:sz w:val="21"/>
                      <w:szCs w:val="21"/>
                      <w:highlight w:val="none"/>
                      <w:lang w:val="en-US" w:eastAsia="zh-CN" w:bidi="ar"/>
                    </w:rPr>
                    <w:t>（</w:t>
                  </w:r>
                  <w:r>
                    <w:rPr>
                      <w:rFonts w:hint="default" w:ascii="Times New Roman" w:hAnsi="Times New Roman" w:eastAsia="宋体" w:cs="Times New Roman"/>
                      <w:i/>
                      <w:iCs/>
                      <w:color w:val="auto"/>
                      <w:kern w:val="0"/>
                      <w:sz w:val="21"/>
                      <w:szCs w:val="21"/>
                      <w:highlight w:val="none"/>
                      <w:lang w:val="en-US" w:eastAsia="zh-CN" w:bidi="ar"/>
                    </w:rPr>
                    <w:t>Pall.</w:t>
                  </w:r>
                  <w:r>
                    <w:rPr>
                      <w:rFonts w:hint="eastAsia" w:ascii="Times New Roman" w:hAnsi="Times New Roman" w:cs="Times New Roman"/>
                      <w:i/>
                      <w:iCs/>
                      <w:color w:val="auto"/>
                      <w:kern w:val="0"/>
                      <w:sz w:val="21"/>
                      <w:szCs w:val="21"/>
                      <w:highlight w:val="none"/>
                      <w:lang w:val="en-US" w:eastAsia="zh-CN" w:bidi="ar"/>
                    </w:rPr>
                    <w:t>）</w:t>
                  </w:r>
                  <w:r>
                    <w:rPr>
                      <w:rFonts w:hint="default" w:ascii="Times New Roman" w:hAnsi="Times New Roman" w:eastAsia="宋体" w:cs="Times New Roman"/>
                      <w:i/>
                      <w:iCs/>
                      <w:color w:val="auto"/>
                      <w:kern w:val="0"/>
                      <w:sz w:val="21"/>
                      <w:szCs w:val="21"/>
                      <w:highlight w:val="none"/>
                      <w:lang w:val="en-US" w:eastAsia="zh-CN" w:bidi="ar"/>
                    </w:rPr>
                    <w:t>Less.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22"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cs="Times New Roman"/>
                      <w:i w:val="0"/>
                      <w:iCs w:val="0"/>
                      <w:color w:val="auto"/>
                      <w:kern w:val="0"/>
                      <w:sz w:val="21"/>
                      <w:szCs w:val="21"/>
                      <w:highlight w:val="none"/>
                      <w:lang w:val="en-US" w:eastAsia="zh-CN" w:bidi="ar"/>
                    </w:rPr>
                    <w:t>2</w:t>
                  </w:r>
                </w:p>
              </w:tc>
              <w:tc>
                <w:tcPr>
                  <w:tcW w:w="1625"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eastAsia="宋体" w:cs="Times New Roman"/>
                      <w:i w:val="0"/>
                      <w:iCs w:val="0"/>
                      <w:color w:val="auto"/>
                      <w:kern w:val="0"/>
                      <w:sz w:val="21"/>
                      <w:szCs w:val="21"/>
                      <w:highlight w:val="none"/>
                      <w:lang w:val="en-US" w:eastAsia="zh-CN" w:bidi="ar"/>
                    </w:rPr>
                    <w:t>红柳</w:t>
                  </w:r>
                </w:p>
              </w:tc>
              <w:tc>
                <w:tcPr>
                  <w:tcW w:w="2751"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iCs/>
                      <w:color w:val="auto"/>
                      <w:kern w:val="0"/>
                      <w:sz w:val="21"/>
                      <w:szCs w:val="21"/>
                      <w:highlight w:val="none"/>
                      <w:lang w:val="en-US" w:eastAsia="zh-CN" w:bidi="ar"/>
                    </w:rPr>
                  </w:pPr>
                  <w:r>
                    <w:rPr>
                      <w:rFonts w:hint="default" w:ascii="Times New Roman" w:hAnsi="Times New Roman" w:eastAsia="宋体" w:cs="Times New Roman"/>
                      <w:i/>
                      <w:iCs/>
                      <w:color w:val="auto"/>
                      <w:kern w:val="0"/>
                      <w:sz w:val="21"/>
                      <w:szCs w:val="21"/>
                      <w:highlight w:val="none"/>
                      <w:lang w:val="en-US" w:eastAsia="zh-CN" w:bidi="ar"/>
                    </w:rPr>
                    <w:t>TamarixramosissimaLedeb.</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22"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cs="Times New Roman"/>
                      <w:i w:val="0"/>
                      <w:iCs w:val="0"/>
                      <w:color w:val="auto"/>
                      <w:kern w:val="0"/>
                      <w:sz w:val="21"/>
                      <w:szCs w:val="21"/>
                      <w:highlight w:val="none"/>
                      <w:lang w:val="en-US" w:eastAsia="zh-CN" w:bidi="ar"/>
                    </w:rPr>
                    <w:t>3</w:t>
                  </w:r>
                </w:p>
              </w:tc>
              <w:tc>
                <w:tcPr>
                  <w:tcW w:w="1625"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eastAsia="宋体" w:cs="Times New Roman"/>
                      <w:i w:val="0"/>
                      <w:iCs w:val="0"/>
                      <w:color w:val="auto"/>
                      <w:kern w:val="0"/>
                      <w:sz w:val="21"/>
                      <w:szCs w:val="21"/>
                      <w:highlight w:val="none"/>
                      <w:lang w:val="en-US" w:eastAsia="zh-CN" w:bidi="ar"/>
                    </w:rPr>
                    <w:t>芦苇</w:t>
                  </w:r>
                </w:p>
              </w:tc>
              <w:tc>
                <w:tcPr>
                  <w:tcW w:w="2751"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iCs/>
                      <w:color w:val="auto"/>
                      <w:kern w:val="0"/>
                      <w:sz w:val="21"/>
                      <w:szCs w:val="21"/>
                      <w:highlight w:val="none"/>
                      <w:lang w:val="en-US" w:eastAsia="zh-CN" w:bidi="ar"/>
                    </w:rPr>
                  </w:pPr>
                  <w:r>
                    <w:rPr>
                      <w:rFonts w:hint="default" w:ascii="Times New Roman" w:hAnsi="Times New Roman" w:eastAsia="宋体" w:cs="Times New Roman"/>
                      <w:i/>
                      <w:iCs/>
                      <w:color w:val="auto"/>
                      <w:kern w:val="0"/>
                      <w:sz w:val="21"/>
                      <w:szCs w:val="21"/>
                      <w:highlight w:val="none"/>
                      <w:lang w:val="en-US" w:eastAsia="zh-CN" w:bidi="ar"/>
                    </w:rPr>
                    <w:t>Phragmitesaustralis</w:t>
                  </w:r>
                  <w:r>
                    <w:rPr>
                      <w:rFonts w:hint="eastAsia" w:ascii="Times New Roman" w:hAnsi="Times New Roman" w:cs="Times New Roman"/>
                      <w:i/>
                      <w:iCs/>
                      <w:color w:val="auto"/>
                      <w:kern w:val="0"/>
                      <w:sz w:val="21"/>
                      <w:szCs w:val="21"/>
                      <w:highlight w:val="none"/>
                      <w:lang w:val="en-US" w:eastAsia="zh-CN" w:bidi="ar"/>
                    </w:rPr>
                    <w:t>（</w:t>
                  </w:r>
                  <w:r>
                    <w:rPr>
                      <w:rFonts w:hint="default" w:ascii="Times New Roman" w:hAnsi="Times New Roman" w:eastAsia="宋体" w:cs="Times New Roman"/>
                      <w:i/>
                      <w:iCs/>
                      <w:color w:val="auto"/>
                      <w:kern w:val="0"/>
                      <w:sz w:val="21"/>
                      <w:szCs w:val="21"/>
                      <w:highlight w:val="none"/>
                      <w:lang w:val="en-US" w:eastAsia="zh-CN" w:bidi="ar"/>
                    </w:rPr>
                    <w:t>Cav.</w:t>
                  </w:r>
                  <w:r>
                    <w:rPr>
                      <w:rFonts w:hint="eastAsia" w:ascii="Times New Roman" w:hAnsi="Times New Roman" w:cs="Times New Roman"/>
                      <w:i/>
                      <w:iCs/>
                      <w:color w:val="auto"/>
                      <w:kern w:val="0"/>
                      <w:sz w:val="21"/>
                      <w:szCs w:val="21"/>
                      <w:highlight w:val="none"/>
                      <w:lang w:val="en-US" w:eastAsia="zh-CN" w:bidi="ar"/>
                    </w:rPr>
                    <w:t>）</w:t>
                  </w:r>
                  <w:r>
                    <w:rPr>
                      <w:rFonts w:hint="default" w:ascii="Times New Roman" w:hAnsi="Times New Roman" w:eastAsia="宋体" w:cs="Times New Roman"/>
                      <w:i/>
                      <w:iCs/>
                      <w:color w:val="auto"/>
                      <w:kern w:val="0"/>
                      <w:sz w:val="21"/>
                      <w:szCs w:val="21"/>
                      <w:highlight w:val="none"/>
                      <w:lang w:val="en-US" w:eastAsia="zh-CN" w:bidi="ar"/>
                    </w:rPr>
                    <w:t>Trin.exSteud.：</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22"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cs="Times New Roman"/>
                      <w:i w:val="0"/>
                      <w:iCs w:val="0"/>
                      <w:color w:val="auto"/>
                      <w:kern w:val="0"/>
                      <w:sz w:val="21"/>
                      <w:szCs w:val="21"/>
                      <w:highlight w:val="none"/>
                      <w:lang w:val="en-US" w:eastAsia="zh-CN" w:bidi="ar"/>
                    </w:rPr>
                    <w:t>4</w:t>
                  </w:r>
                </w:p>
              </w:tc>
              <w:tc>
                <w:tcPr>
                  <w:tcW w:w="1625"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eastAsia="宋体" w:cs="Times New Roman"/>
                      <w:i w:val="0"/>
                      <w:iCs w:val="0"/>
                      <w:color w:val="auto"/>
                      <w:kern w:val="0"/>
                      <w:sz w:val="21"/>
                      <w:szCs w:val="21"/>
                      <w:highlight w:val="none"/>
                      <w:lang w:val="en-US" w:eastAsia="zh-CN" w:bidi="ar"/>
                    </w:rPr>
                    <w:t>盐生草</w:t>
                  </w:r>
                </w:p>
              </w:tc>
              <w:tc>
                <w:tcPr>
                  <w:tcW w:w="2751"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iCs/>
                      <w:color w:val="auto"/>
                      <w:kern w:val="0"/>
                      <w:sz w:val="21"/>
                      <w:szCs w:val="21"/>
                      <w:highlight w:val="none"/>
                      <w:lang w:val="en-US" w:eastAsia="zh-CN" w:bidi="ar"/>
                    </w:rPr>
                  </w:pPr>
                  <w:r>
                    <w:rPr>
                      <w:rFonts w:hint="default" w:ascii="Times New Roman" w:hAnsi="Times New Roman" w:eastAsia="宋体" w:cs="Times New Roman"/>
                      <w:i/>
                      <w:iCs/>
                      <w:color w:val="auto"/>
                      <w:kern w:val="0"/>
                      <w:sz w:val="21"/>
                      <w:szCs w:val="21"/>
                      <w:highlight w:val="none"/>
                      <w:lang w:val="en-US" w:eastAsia="zh-CN" w:bidi="ar"/>
                    </w:rPr>
                    <w:t>Halogetonglomeratus</w:t>
                  </w:r>
                  <w:r>
                    <w:rPr>
                      <w:rFonts w:hint="eastAsia" w:ascii="Times New Roman" w:hAnsi="Times New Roman" w:cs="Times New Roman"/>
                      <w:i/>
                      <w:iCs/>
                      <w:color w:val="auto"/>
                      <w:kern w:val="0"/>
                      <w:sz w:val="21"/>
                      <w:szCs w:val="21"/>
                      <w:highlight w:val="none"/>
                      <w:lang w:val="en-US" w:eastAsia="zh-CN" w:bidi="ar"/>
                    </w:rPr>
                    <w:t>（</w:t>
                  </w:r>
                  <w:r>
                    <w:rPr>
                      <w:rFonts w:hint="default" w:ascii="Times New Roman" w:hAnsi="Times New Roman" w:eastAsia="宋体" w:cs="Times New Roman"/>
                      <w:i/>
                      <w:iCs/>
                      <w:color w:val="auto"/>
                      <w:kern w:val="0"/>
                      <w:sz w:val="21"/>
                      <w:szCs w:val="21"/>
                      <w:highlight w:val="none"/>
                      <w:lang w:val="en-US" w:eastAsia="zh-CN" w:bidi="ar"/>
                    </w:rPr>
                    <w:t>M.Bieb.</w:t>
                  </w:r>
                  <w:r>
                    <w:rPr>
                      <w:rFonts w:hint="eastAsia" w:ascii="Times New Roman" w:hAnsi="Times New Roman" w:cs="Times New Roman"/>
                      <w:i/>
                      <w:iCs/>
                      <w:color w:val="auto"/>
                      <w:kern w:val="0"/>
                      <w:sz w:val="21"/>
                      <w:szCs w:val="21"/>
                      <w:highlight w:val="none"/>
                      <w:lang w:val="en-US" w:eastAsia="zh-CN" w:bidi="ar"/>
                    </w:rPr>
                    <w:t>）</w:t>
                  </w:r>
                  <w:r>
                    <w:rPr>
                      <w:rFonts w:hint="default" w:ascii="Times New Roman" w:hAnsi="Times New Roman" w:eastAsia="宋体" w:cs="Times New Roman"/>
                      <w:i/>
                      <w:iCs/>
                      <w:color w:val="auto"/>
                      <w:kern w:val="0"/>
                      <w:sz w:val="21"/>
                      <w:szCs w:val="21"/>
                      <w:highlight w:val="none"/>
                      <w:lang w:val="en-US" w:eastAsia="zh-CN" w:bidi="ar"/>
                    </w:rPr>
                    <w:t>C.A.Mey.</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22"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cs="Times New Roman"/>
                      <w:i w:val="0"/>
                      <w:iCs w:val="0"/>
                      <w:color w:val="auto"/>
                      <w:kern w:val="0"/>
                      <w:sz w:val="21"/>
                      <w:szCs w:val="21"/>
                      <w:highlight w:val="none"/>
                      <w:lang w:val="en-US" w:eastAsia="zh-CN" w:bidi="ar"/>
                    </w:rPr>
                    <w:t>5</w:t>
                  </w:r>
                </w:p>
              </w:tc>
              <w:tc>
                <w:tcPr>
                  <w:tcW w:w="1625"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eastAsia="宋体" w:cs="Times New Roman"/>
                      <w:i w:val="0"/>
                      <w:iCs w:val="0"/>
                      <w:color w:val="auto"/>
                      <w:kern w:val="0"/>
                      <w:sz w:val="21"/>
                      <w:szCs w:val="21"/>
                      <w:highlight w:val="none"/>
                      <w:lang w:val="en-US" w:eastAsia="zh-CN" w:bidi="ar"/>
                    </w:rPr>
                    <w:t>骆驼刺（疏叶骆驼刺）</w:t>
                  </w:r>
                </w:p>
              </w:tc>
              <w:tc>
                <w:tcPr>
                  <w:tcW w:w="2751"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iCs/>
                      <w:color w:val="auto"/>
                      <w:kern w:val="0"/>
                      <w:sz w:val="21"/>
                      <w:szCs w:val="21"/>
                      <w:highlight w:val="none"/>
                      <w:lang w:val="en-US" w:eastAsia="zh-CN" w:bidi="ar"/>
                    </w:rPr>
                  </w:pPr>
                  <w:r>
                    <w:rPr>
                      <w:rFonts w:hint="default" w:ascii="Times New Roman" w:hAnsi="Times New Roman" w:eastAsia="宋体" w:cs="Times New Roman"/>
                      <w:i/>
                      <w:iCs/>
                      <w:color w:val="auto"/>
                      <w:kern w:val="0"/>
                      <w:sz w:val="21"/>
                      <w:szCs w:val="21"/>
                      <w:highlight w:val="none"/>
                      <w:lang w:val="en-US" w:eastAsia="zh-CN" w:bidi="ar"/>
                    </w:rPr>
                    <w:t>AlhagisparsifoliaShap.exKeller&amp;Shap.·</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22"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cs="Times New Roman"/>
                      <w:i w:val="0"/>
                      <w:iCs w:val="0"/>
                      <w:color w:val="auto"/>
                      <w:kern w:val="0"/>
                      <w:sz w:val="21"/>
                      <w:szCs w:val="21"/>
                      <w:highlight w:val="none"/>
                      <w:lang w:val="en-US" w:eastAsia="zh-CN" w:bidi="ar"/>
                    </w:rPr>
                    <w:t>6</w:t>
                  </w:r>
                </w:p>
              </w:tc>
              <w:tc>
                <w:tcPr>
                  <w:tcW w:w="1625"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eastAsia="宋体" w:cs="Times New Roman"/>
                      <w:i w:val="0"/>
                      <w:iCs w:val="0"/>
                      <w:color w:val="auto"/>
                      <w:kern w:val="0"/>
                      <w:sz w:val="21"/>
                      <w:szCs w:val="21"/>
                      <w:highlight w:val="none"/>
                      <w:lang w:val="en-US" w:eastAsia="zh-CN" w:bidi="ar"/>
                    </w:rPr>
                    <w:t>盐爪爪</w:t>
                  </w:r>
                </w:p>
              </w:tc>
              <w:tc>
                <w:tcPr>
                  <w:tcW w:w="2751"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iCs/>
                      <w:color w:val="auto"/>
                      <w:kern w:val="0"/>
                      <w:sz w:val="21"/>
                      <w:szCs w:val="21"/>
                      <w:highlight w:val="none"/>
                      <w:lang w:val="en-US" w:eastAsia="zh-CN" w:bidi="ar"/>
                    </w:rPr>
                  </w:pPr>
                  <w:r>
                    <w:rPr>
                      <w:rFonts w:hint="default" w:ascii="Times New Roman" w:hAnsi="Times New Roman" w:eastAsia="宋体" w:cs="Times New Roman"/>
                      <w:i/>
                      <w:iCs/>
                      <w:color w:val="auto"/>
                      <w:kern w:val="0"/>
                      <w:sz w:val="21"/>
                      <w:szCs w:val="21"/>
                      <w:highlight w:val="none"/>
                      <w:lang w:val="en-US" w:eastAsia="zh-CN" w:bidi="ar"/>
                    </w:rPr>
                    <w:t>Kalidiumfoliatum</w:t>
                  </w:r>
                  <w:r>
                    <w:rPr>
                      <w:rFonts w:hint="eastAsia" w:ascii="Times New Roman" w:hAnsi="Times New Roman" w:cs="Times New Roman"/>
                      <w:i/>
                      <w:iCs/>
                      <w:color w:val="auto"/>
                      <w:kern w:val="0"/>
                      <w:sz w:val="21"/>
                      <w:szCs w:val="21"/>
                      <w:highlight w:val="none"/>
                      <w:lang w:val="en-US" w:eastAsia="zh-CN" w:bidi="ar"/>
                    </w:rPr>
                    <w:t>（</w:t>
                  </w:r>
                  <w:r>
                    <w:rPr>
                      <w:rFonts w:hint="default" w:ascii="Times New Roman" w:hAnsi="Times New Roman" w:eastAsia="宋体" w:cs="Times New Roman"/>
                      <w:i/>
                      <w:iCs/>
                      <w:color w:val="auto"/>
                      <w:kern w:val="0"/>
                      <w:sz w:val="21"/>
                      <w:szCs w:val="21"/>
                      <w:highlight w:val="none"/>
                      <w:lang w:val="en-US" w:eastAsia="zh-CN" w:bidi="ar"/>
                    </w:rPr>
                    <w:t>Pall.</w:t>
                  </w:r>
                  <w:r>
                    <w:rPr>
                      <w:rFonts w:hint="eastAsia" w:ascii="Times New Roman" w:hAnsi="Times New Roman" w:cs="Times New Roman"/>
                      <w:i/>
                      <w:iCs/>
                      <w:color w:val="auto"/>
                      <w:kern w:val="0"/>
                      <w:sz w:val="21"/>
                      <w:szCs w:val="21"/>
                      <w:highlight w:val="none"/>
                      <w:lang w:val="en-US" w:eastAsia="zh-CN" w:bidi="ar"/>
                    </w:rPr>
                    <w:t>）</w:t>
                  </w:r>
                  <w:r>
                    <w:rPr>
                      <w:rFonts w:hint="default" w:ascii="Times New Roman" w:hAnsi="Times New Roman" w:eastAsia="宋体" w:cs="Times New Roman"/>
                      <w:i/>
                      <w:iCs/>
                      <w:color w:val="auto"/>
                      <w:kern w:val="0"/>
                      <w:sz w:val="21"/>
                      <w:szCs w:val="21"/>
                      <w:highlight w:val="none"/>
                      <w:lang w:val="en-US" w:eastAsia="zh-CN" w:bidi="ar"/>
                    </w:rPr>
                    <w:t>Moq</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622"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cs="Times New Roman"/>
                      <w:i w:val="0"/>
                      <w:iCs w:val="0"/>
                      <w:color w:val="auto"/>
                      <w:kern w:val="0"/>
                      <w:sz w:val="21"/>
                      <w:szCs w:val="21"/>
                      <w:highlight w:val="none"/>
                      <w:lang w:val="en-US" w:eastAsia="zh-CN" w:bidi="ar"/>
                    </w:rPr>
                    <w:t>7</w:t>
                  </w:r>
                </w:p>
              </w:tc>
              <w:tc>
                <w:tcPr>
                  <w:tcW w:w="1625"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val="0"/>
                      <w:iCs w:val="0"/>
                      <w:color w:val="auto"/>
                      <w:kern w:val="0"/>
                      <w:sz w:val="21"/>
                      <w:szCs w:val="21"/>
                      <w:highlight w:val="none"/>
                      <w:lang w:val="en-US" w:eastAsia="zh-CN" w:bidi="ar"/>
                    </w:rPr>
                  </w:pPr>
                  <w:r>
                    <w:rPr>
                      <w:rFonts w:hint="default" w:ascii="Times New Roman" w:hAnsi="Times New Roman" w:eastAsia="宋体" w:cs="Times New Roman"/>
                      <w:i w:val="0"/>
                      <w:iCs w:val="0"/>
                      <w:color w:val="auto"/>
                      <w:kern w:val="0"/>
                      <w:sz w:val="21"/>
                      <w:szCs w:val="21"/>
                      <w:highlight w:val="none"/>
                      <w:lang w:val="en-US" w:eastAsia="zh-CN" w:bidi="ar"/>
                    </w:rPr>
                    <w:t>盐穗木</w:t>
                  </w:r>
                </w:p>
              </w:tc>
              <w:tc>
                <w:tcPr>
                  <w:tcW w:w="2751" w:type="pct"/>
                  <w:tcBorders>
                    <w:tl2br w:val="nil"/>
                    <w:tr2bl w:val="nil"/>
                  </w:tcBorders>
                  <w:vAlign w:val="bottom"/>
                </w:tcPr>
                <w:p>
                  <w:pPr>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i/>
                      <w:iCs/>
                      <w:color w:val="auto"/>
                      <w:kern w:val="0"/>
                      <w:sz w:val="21"/>
                      <w:szCs w:val="21"/>
                      <w:highlight w:val="none"/>
                      <w:lang w:val="en-US" w:eastAsia="zh-CN" w:bidi="ar"/>
                    </w:rPr>
                  </w:pPr>
                  <w:r>
                    <w:rPr>
                      <w:rFonts w:hint="default" w:ascii="Times New Roman" w:hAnsi="Times New Roman" w:eastAsia="宋体" w:cs="Times New Roman"/>
                      <w:i/>
                      <w:iCs/>
                      <w:color w:val="auto"/>
                      <w:kern w:val="0"/>
                      <w:sz w:val="21"/>
                      <w:szCs w:val="21"/>
                      <w:highlight w:val="none"/>
                      <w:lang w:val="en-US" w:eastAsia="zh-CN" w:bidi="ar"/>
                    </w:rPr>
                    <w:t>Halostachyscaspica</w:t>
                  </w:r>
                  <w:r>
                    <w:rPr>
                      <w:rFonts w:hint="eastAsia" w:ascii="Times New Roman" w:hAnsi="Times New Roman" w:cs="Times New Roman"/>
                      <w:i/>
                      <w:iCs/>
                      <w:color w:val="auto"/>
                      <w:kern w:val="0"/>
                      <w:sz w:val="21"/>
                      <w:szCs w:val="21"/>
                      <w:highlight w:val="none"/>
                      <w:lang w:val="en-US" w:eastAsia="zh-CN" w:bidi="ar"/>
                    </w:rPr>
                    <w:t>（</w:t>
                  </w:r>
                  <w:r>
                    <w:rPr>
                      <w:rFonts w:hint="default" w:ascii="Times New Roman" w:hAnsi="Times New Roman" w:eastAsia="宋体" w:cs="Times New Roman"/>
                      <w:i/>
                      <w:iCs/>
                      <w:color w:val="auto"/>
                      <w:kern w:val="0"/>
                      <w:sz w:val="21"/>
                      <w:szCs w:val="21"/>
                      <w:highlight w:val="none"/>
                      <w:lang w:val="en-US" w:eastAsia="zh-CN" w:bidi="ar"/>
                    </w:rPr>
                    <w:t>M.Bieb.</w:t>
                  </w:r>
                  <w:r>
                    <w:rPr>
                      <w:rFonts w:hint="eastAsia" w:ascii="Times New Roman" w:hAnsi="Times New Roman" w:cs="Times New Roman"/>
                      <w:i/>
                      <w:iCs/>
                      <w:color w:val="auto"/>
                      <w:kern w:val="0"/>
                      <w:sz w:val="21"/>
                      <w:szCs w:val="21"/>
                      <w:highlight w:val="none"/>
                      <w:lang w:val="en-US" w:eastAsia="zh-CN" w:bidi="ar"/>
                    </w:rPr>
                    <w:t>）</w:t>
                  </w:r>
                  <w:r>
                    <w:rPr>
                      <w:rFonts w:hint="default" w:ascii="Times New Roman" w:hAnsi="Times New Roman" w:eastAsia="宋体" w:cs="Times New Roman"/>
                      <w:i/>
                      <w:iCs/>
                      <w:color w:val="auto"/>
                      <w:kern w:val="0"/>
                      <w:sz w:val="21"/>
                      <w:szCs w:val="21"/>
                      <w:highlight w:val="none"/>
                      <w:lang w:val="en-US" w:eastAsia="zh-CN" w:bidi="ar"/>
                    </w:rPr>
                    <w:t>C.A.Mey.</w:t>
                  </w:r>
                </w:p>
              </w:tc>
            </w:tr>
          </w:tbl>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由于</w:t>
            </w:r>
            <w:r>
              <w:rPr>
                <w:rFonts w:hint="default" w:ascii="Times New Roman" w:hAnsi="Times New Roman" w:eastAsia="宋体" w:cs="Times New Roman"/>
                <w:color w:val="auto"/>
                <w:sz w:val="24"/>
                <w:szCs w:val="24"/>
                <w:highlight w:val="none"/>
                <w:lang w:val="en-US" w:eastAsia="zh-CN"/>
              </w:rPr>
              <w:t>项目</w:t>
            </w:r>
            <w:r>
              <w:rPr>
                <w:rFonts w:hint="default" w:ascii="Times New Roman" w:hAnsi="Times New Roman" w:cs="Times New Roman"/>
                <w:color w:val="auto"/>
                <w:sz w:val="24"/>
                <w:szCs w:val="24"/>
                <w:highlight w:val="none"/>
                <w:lang w:val="en-US" w:eastAsia="zh-CN"/>
              </w:rPr>
              <w:t>位于城郊位置</w:t>
            </w:r>
            <w:r>
              <w:rPr>
                <w:rFonts w:hint="default" w:ascii="Times New Roman" w:hAnsi="Times New Roman" w:eastAsia="宋体" w:cs="Times New Roman"/>
                <w:color w:val="auto"/>
                <w:sz w:val="24"/>
                <w:szCs w:val="24"/>
                <w:highlight w:val="none"/>
                <w:lang w:val="en-US" w:eastAsia="zh-CN"/>
              </w:rPr>
              <w:t>，人类活动较频繁</w:t>
            </w:r>
            <w:r>
              <w:rPr>
                <w:rFonts w:hint="default" w:ascii="Times New Roman" w:hAnsi="Times New Roman" w:eastAsia="宋体" w:cs="Times New Roman"/>
                <w:color w:val="auto"/>
                <w:sz w:val="24"/>
                <w:szCs w:val="24"/>
                <w:highlight w:val="none"/>
              </w:rPr>
              <w:t>，故大型野生动物少见，故周围无大型野生动物，只偶见一些小的动物和飞禽，如鼠、麻雀等动物。</w:t>
            </w:r>
            <w:r>
              <w:rPr>
                <w:rFonts w:hint="default" w:ascii="Times New Roman" w:hAnsi="Times New Roman"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所在区域无国家及自治区级野生保护动物，无国家及自治区保护的珍稀、濒危物种分布。项目区植被类型图见附图</w:t>
            </w:r>
            <w:r>
              <w:rPr>
                <w:rFonts w:hint="default" w:ascii="Times New Roman" w:hAnsi="Times New Roman" w:cs="Times New Roman"/>
                <w:color w:val="auto"/>
                <w:sz w:val="24"/>
                <w:szCs w:val="24"/>
                <w:highlight w:val="none"/>
                <w:lang w:val="en-US" w:eastAsia="zh-CN"/>
              </w:rPr>
              <w:t>11</w:t>
            </w:r>
            <w:r>
              <w:rPr>
                <w:rFonts w:hint="default" w:ascii="Times New Roman" w:hAnsi="Times New Roman" w:eastAsia="宋体" w:cs="Times New Roman"/>
                <w:color w:val="auto"/>
                <w:sz w:val="24"/>
                <w:szCs w:val="24"/>
                <w:highlight w:val="none"/>
              </w:rPr>
              <w:t>。</w:t>
            </w:r>
            <w:r>
              <w:rPr>
                <w:rFonts w:hint="default" w:ascii="Times New Roman" w:hAnsi="Times New Roman" w:eastAsia="宋体" w:cs="Times New Roman"/>
                <w:color w:val="auto"/>
                <w:sz w:val="24"/>
                <w:szCs w:val="24"/>
                <w:highlight w:val="none"/>
                <w:lang w:val="en-US" w:eastAsia="zh-CN"/>
              </w:rPr>
              <w:t>项目区和生态保护红线位置关系图见附图</w:t>
            </w:r>
            <w:r>
              <w:rPr>
                <w:rFonts w:hint="default" w:ascii="Times New Roman" w:hAnsi="Times New Roman" w:cs="Times New Roman"/>
                <w:color w:val="auto"/>
                <w:sz w:val="24"/>
                <w:szCs w:val="24"/>
                <w:highlight w:val="none"/>
                <w:lang w:val="en-US" w:eastAsia="zh-CN"/>
              </w:rPr>
              <w:t>12。</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cs="Times New Roman"/>
                <w:color w:val="auto"/>
                <w:sz w:val="24"/>
                <w:szCs w:val="24"/>
                <w:highlight w:val="none"/>
                <w:lang w:val="en-US" w:eastAsia="zh-CN"/>
              </w:rPr>
            </w:pPr>
          </w:p>
          <w:p>
            <w:pPr>
              <w:keepNext w:val="0"/>
              <w:keepLines w:val="0"/>
              <w:widowControl/>
              <w:suppressLineNumbers w:val="0"/>
              <w:spacing w:before="0" w:beforeLines="0" w:beforeAutospacing="0" w:after="0" w:afterLines="0" w:afterAutospacing="0" w:line="360" w:lineRule="auto"/>
              <w:ind w:left="0" w:right="0"/>
              <w:rPr>
                <w:rFonts w:hint="default" w:ascii="Times New Roman" w:hAnsi="Times New Roman" w:eastAsia="宋体" w:cs="Times New Roman"/>
                <w:b/>
                <w:color w:val="auto"/>
                <w:kern w:val="0"/>
                <w:sz w:val="24"/>
                <w:szCs w:val="24"/>
                <w:highlight w:val="none"/>
                <w:lang w:val="zh-CN"/>
              </w:rPr>
            </w:pPr>
            <w:r>
              <w:rPr>
                <w:rFonts w:hint="default" w:ascii="Times New Roman" w:hAnsi="Times New Roman" w:eastAsia="宋体" w:cs="Times New Roman"/>
                <w:b/>
                <w:color w:val="auto"/>
                <w:kern w:val="0"/>
                <w:sz w:val="24"/>
                <w:szCs w:val="24"/>
                <w:highlight w:val="none"/>
                <w:lang w:eastAsia="zh-CN"/>
              </w:rPr>
              <w:t>（</w:t>
            </w:r>
            <w:r>
              <w:rPr>
                <w:rFonts w:hint="default" w:ascii="Times New Roman" w:hAnsi="Times New Roman" w:eastAsia="宋体" w:cs="Times New Roman"/>
                <w:b/>
                <w:color w:val="auto"/>
                <w:kern w:val="0"/>
                <w:sz w:val="24"/>
                <w:szCs w:val="24"/>
                <w:highlight w:val="none"/>
                <w:lang w:val="en-US" w:eastAsia="zh-CN"/>
              </w:rPr>
              <w:t>4</w:t>
            </w:r>
            <w:r>
              <w:rPr>
                <w:rFonts w:hint="default" w:ascii="Times New Roman" w:hAnsi="Times New Roman" w:eastAsia="宋体" w:cs="Times New Roman"/>
                <w:b/>
                <w:color w:val="auto"/>
                <w:kern w:val="0"/>
                <w:sz w:val="24"/>
                <w:szCs w:val="24"/>
                <w:highlight w:val="none"/>
                <w:lang w:eastAsia="zh-CN"/>
              </w:rPr>
              <w:t>）</w:t>
            </w:r>
            <w:r>
              <w:rPr>
                <w:rFonts w:hint="default" w:ascii="Times New Roman" w:hAnsi="Times New Roman" w:eastAsia="宋体" w:cs="Times New Roman"/>
                <w:b/>
                <w:color w:val="auto"/>
                <w:kern w:val="0"/>
                <w:sz w:val="24"/>
                <w:szCs w:val="24"/>
                <w:highlight w:val="none"/>
                <w:lang w:val="zh-CN"/>
              </w:rPr>
              <w:t>土地沙化现状</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lang w:val="en-US"/>
              </w:rPr>
            </w:pPr>
            <w:r>
              <w:rPr>
                <w:rFonts w:hint="default" w:ascii="Times New Roman" w:hAnsi="Times New Roman" w:eastAsia="宋体" w:cs="Times New Roman"/>
                <w:color w:val="auto"/>
                <w:sz w:val="24"/>
                <w:szCs w:val="24"/>
                <w:highlight w:val="none"/>
                <w:lang w:val="zh-CN"/>
              </w:rPr>
              <w:t>根据《新疆第</w:t>
            </w:r>
            <w:r>
              <w:rPr>
                <w:rFonts w:hint="default" w:ascii="Times New Roman" w:hAnsi="Times New Roman" w:eastAsia="宋体" w:cs="Times New Roman"/>
                <w:color w:val="auto"/>
                <w:sz w:val="24"/>
                <w:szCs w:val="24"/>
                <w:highlight w:val="none"/>
                <w:lang w:val="zh-CN" w:eastAsia="zh-CN"/>
              </w:rPr>
              <w:t>六</w:t>
            </w:r>
            <w:r>
              <w:rPr>
                <w:rFonts w:hint="default" w:ascii="Times New Roman" w:hAnsi="Times New Roman" w:eastAsia="宋体" w:cs="Times New Roman"/>
                <w:color w:val="auto"/>
                <w:sz w:val="24"/>
                <w:szCs w:val="24"/>
                <w:highlight w:val="none"/>
                <w:lang w:val="zh-CN"/>
              </w:rPr>
              <w:t>次沙化监测沙化土地分布调查报告》，</w:t>
            </w:r>
            <w:r>
              <w:rPr>
                <w:rFonts w:hint="default" w:ascii="Times New Roman" w:hAnsi="Times New Roman" w:cs="Times New Roman"/>
                <w:color w:val="auto"/>
                <w:sz w:val="24"/>
                <w:szCs w:val="24"/>
                <w:highlight w:val="none"/>
                <w:lang w:val="zh-CN"/>
              </w:rPr>
              <w:t>本项目</w:t>
            </w:r>
            <w:r>
              <w:rPr>
                <w:rFonts w:hint="default" w:ascii="Times New Roman" w:hAnsi="Times New Roman" w:eastAsia="宋体" w:cs="Times New Roman"/>
                <w:color w:val="auto"/>
                <w:sz w:val="24"/>
                <w:szCs w:val="24"/>
                <w:highlight w:val="none"/>
                <w:lang w:val="zh-CN"/>
              </w:rPr>
              <w:t>所在区域为</w:t>
            </w:r>
            <w:r>
              <w:rPr>
                <w:rFonts w:hint="default" w:ascii="Times New Roman" w:hAnsi="Times New Roman" w:cs="Times New Roman"/>
                <w:color w:val="auto"/>
                <w:sz w:val="24"/>
                <w:szCs w:val="24"/>
                <w:highlight w:val="none"/>
                <w:lang w:val="en-US" w:eastAsia="zh-CN"/>
              </w:rPr>
              <w:t>固定沙地</w:t>
            </w:r>
            <w:r>
              <w:rPr>
                <w:rFonts w:hint="default" w:ascii="Times New Roman" w:hAnsi="Times New Roman" w:eastAsia="宋体" w:cs="Times New Roman"/>
                <w:color w:val="auto"/>
                <w:sz w:val="24"/>
                <w:szCs w:val="24"/>
                <w:highlight w:val="none"/>
                <w:lang w:val="zh-CN"/>
              </w:rPr>
              <w:t>区。</w:t>
            </w:r>
            <w:r>
              <w:rPr>
                <w:rFonts w:hint="default" w:ascii="Times New Roman" w:hAnsi="Times New Roman" w:eastAsia="宋体" w:cs="Times New Roman"/>
                <w:color w:val="auto"/>
                <w:sz w:val="24"/>
                <w:szCs w:val="24"/>
                <w:highlight w:val="none"/>
                <w:lang w:val="zh-CN" w:eastAsia="zh-CN"/>
              </w:rPr>
              <w:t>本项目</w:t>
            </w:r>
            <w:r>
              <w:rPr>
                <w:rFonts w:hint="default" w:ascii="Times New Roman" w:hAnsi="Times New Roman" w:eastAsia="宋体" w:cs="Times New Roman"/>
                <w:color w:val="auto"/>
                <w:sz w:val="24"/>
                <w:szCs w:val="24"/>
                <w:highlight w:val="none"/>
                <w:lang w:val="zh-CN"/>
              </w:rPr>
              <w:t>不占用防沙治沙设施</w:t>
            </w:r>
            <w:r>
              <w:rPr>
                <w:rFonts w:hint="eastAsia" w:ascii="Times New Roman" w:hAnsi="Times New Roman" w:cs="Times New Roman"/>
                <w:color w:val="auto"/>
                <w:sz w:val="24"/>
                <w:szCs w:val="24"/>
                <w:highlight w:val="none"/>
                <w:lang w:val="zh-CN"/>
              </w:rPr>
              <w:t>。</w:t>
            </w:r>
            <w:r>
              <w:rPr>
                <w:rFonts w:hint="default" w:ascii="Times New Roman" w:hAnsi="Times New Roman" w:eastAsia="宋体" w:cs="Times New Roman"/>
                <w:color w:val="auto"/>
                <w:sz w:val="24"/>
                <w:szCs w:val="24"/>
                <w:highlight w:val="none"/>
                <w:lang w:val="zh-CN" w:eastAsia="zh-CN"/>
              </w:rPr>
              <w:t>项目在沙区中的位置见附图1</w:t>
            </w:r>
            <w:r>
              <w:rPr>
                <w:rFonts w:hint="eastAsia" w:ascii="Times New Roman" w:hAnsi="Times New Roman" w:cs="Times New Roman"/>
                <w:color w:val="auto"/>
                <w:sz w:val="24"/>
                <w:szCs w:val="24"/>
                <w:highlight w:val="none"/>
                <w:lang w:val="en-US" w:eastAsia="zh-CN"/>
              </w:rPr>
              <w:t>3。</w:t>
            </w:r>
          </w:p>
          <w:bookmarkEnd w:id="41"/>
          <w:bookmarkEnd w:id="42"/>
          <w:bookmarkEnd w:id="43"/>
          <w:p>
            <w:pPr>
              <w:keepNext w:val="0"/>
              <w:keepLines w:val="0"/>
              <w:widowControl/>
              <w:suppressLineNumbers w:val="0"/>
              <w:autoSpaceDE w:val="0"/>
              <w:autoSpaceDN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lang w:val="en-US" w:eastAsia="zh-CN"/>
              </w:rPr>
              <w:t>2</w:t>
            </w:r>
            <w:r>
              <w:rPr>
                <w:rFonts w:hint="default" w:ascii="Times New Roman" w:hAnsi="Times New Roman" w:eastAsia="宋体" w:cs="Times New Roman"/>
                <w:b/>
                <w:bCs/>
                <w:color w:val="auto"/>
                <w:highlight w:val="none"/>
              </w:rPr>
              <w:t>电磁环境现状评价</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szCs w:val="21"/>
                <w:highlight w:val="none"/>
                <w:lang w:eastAsia="zh-CN"/>
              </w:rPr>
              <w:t>乌鲁木齐星辰汇峰环保科技有限公司</w:t>
            </w:r>
            <w:r>
              <w:rPr>
                <w:rFonts w:hint="default" w:ascii="Times New Roman" w:hAnsi="Times New Roman" w:eastAsia="宋体" w:cs="Times New Roman"/>
                <w:color w:val="auto"/>
                <w:highlight w:val="none"/>
              </w:rPr>
              <w:t>于</w:t>
            </w:r>
            <w:r>
              <w:rPr>
                <w:rFonts w:hint="eastAsia" w:ascii="Times New Roman" w:hAnsi="Times New Roman" w:cs="Times New Roman"/>
                <w:color w:val="auto"/>
                <w:highlight w:val="none"/>
                <w:lang w:eastAsia="zh-CN"/>
              </w:rPr>
              <w:t>2026年6月15日</w:t>
            </w:r>
            <w:r>
              <w:rPr>
                <w:rFonts w:hint="default" w:ascii="Times New Roman" w:hAnsi="Times New Roman" w:eastAsia="宋体" w:cs="Times New Roman"/>
                <w:color w:val="auto"/>
                <w:highlight w:val="none"/>
              </w:rPr>
              <w:t>对本项目所在区域的电磁环境进行了现状监测，共</w:t>
            </w:r>
            <w:r>
              <w:rPr>
                <w:rFonts w:hint="default" w:ascii="Times New Roman" w:hAnsi="Times New Roman" w:eastAsia="宋体" w:cs="Times New Roman"/>
                <w:color w:val="auto"/>
                <w:sz w:val="22"/>
                <w:szCs w:val="22"/>
                <w:highlight w:val="none"/>
              </w:rPr>
              <w:t>布置</w:t>
            </w:r>
            <w:r>
              <w:rPr>
                <w:rFonts w:hint="eastAsia" w:ascii="Times New Roman" w:hAnsi="Times New Roman" w:cs="Times New Roman"/>
                <w:color w:val="auto"/>
                <w:sz w:val="22"/>
                <w:szCs w:val="22"/>
                <w:highlight w:val="none"/>
                <w:lang w:val="en-US" w:eastAsia="zh-CN"/>
              </w:rPr>
              <w:t>19</w:t>
            </w:r>
            <w:r>
              <w:rPr>
                <w:rFonts w:hint="default" w:ascii="Times New Roman" w:hAnsi="Times New Roman" w:eastAsia="宋体" w:cs="Times New Roman"/>
                <w:color w:val="auto"/>
                <w:sz w:val="22"/>
                <w:szCs w:val="22"/>
                <w:highlight w:val="none"/>
              </w:rPr>
              <w:t>处电磁</w:t>
            </w:r>
            <w:r>
              <w:rPr>
                <w:rFonts w:hint="default" w:ascii="Times New Roman" w:hAnsi="Times New Roman" w:eastAsia="宋体" w:cs="Times New Roman"/>
                <w:color w:val="auto"/>
                <w:highlight w:val="none"/>
              </w:rPr>
              <w:t>监测点。根据现场监测结果，本项目各监测点工频电场、工频磁场监测结果均满足《电磁环境控制限值》</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GB 8702-2014</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中的</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电场强度≤4千伏/米；磁感应强度≤100微特斯拉</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公众曝露控制限值，具体数据详见电磁专题分析报告。</w:t>
            </w:r>
          </w:p>
          <w:p>
            <w:pPr>
              <w:keepNext w:val="0"/>
              <w:keepLines w:val="0"/>
              <w:widowControl/>
              <w:suppressLineNumbers w:val="0"/>
              <w:autoSpaceDE w:val="0"/>
              <w:autoSpaceDN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lang w:val="en-US" w:eastAsia="zh-CN"/>
              </w:rPr>
              <w:t>3</w:t>
            </w:r>
            <w:r>
              <w:rPr>
                <w:rFonts w:hint="default" w:ascii="Times New Roman" w:hAnsi="Times New Roman" w:eastAsia="宋体" w:cs="Times New Roman"/>
                <w:b/>
                <w:bCs/>
                <w:color w:val="auto"/>
                <w:highlight w:val="none"/>
              </w:rPr>
              <w:t xml:space="preserve"> 声环境现状评价</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color w:val="auto"/>
                <w:szCs w:val="21"/>
                <w:highlight w:val="none"/>
              </w:rPr>
            </w:pPr>
            <w:r>
              <w:rPr>
                <w:rFonts w:hint="default" w:ascii="Times New Roman" w:hAnsi="Times New Roman" w:eastAsia="宋体" w:cs="Times New Roman"/>
                <w:b/>
                <w:color w:val="auto"/>
                <w:szCs w:val="21"/>
                <w:highlight w:val="none"/>
                <w:lang w:val="en-US" w:eastAsia="zh-CN"/>
              </w:rPr>
              <w:t>3</w:t>
            </w:r>
            <w:r>
              <w:rPr>
                <w:rFonts w:hint="default" w:ascii="Times New Roman" w:hAnsi="Times New Roman" w:eastAsia="宋体" w:cs="Times New Roman"/>
                <w:b/>
                <w:color w:val="auto"/>
                <w:szCs w:val="21"/>
                <w:highlight w:val="none"/>
              </w:rPr>
              <w:t>.1 监测因子</w:t>
            </w:r>
          </w:p>
          <w:p>
            <w:pPr>
              <w:keepNext w:val="0"/>
              <w:keepLines w:val="0"/>
              <w:widowControl/>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昼间、夜间等效声级</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color w:val="auto"/>
                <w:szCs w:val="21"/>
                <w:highlight w:val="none"/>
              </w:rPr>
            </w:pPr>
            <w:r>
              <w:rPr>
                <w:rFonts w:hint="default" w:ascii="Times New Roman" w:hAnsi="Times New Roman" w:eastAsia="宋体" w:cs="Times New Roman"/>
                <w:b/>
                <w:color w:val="auto"/>
                <w:szCs w:val="21"/>
                <w:highlight w:val="none"/>
                <w:lang w:val="en-US" w:eastAsia="zh-CN"/>
              </w:rPr>
              <w:t>3</w:t>
            </w:r>
            <w:r>
              <w:rPr>
                <w:rFonts w:hint="default" w:ascii="Times New Roman" w:hAnsi="Times New Roman" w:eastAsia="宋体" w:cs="Times New Roman"/>
                <w:b/>
                <w:color w:val="auto"/>
                <w:szCs w:val="21"/>
                <w:highlight w:val="none"/>
              </w:rPr>
              <w:t>.2 监测方法及布点原则</w:t>
            </w:r>
          </w:p>
          <w:p>
            <w:pPr>
              <w:keepNext w:val="0"/>
              <w:keepLines w:val="0"/>
              <w:widowControl/>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监测方法：《声环境质量标准》</w:t>
            </w:r>
            <w:r>
              <w:rPr>
                <w:rFonts w:hint="eastAsia" w:ascii="Times New Roman" w:hAnsi="Times New Roman" w:cs="Times New Roman"/>
                <w:color w:val="auto"/>
                <w:szCs w:val="21"/>
                <w:highlight w:val="none"/>
                <w:lang w:eastAsia="zh-CN"/>
              </w:rPr>
              <w:t>（</w:t>
            </w:r>
            <w:r>
              <w:rPr>
                <w:rFonts w:hint="default" w:ascii="Times New Roman" w:hAnsi="Times New Roman" w:eastAsia="宋体" w:cs="Times New Roman"/>
                <w:color w:val="auto"/>
                <w:szCs w:val="21"/>
                <w:highlight w:val="none"/>
              </w:rPr>
              <w:t>GB3096-2008</w:t>
            </w:r>
            <w:r>
              <w:rPr>
                <w:rFonts w:hint="eastAsia" w:ascii="Times New Roman" w:hAnsi="Times New Roman" w:cs="Times New Roman"/>
                <w:color w:val="auto"/>
                <w:szCs w:val="21"/>
                <w:highlight w:val="none"/>
                <w:lang w:eastAsia="zh-CN"/>
              </w:rPr>
              <w:t>）</w:t>
            </w:r>
            <w:r>
              <w:rPr>
                <w:rFonts w:hint="default" w:ascii="Times New Roman" w:hAnsi="Times New Roman" w:eastAsia="宋体" w:cs="Times New Roman"/>
                <w:color w:val="auto"/>
                <w:szCs w:val="21"/>
                <w:highlight w:val="none"/>
              </w:rPr>
              <w:t>。</w:t>
            </w:r>
          </w:p>
          <w:p>
            <w:pPr>
              <w:keepNext w:val="0"/>
              <w:keepLines w:val="0"/>
              <w:widowControl/>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auto"/>
                <w:szCs w:val="21"/>
                <w:highlight w:val="none"/>
                <w:lang w:val="en-US"/>
              </w:rPr>
            </w:pPr>
            <w:r>
              <w:rPr>
                <w:rFonts w:hint="default" w:ascii="Times New Roman" w:hAnsi="Times New Roman" w:eastAsia="宋体" w:cs="Times New Roman"/>
                <w:color w:val="auto"/>
                <w:szCs w:val="21"/>
                <w:highlight w:val="none"/>
              </w:rPr>
              <w:t>布点原则：根据《环境影响评价技术导则 声环境》</w:t>
            </w:r>
            <w:r>
              <w:rPr>
                <w:rFonts w:hint="eastAsia" w:ascii="Times New Roman" w:hAnsi="Times New Roman" w:cs="Times New Roman"/>
                <w:color w:val="auto"/>
                <w:szCs w:val="21"/>
                <w:highlight w:val="none"/>
                <w:lang w:eastAsia="zh-CN"/>
              </w:rPr>
              <w:t>（</w:t>
            </w:r>
            <w:r>
              <w:rPr>
                <w:rFonts w:hint="default" w:ascii="Times New Roman" w:hAnsi="Times New Roman" w:eastAsia="宋体" w:cs="Times New Roman"/>
                <w:color w:val="auto"/>
                <w:szCs w:val="21"/>
                <w:highlight w:val="none"/>
              </w:rPr>
              <w:t>HJ2.4-2021</w:t>
            </w:r>
            <w:r>
              <w:rPr>
                <w:rFonts w:hint="eastAsia" w:ascii="Times New Roman" w:hAnsi="Times New Roman" w:cs="Times New Roman"/>
                <w:color w:val="auto"/>
                <w:szCs w:val="21"/>
                <w:highlight w:val="none"/>
                <w:lang w:eastAsia="zh-CN"/>
              </w:rPr>
              <w:t>）</w:t>
            </w:r>
            <w:r>
              <w:rPr>
                <w:rFonts w:hint="default" w:ascii="Times New Roman" w:hAnsi="Times New Roman" w:eastAsia="宋体" w:cs="Times New Roman"/>
                <w:color w:val="auto"/>
                <w:szCs w:val="21"/>
                <w:highlight w:val="none"/>
              </w:rPr>
              <w:t>的要求，本次评价设置</w:t>
            </w:r>
            <w:r>
              <w:rPr>
                <w:rFonts w:hint="eastAsia" w:ascii="Times New Roman" w:hAnsi="Times New Roman" w:cs="Times New Roman"/>
                <w:color w:val="auto"/>
                <w:szCs w:val="21"/>
                <w:highlight w:val="none"/>
                <w:lang w:val="en-US" w:eastAsia="zh-CN"/>
              </w:rPr>
              <w:t>19</w:t>
            </w:r>
            <w:r>
              <w:rPr>
                <w:rFonts w:hint="default" w:ascii="Times New Roman" w:hAnsi="Times New Roman" w:eastAsia="宋体" w:cs="Times New Roman"/>
                <w:color w:val="auto"/>
                <w:szCs w:val="21"/>
                <w:highlight w:val="none"/>
              </w:rPr>
              <w:t>处声环境现状监测点。</w:t>
            </w:r>
            <w:r>
              <w:rPr>
                <w:rFonts w:hint="default" w:ascii="Times New Roman" w:hAnsi="Times New Roman" w:eastAsia="宋体" w:cs="Times New Roman"/>
                <w:color w:val="auto"/>
                <w:szCs w:val="21"/>
                <w:highlight w:val="none"/>
                <w:lang w:val="en-US" w:eastAsia="zh-CN"/>
              </w:rPr>
              <w:t>分别为在站址四周、线路起点、终点处布点</w:t>
            </w:r>
            <w:r>
              <w:rPr>
                <w:rFonts w:hint="eastAsia" w:ascii="Times New Roman" w:hAnsi="Times New Roman" w:cs="Times New Roman"/>
                <w:color w:val="auto"/>
                <w:szCs w:val="21"/>
                <w:highlight w:val="none"/>
                <w:lang w:val="en-US" w:eastAsia="zh-CN"/>
              </w:rPr>
              <w:t>，沿线保护目标处布点</w:t>
            </w:r>
            <w:r>
              <w:rPr>
                <w:rFonts w:hint="default" w:ascii="Times New Roman" w:hAnsi="Times New Roman" w:eastAsia="宋体" w:cs="Times New Roman"/>
                <w:color w:val="auto"/>
                <w:szCs w:val="21"/>
                <w:highlight w:val="none"/>
                <w:lang w:val="en-US" w:eastAsia="zh-CN"/>
              </w:rPr>
              <w:t>。</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color w:val="auto"/>
                <w:szCs w:val="21"/>
                <w:highlight w:val="none"/>
              </w:rPr>
            </w:pPr>
            <w:r>
              <w:rPr>
                <w:rFonts w:hint="default" w:ascii="Times New Roman" w:hAnsi="Times New Roman" w:eastAsia="宋体" w:cs="Times New Roman"/>
                <w:b/>
                <w:color w:val="auto"/>
                <w:szCs w:val="21"/>
                <w:highlight w:val="none"/>
                <w:lang w:val="en-US" w:eastAsia="zh-CN"/>
              </w:rPr>
              <w:t>3</w:t>
            </w:r>
            <w:r>
              <w:rPr>
                <w:rFonts w:hint="default" w:ascii="Times New Roman" w:hAnsi="Times New Roman" w:eastAsia="宋体" w:cs="Times New Roman"/>
                <w:b/>
                <w:color w:val="auto"/>
                <w:szCs w:val="21"/>
                <w:highlight w:val="none"/>
              </w:rPr>
              <w:t>.3 监测单位及监测时间</w:t>
            </w:r>
          </w:p>
          <w:p>
            <w:pPr>
              <w:keepNext w:val="0"/>
              <w:keepLines w:val="0"/>
              <w:widowControl/>
              <w:suppressLineNumbers w:val="0"/>
              <w:autoSpaceDE w:val="0"/>
              <w:autoSpaceDN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Cs w:val="21"/>
                <w:highlight w:val="none"/>
                <w:lang w:eastAsia="zh-CN"/>
              </w:rPr>
            </w:pPr>
            <w:r>
              <w:rPr>
                <w:rFonts w:hint="default" w:ascii="Times New Roman" w:hAnsi="Times New Roman" w:eastAsia="宋体" w:cs="Times New Roman"/>
                <w:color w:val="auto"/>
                <w:szCs w:val="21"/>
                <w:highlight w:val="none"/>
              </w:rPr>
              <w:t>监测单位：</w:t>
            </w:r>
            <w:r>
              <w:rPr>
                <w:rFonts w:hint="default" w:ascii="Times New Roman" w:hAnsi="Times New Roman" w:eastAsia="宋体" w:cs="Times New Roman"/>
                <w:color w:val="auto"/>
                <w:szCs w:val="21"/>
                <w:highlight w:val="none"/>
                <w:lang w:eastAsia="zh-CN"/>
              </w:rPr>
              <w:t>乌鲁木齐星辰汇峰环保科技有限公司</w:t>
            </w:r>
          </w:p>
          <w:p>
            <w:pPr>
              <w:keepNext w:val="0"/>
              <w:keepLines w:val="0"/>
              <w:widowControl/>
              <w:suppressLineNumbers w:val="0"/>
              <w:autoSpaceDE w:val="0"/>
              <w:autoSpaceDN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监测时间：</w:t>
            </w:r>
            <w:r>
              <w:rPr>
                <w:rFonts w:hint="eastAsia" w:ascii="Times New Roman" w:hAnsi="Times New Roman" w:cs="Times New Roman"/>
                <w:color w:val="auto"/>
                <w:szCs w:val="21"/>
                <w:highlight w:val="none"/>
                <w:lang w:eastAsia="zh-CN"/>
              </w:rPr>
              <w:t>2026年6月15日</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color w:val="auto"/>
                <w:szCs w:val="21"/>
                <w:highlight w:val="none"/>
              </w:rPr>
            </w:pPr>
            <w:r>
              <w:rPr>
                <w:rFonts w:hint="default" w:ascii="Times New Roman" w:hAnsi="Times New Roman" w:eastAsia="宋体" w:cs="Times New Roman"/>
                <w:b/>
                <w:color w:val="auto"/>
                <w:szCs w:val="21"/>
                <w:highlight w:val="none"/>
                <w:lang w:val="en-US" w:eastAsia="zh-CN"/>
              </w:rPr>
              <w:t>3</w:t>
            </w:r>
            <w:r>
              <w:rPr>
                <w:rFonts w:hint="default" w:ascii="Times New Roman" w:hAnsi="Times New Roman" w:eastAsia="宋体" w:cs="Times New Roman"/>
                <w:b/>
                <w:color w:val="auto"/>
                <w:szCs w:val="21"/>
                <w:highlight w:val="none"/>
              </w:rPr>
              <w:t>.4 监测仪器、监测条件</w:t>
            </w:r>
          </w:p>
          <w:p>
            <w:pPr>
              <w:keepNext w:val="0"/>
              <w:keepLines w:val="0"/>
              <w:widowControl/>
              <w:suppressLineNumbers w:val="0"/>
              <w:autoSpaceDE w:val="0"/>
              <w:autoSpaceDN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rPr>
              <w:t>监测仪器参数，见表3-</w:t>
            </w:r>
            <w:r>
              <w:rPr>
                <w:rFonts w:hint="default" w:ascii="Times New Roman" w:hAnsi="Times New Roman" w:cs="Times New Roman"/>
                <w:color w:val="auto"/>
                <w:szCs w:val="21"/>
                <w:highlight w:val="none"/>
                <w:lang w:val="en-US" w:eastAsia="zh-CN"/>
              </w:rPr>
              <w:t>3</w:t>
            </w:r>
            <w:r>
              <w:rPr>
                <w:rFonts w:hint="default" w:ascii="Times New Roman" w:hAnsi="Times New Roman" w:eastAsia="宋体" w:cs="Times New Roman"/>
                <w:color w:val="auto"/>
                <w:szCs w:val="21"/>
                <w:highlight w:val="none"/>
              </w:rPr>
              <w:t>。监测时的环境状况</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lang w:val="en-US" w:eastAsia="zh-CN"/>
              </w:rPr>
              <w:t>见表3-</w:t>
            </w:r>
            <w:r>
              <w:rPr>
                <w:rFonts w:hint="default" w:ascii="Times New Roman" w:hAnsi="Times New Roman" w:cs="Times New Roman"/>
                <w:color w:val="auto"/>
                <w:szCs w:val="21"/>
                <w:highlight w:val="none"/>
                <w:lang w:val="en-US" w:eastAsia="zh-CN"/>
              </w:rPr>
              <w:t>4</w:t>
            </w:r>
            <w:r>
              <w:rPr>
                <w:rFonts w:hint="default" w:ascii="Times New Roman" w:hAnsi="Times New Roman" w:eastAsia="宋体" w:cs="Times New Roman"/>
                <w:color w:val="auto"/>
                <w:szCs w:val="21"/>
                <w:highlight w:val="none"/>
                <w:lang w:val="en-US" w:eastAsia="zh-CN"/>
              </w:rPr>
              <w:t>。</w:t>
            </w:r>
          </w:p>
          <w:p>
            <w:pPr>
              <w:keepNext w:val="0"/>
              <w:keepLines w:val="0"/>
              <w:widowControl/>
              <w:suppressLineNumbers w:val="0"/>
              <w:autoSpaceDE w:val="0"/>
              <w:autoSpaceDN w:val="0"/>
              <w:adjustRightInd w:val="0"/>
              <w:snapToGrid w:val="0"/>
              <w:spacing w:before="0" w:beforeAutospacing="0" w:after="0" w:afterAutospacing="0" w:line="360" w:lineRule="auto"/>
              <w:ind w:left="0" w:right="0"/>
              <w:jc w:val="center"/>
              <w:rPr>
                <w:rFonts w:hint="default" w:ascii="Times New Roman" w:hAnsi="Times New Roman" w:eastAsia="宋体" w:cs="Times New Roman"/>
                <w:b/>
                <w:bCs/>
                <w:color w:val="auto"/>
                <w:szCs w:val="21"/>
                <w:highlight w:val="none"/>
              </w:rPr>
            </w:pPr>
            <w:r>
              <w:rPr>
                <w:rFonts w:hint="default" w:ascii="Times New Roman" w:hAnsi="Times New Roman" w:eastAsia="宋体" w:cs="Times New Roman"/>
                <w:b/>
                <w:bCs/>
                <w:color w:val="auto"/>
                <w:szCs w:val="21"/>
                <w:highlight w:val="none"/>
                <w:lang w:val="en-US" w:eastAsia="zh-CN"/>
              </w:rPr>
              <w:t>表3-</w:t>
            </w:r>
            <w:r>
              <w:rPr>
                <w:rFonts w:hint="default" w:ascii="Times New Roman" w:hAnsi="Times New Roman" w:cs="Times New Roman"/>
                <w:b/>
                <w:bCs/>
                <w:color w:val="auto"/>
                <w:szCs w:val="21"/>
                <w:highlight w:val="none"/>
                <w:lang w:val="en-US" w:eastAsia="zh-CN"/>
              </w:rPr>
              <w:t>3</w:t>
            </w:r>
            <w:r>
              <w:rPr>
                <w:rFonts w:hint="default" w:ascii="Times New Roman" w:hAnsi="Times New Roman" w:eastAsia="宋体" w:cs="Times New Roman"/>
                <w:b/>
                <w:bCs/>
                <w:color w:val="auto"/>
                <w:szCs w:val="21"/>
                <w:highlight w:val="none"/>
              </w:rPr>
              <w:t xml:space="preserve"> </w:t>
            </w:r>
            <w:r>
              <w:rPr>
                <w:rFonts w:hint="default" w:ascii="Times New Roman" w:hAnsi="Times New Roman" w:eastAsia="宋体" w:cs="Times New Roman"/>
                <w:b/>
                <w:bCs/>
                <w:color w:val="auto"/>
                <w:szCs w:val="21"/>
                <w:highlight w:val="none"/>
                <w:lang w:val="en-US" w:eastAsia="zh-CN"/>
              </w:rPr>
              <w:t xml:space="preserve">  </w:t>
            </w:r>
            <w:r>
              <w:rPr>
                <w:rFonts w:hint="default" w:ascii="Times New Roman" w:hAnsi="Times New Roman" w:eastAsia="宋体" w:cs="Times New Roman"/>
                <w:b/>
                <w:bCs/>
                <w:color w:val="auto"/>
                <w:szCs w:val="21"/>
                <w:highlight w:val="none"/>
              </w:rPr>
              <w:t>仪器设备基本信息</w:t>
            </w:r>
          </w:p>
          <w:tbl>
            <w:tblPr>
              <w:tblStyle w:val="28"/>
              <w:tblW w:w="489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68"/>
              <w:gridCol w:w="838"/>
              <w:gridCol w:w="819"/>
              <w:gridCol w:w="2418"/>
              <w:gridCol w:w="1918"/>
              <w:gridCol w:w="11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3" w:hRule="atLeast"/>
                <w:jc w:val="center"/>
              </w:trPr>
              <w:tc>
                <w:tcPr>
                  <w:tcW w:w="66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仪器名称</w:t>
                  </w:r>
                </w:p>
              </w:tc>
              <w:tc>
                <w:tcPr>
                  <w:tcW w:w="83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仪器</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型号</w:t>
                  </w:r>
                </w:p>
              </w:tc>
              <w:tc>
                <w:tcPr>
                  <w:tcW w:w="819"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仪器</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编号</w:t>
                  </w:r>
                </w:p>
              </w:tc>
              <w:tc>
                <w:tcPr>
                  <w:tcW w:w="241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仪器参数</w:t>
                  </w:r>
                </w:p>
              </w:tc>
              <w:tc>
                <w:tcPr>
                  <w:tcW w:w="1918"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检定单位/证书编号</w:t>
                  </w:r>
                </w:p>
              </w:tc>
              <w:tc>
                <w:tcPr>
                  <w:tcW w:w="1180" w:type="dxa"/>
                  <w:noWrap w:val="0"/>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0"/>
                      <w:szCs w:val="20"/>
                      <w:highlight w:val="none"/>
                    </w:rPr>
                  </w:pPr>
                  <w:r>
                    <w:rPr>
                      <w:rFonts w:hint="default" w:ascii="Times New Roman" w:hAnsi="Times New Roman" w:eastAsia="宋体" w:cs="Times New Roman"/>
                      <w:color w:val="auto"/>
                      <w:sz w:val="20"/>
                      <w:szCs w:val="20"/>
                      <w:highlight w:val="none"/>
                    </w:rPr>
                    <w:t>有效日期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9" w:hRule="atLeast"/>
                <w:jc w:val="center"/>
              </w:trPr>
              <w:tc>
                <w:tcPr>
                  <w:tcW w:w="668" w:type="dxa"/>
                  <w:noWrap w:val="0"/>
                  <w:vAlign w:val="center"/>
                </w:tcPr>
                <w:p>
                  <w:pPr>
                    <w:pStyle w:val="4"/>
                    <w:keepNext w:val="0"/>
                    <w:keepLines w:val="0"/>
                    <w:widowControl/>
                    <w:suppressLineNumbers w:val="0"/>
                    <w:spacing w:before="0" w:beforeAutospacing="0" w:after="15" w:afterAutospacing="0" w:line="240" w:lineRule="auto"/>
                    <w:ind w:left="0" w:leftChars="0" w:right="0" w:rightChars="0"/>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color w:val="auto"/>
                      <w:kern w:val="0"/>
                      <w:sz w:val="20"/>
                      <w:szCs w:val="20"/>
                      <w:highlight w:val="none"/>
                    </w:rPr>
                    <w:t>多功能声级计</w:t>
                  </w:r>
                </w:p>
              </w:tc>
              <w:tc>
                <w:tcPr>
                  <w:tcW w:w="838" w:type="dxa"/>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i w:val="0"/>
                      <w:iCs w:val="0"/>
                      <w:color w:val="auto"/>
                      <w:kern w:val="0"/>
                      <w:sz w:val="21"/>
                      <w:szCs w:val="21"/>
                      <w:highlight w:val="none"/>
                      <w:u w:val="none"/>
                      <w:lang w:val="en-US" w:eastAsia="zh-CN" w:bidi="ar"/>
                    </w:rPr>
                    <w:t>AWA6228+</w:t>
                  </w:r>
                </w:p>
              </w:tc>
              <w:tc>
                <w:tcPr>
                  <w:tcW w:w="819" w:type="dxa"/>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i w:val="0"/>
                      <w:iCs w:val="0"/>
                      <w:color w:val="auto"/>
                      <w:kern w:val="0"/>
                      <w:sz w:val="21"/>
                      <w:szCs w:val="21"/>
                      <w:highlight w:val="none"/>
                      <w:u w:val="none"/>
                      <w:lang w:val="en-US" w:eastAsia="zh-CN" w:bidi="ar"/>
                    </w:rPr>
                    <w:t>XCJC-YQ-009</w:t>
                  </w:r>
                </w:p>
              </w:tc>
              <w:tc>
                <w:tcPr>
                  <w:tcW w:w="2418" w:type="dxa"/>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i w:val="0"/>
                      <w:iCs w:val="0"/>
                      <w:color w:val="auto"/>
                      <w:kern w:val="0"/>
                      <w:sz w:val="21"/>
                      <w:szCs w:val="21"/>
                      <w:highlight w:val="none"/>
                      <w:u w:val="none"/>
                      <w:lang w:val="en-US" w:eastAsia="zh-CN" w:bidi="ar"/>
                    </w:rPr>
                    <w:t>量程：20～142dB；频率范围：10Hz～20kHz；标配灵敏度级：-28dB</w:t>
                  </w:r>
                </w:p>
              </w:tc>
              <w:tc>
                <w:tcPr>
                  <w:tcW w:w="1918" w:type="dxa"/>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val="0"/>
                      <w:bCs w:val="0"/>
                      <w:i w:val="0"/>
                      <w:iCs w:val="0"/>
                      <w:color w:val="auto"/>
                      <w:kern w:val="0"/>
                      <w:sz w:val="21"/>
                      <w:szCs w:val="21"/>
                      <w:highlight w:val="none"/>
                      <w:u w:val="none"/>
                      <w:lang w:val="en-US" w:eastAsia="zh-CN" w:bidi="ar"/>
                    </w:rPr>
                  </w:pPr>
                  <w:r>
                    <w:rPr>
                      <w:rFonts w:hint="default" w:ascii="Times New Roman" w:hAnsi="Times New Roman" w:eastAsia="宋体" w:cs="Times New Roman"/>
                      <w:b w:val="0"/>
                      <w:bCs w:val="0"/>
                      <w:i w:val="0"/>
                      <w:iCs w:val="0"/>
                      <w:color w:val="auto"/>
                      <w:kern w:val="0"/>
                      <w:sz w:val="21"/>
                      <w:szCs w:val="21"/>
                      <w:highlight w:val="none"/>
                      <w:u w:val="none"/>
                      <w:lang w:val="en-US" w:eastAsia="zh-CN" w:bidi="ar"/>
                    </w:rPr>
                    <w:t>新疆维吾尔自治区计量测试研究院</w:t>
                  </w:r>
                </w:p>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i w:val="0"/>
                      <w:iCs w:val="0"/>
                      <w:color w:val="auto"/>
                      <w:kern w:val="0"/>
                      <w:sz w:val="21"/>
                      <w:szCs w:val="21"/>
                      <w:highlight w:val="none"/>
                      <w:u w:val="none"/>
                      <w:lang w:val="en-US" w:eastAsia="zh-CN" w:bidi="ar"/>
                    </w:rPr>
                    <w:t>JV 字26030112号</w:t>
                  </w:r>
                </w:p>
              </w:tc>
              <w:tc>
                <w:tcPr>
                  <w:tcW w:w="1180" w:type="dxa"/>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auto"/>
                      <w:kern w:val="0"/>
                      <w:sz w:val="21"/>
                      <w:szCs w:val="21"/>
                      <w:highlight w:val="none"/>
                      <w:lang w:val="en-US" w:eastAsia="zh-CN"/>
                    </w:rPr>
                  </w:pPr>
                  <w:r>
                    <w:rPr>
                      <w:rFonts w:hint="default" w:ascii="Times New Roman" w:hAnsi="Times New Roman" w:eastAsia="宋体" w:cs="Times New Roman"/>
                      <w:b w:val="0"/>
                      <w:bCs w:val="0"/>
                      <w:color w:val="auto"/>
                      <w:kern w:val="0"/>
                      <w:sz w:val="21"/>
                      <w:szCs w:val="21"/>
                      <w:highlight w:val="none"/>
                    </w:rPr>
                    <w:t>202</w:t>
                  </w:r>
                  <w:r>
                    <w:rPr>
                      <w:rFonts w:hint="default" w:ascii="Times New Roman" w:hAnsi="Times New Roman" w:eastAsia="宋体" w:cs="Times New Roman"/>
                      <w:b w:val="0"/>
                      <w:bCs w:val="0"/>
                      <w:color w:val="auto"/>
                      <w:kern w:val="0"/>
                      <w:sz w:val="21"/>
                      <w:szCs w:val="21"/>
                      <w:highlight w:val="none"/>
                      <w:lang w:val="en-US" w:eastAsia="zh-CN"/>
                    </w:rPr>
                    <w:t>6</w:t>
                  </w:r>
                  <w:r>
                    <w:rPr>
                      <w:rFonts w:hint="default" w:ascii="Times New Roman" w:hAnsi="Times New Roman" w:eastAsia="宋体" w:cs="Times New Roman"/>
                      <w:b w:val="0"/>
                      <w:bCs w:val="0"/>
                      <w:color w:val="auto"/>
                      <w:kern w:val="0"/>
                      <w:sz w:val="21"/>
                      <w:szCs w:val="21"/>
                      <w:highlight w:val="none"/>
                    </w:rPr>
                    <w:t>.0</w:t>
                  </w:r>
                  <w:r>
                    <w:rPr>
                      <w:rFonts w:hint="default" w:ascii="Times New Roman" w:hAnsi="Times New Roman" w:eastAsia="宋体" w:cs="Times New Roman"/>
                      <w:b w:val="0"/>
                      <w:bCs w:val="0"/>
                      <w:color w:val="auto"/>
                      <w:kern w:val="0"/>
                      <w:sz w:val="21"/>
                      <w:szCs w:val="21"/>
                      <w:highlight w:val="none"/>
                      <w:lang w:val="en-US" w:eastAsia="zh-CN"/>
                    </w:rPr>
                    <w:t>2</w:t>
                  </w:r>
                  <w:r>
                    <w:rPr>
                      <w:rFonts w:hint="default" w:ascii="Times New Roman" w:hAnsi="Times New Roman" w:eastAsia="宋体" w:cs="Times New Roman"/>
                      <w:b w:val="0"/>
                      <w:bCs w:val="0"/>
                      <w:color w:val="auto"/>
                      <w:kern w:val="0"/>
                      <w:sz w:val="21"/>
                      <w:szCs w:val="21"/>
                      <w:highlight w:val="none"/>
                    </w:rPr>
                    <w:t>.</w:t>
                  </w:r>
                  <w:r>
                    <w:rPr>
                      <w:rFonts w:hint="default" w:ascii="Times New Roman" w:hAnsi="Times New Roman" w:eastAsia="宋体" w:cs="Times New Roman"/>
                      <w:b w:val="0"/>
                      <w:bCs w:val="0"/>
                      <w:color w:val="auto"/>
                      <w:kern w:val="0"/>
                      <w:sz w:val="21"/>
                      <w:szCs w:val="21"/>
                      <w:highlight w:val="none"/>
                      <w:lang w:val="en-US" w:eastAsia="zh-CN"/>
                    </w:rPr>
                    <w:t>25</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color w:val="auto"/>
                      <w:kern w:val="0"/>
                      <w:sz w:val="21"/>
                      <w:szCs w:val="21"/>
                      <w:highlight w:val="none"/>
                    </w:rPr>
                    <w:t>～202</w:t>
                  </w:r>
                  <w:r>
                    <w:rPr>
                      <w:rFonts w:hint="default" w:ascii="Times New Roman" w:hAnsi="Times New Roman" w:eastAsia="宋体" w:cs="Times New Roman"/>
                      <w:b w:val="0"/>
                      <w:bCs w:val="0"/>
                      <w:color w:val="auto"/>
                      <w:kern w:val="0"/>
                      <w:sz w:val="21"/>
                      <w:szCs w:val="21"/>
                      <w:highlight w:val="none"/>
                      <w:lang w:val="en-US" w:eastAsia="zh-CN"/>
                    </w:rPr>
                    <w:t>7</w:t>
                  </w:r>
                  <w:r>
                    <w:rPr>
                      <w:rFonts w:hint="default" w:ascii="Times New Roman" w:hAnsi="Times New Roman" w:eastAsia="宋体" w:cs="Times New Roman"/>
                      <w:b w:val="0"/>
                      <w:bCs w:val="0"/>
                      <w:color w:val="auto"/>
                      <w:kern w:val="0"/>
                      <w:sz w:val="21"/>
                      <w:szCs w:val="21"/>
                      <w:highlight w:val="none"/>
                    </w:rPr>
                    <w:t>.0</w:t>
                  </w:r>
                  <w:r>
                    <w:rPr>
                      <w:rFonts w:hint="default" w:ascii="Times New Roman" w:hAnsi="Times New Roman" w:eastAsia="宋体" w:cs="Times New Roman"/>
                      <w:b w:val="0"/>
                      <w:bCs w:val="0"/>
                      <w:color w:val="auto"/>
                      <w:kern w:val="0"/>
                      <w:sz w:val="21"/>
                      <w:szCs w:val="21"/>
                      <w:highlight w:val="none"/>
                      <w:lang w:val="en-US" w:eastAsia="zh-CN"/>
                    </w:rPr>
                    <w:t>2</w:t>
                  </w:r>
                  <w:r>
                    <w:rPr>
                      <w:rFonts w:hint="default" w:ascii="Times New Roman" w:hAnsi="Times New Roman" w:eastAsia="宋体" w:cs="Times New Roman"/>
                      <w:b w:val="0"/>
                      <w:bCs w:val="0"/>
                      <w:color w:val="auto"/>
                      <w:kern w:val="0"/>
                      <w:sz w:val="21"/>
                      <w:szCs w:val="21"/>
                      <w:highlight w:val="none"/>
                    </w:rPr>
                    <w:t>.</w:t>
                  </w:r>
                  <w:r>
                    <w:rPr>
                      <w:rFonts w:hint="default" w:ascii="Times New Roman" w:hAnsi="Times New Roman" w:eastAsia="宋体" w:cs="Times New Roman"/>
                      <w:b w:val="0"/>
                      <w:bCs w:val="0"/>
                      <w:color w:val="auto"/>
                      <w:kern w:val="0"/>
                      <w:sz w:val="21"/>
                      <w:szCs w:val="21"/>
                      <w:highlight w:val="none"/>
                      <w:lang w:val="en-US" w:eastAsia="zh-CN"/>
                    </w:rPr>
                    <w:t>24</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9" w:hRule="atLeast"/>
                <w:jc w:val="center"/>
              </w:trPr>
              <w:tc>
                <w:tcPr>
                  <w:tcW w:w="668" w:type="dxa"/>
                  <w:noWrap w:val="0"/>
                  <w:vAlign w:val="center"/>
                </w:tcPr>
                <w:p>
                  <w:pPr>
                    <w:pStyle w:val="4"/>
                    <w:keepNext w:val="0"/>
                    <w:keepLines w:val="0"/>
                    <w:widowControl/>
                    <w:suppressLineNumbers w:val="0"/>
                    <w:spacing w:before="0" w:beforeAutospacing="0" w:after="15" w:afterAutospacing="0" w:line="240" w:lineRule="auto"/>
                    <w:ind w:left="0" w:leftChars="0" w:right="0" w:rightChars="0"/>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color w:val="auto"/>
                      <w:kern w:val="0"/>
                      <w:sz w:val="20"/>
                      <w:szCs w:val="20"/>
                      <w:highlight w:val="none"/>
                    </w:rPr>
                    <w:t>声校准器</w:t>
                  </w:r>
                </w:p>
              </w:tc>
              <w:tc>
                <w:tcPr>
                  <w:tcW w:w="838" w:type="dxa"/>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color w:val="auto"/>
                      <w:kern w:val="0"/>
                      <w:sz w:val="21"/>
                      <w:szCs w:val="21"/>
                      <w:highlight w:val="none"/>
                      <w:lang w:val="en-US" w:eastAsia="zh-CN"/>
                    </w:rPr>
                    <w:t>AWA6021A</w:t>
                  </w:r>
                </w:p>
              </w:tc>
              <w:tc>
                <w:tcPr>
                  <w:tcW w:w="819" w:type="dxa"/>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color w:val="auto"/>
                      <w:kern w:val="0"/>
                      <w:sz w:val="21"/>
                      <w:szCs w:val="21"/>
                      <w:highlight w:val="none"/>
                    </w:rPr>
                    <w:t>XCJC-YQ-0</w:t>
                  </w:r>
                  <w:r>
                    <w:rPr>
                      <w:rFonts w:hint="default" w:ascii="Times New Roman" w:hAnsi="Times New Roman" w:eastAsia="宋体" w:cs="Times New Roman"/>
                      <w:b w:val="0"/>
                      <w:bCs w:val="0"/>
                      <w:color w:val="auto"/>
                      <w:kern w:val="0"/>
                      <w:sz w:val="21"/>
                      <w:szCs w:val="21"/>
                      <w:highlight w:val="none"/>
                      <w:lang w:val="en-US" w:eastAsia="zh-CN"/>
                    </w:rPr>
                    <w:t>10</w:t>
                  </w:r>
                </w:p>
              </w:tc>
              <w:tc>
                <w:tcPr>
                  <w:tcW w:w="2418" w:type="dxa"/>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i w:val="0"/>
                      <w:iCs w:val="0"/>
                      <w:color w:val="auto"/>
                      <w:kern w:val="0"/>
                      <w:sz w:val="21"/>
                      <w:szCs w:val="21"/>
                      <w:highlight w:val="none"/>
                      <w:u w:val="none"/>
                      <w:lang w:val="en-US" w:eastAsia="zh-CN" w:bidi="ar"/>
                    </w:rPr>
                    <w:t>声压级：94.0dB和114.0dB(以2×10</w:t>
                  </w:r>
                  <w:r>
                    <w:rPr>
                      <w:rStyle w:val="128"/>
                      <w:rFonts w:hint="default" w:ascii="Times New Roman" w:hAnsi="Times New Roman" w:eastAsia="宋体" w:cs="Times New Roman"/>
                      <w:b w:val="0"/>
                      <w:bCs w:val="0"/>
                      <w:color w:val="auto"/>
                      <w:sz w:val="21"/>
                      <w:szCs w:val="21"/>
                      <w:highlight w:val="none"/>
                      <w:vertAlign w:val="superscript"/>
                      <w:lang w:val="en-US" w:eastAsia="zh-CN" w:bidi="ar"/>
                    </w:rPr>
                    <w:t>-5</w:t>
                  </w:r>
                  <w:r>
                    <w:rPr>
                      <w:rFonts w:hint="default" w:ascii="Times New Roman" w:hAnsi="Times New Roman" w:eastAsia="宋体" w:cs="Times New Roman"/>
                      <w:b w:val="0"/>
                      <w:bCs w:val="0"/>
                      <w:i w:val="0"/>
                      <w:iCs w:val="0"/>
                      <w:color w:val="auto"/>
                      <w:kern w:val="0"/>
                      <w:sz w:val="21"/>
                      <w:szCs w:val="21"/>
                      <w:highlight w:val="none"/>
                      <w:u w:val="none"/>
                      <w:lang w:val="en-US" w:eastAsia="zh-CN" w:bidi="ar"/>
                    </w:rPr>
                    <w:t>Pa为参考）；声压级误差：±0.25dB；频率：1000.0±1Hz</w:t>
                  </w:r>
                </w:p>
              </w:tc>
              <w:tc>
                <w:tcPr>
                  <w:tcW w:w="1918" w:type="dxa"/>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i w:val="0"/>
                      <w:iCs w:val="0"/>
                      <w:color w:val="auto"/>
                      <w:kern w:val="0"/>
                      <w:sz w:val="21"/>
                      <w:szCs w:val="21"/>
                      <w:highlight w:val="none"/>
                      <w:u w:val="none"/>
                      <w:lang w:val="en-US" w:eastAsia="zh-CN" w:bidi="ar"/>
                    </w:rPr>
                    <w:t>深圳中计电计量测试技术有限公司ZD202601091294</w:t>
                  </w:r>
                </w:p>
              </w:tc>
              <w:tc>
                <w:tcPr>
                  <w:tcW w:w="1180" w:type="dxa"/>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auto"/>
                      <w:kern w:val="0"/>
                      <w:sz w:val="21"/>
                      <w:szCs w:val="21"/>
                      <w:highlight w:val="none"/>
                      <w:lang w:val="en-US" w:eastAsia="zh-CN"/>
                    </w:rPr>
                  </w:pPr>
                  <w:r>
                    <w:rPr>
                      <w:rFonts w:hint="default" w:ascii="Times New Roman" w:hAnsi="Times New Roman" w:eastAsia="宋体" w:cs="Times New Roman"/>
                      <w:b w:val="0"/>
                      <w:bCs w:val="0"/>
                      <w:color w:val="auto"/>
                      <w:kern w:val="0"/>
                      <w:sz w:val="21"/>
                      <w:szCs w:val="21"/>
                      <w:highlight w:val="none"/>
                    </w:rPr>
                    <w:t>202</w:t>
                  </w:r>
                  <w:r>
                    <w:rPr>
                      <w:rFonts w:hint="eastAsia" w:ascii="Times New Roman" w:hAnsi="Times New Roman" w:eastAsia="宋体" w:cs="Times New Roman"/>
                      <w:b w:val="0"/>
                      <w:bCs w:val="0"/>
                      <w:color w:val="auto"/>
                      <w:kern w:val="0"/>
                      <w:sz w:val="21"/>
                      <w:szCs w:val="21"/>
                      <w:highlight w:val="none"/>
                      <w:lang w:val="en-US" w:eastAsia="zh-CN"/>
                    </w:rPr>
                    <w:t>6</w:t>
                  </w:r>
                  <w:r>
                    <w:rPr>
                      <w:rFonts w:hint="default" w:ascii="Times New Roman" w:hAnsi="Times New Roman" w:eastAsia="宋体" w:cs="Times New Roman"/>
                      <w:b w:val="0"/>
                      <w:bCs w:val="0"/>
                      <w:color w:val="auto"/>
                      <w:kern w:val="0"/>
                      <w:sz w:val="21"/>
                      <w:szCs w:val="21"/>
                      <w:highlight w:val="none"/>
                    </w:rPr>
                    <w:t>.</w:t>
                  </w:r>
                  <w:r>
                    <w:rPr>
                      <w:rFonts w:hint="default" w:ascii="Times New Roman" w:hAnsi="Times New Roman" w:eastAsia="宋体" w:cs="Times New Roman"/>
                      <w:b w:val="0"/>
                      <w:bCs w:val="0"/>
                      <w:color w:val="auto"/>
                      <w:kern w:val="0"/>
                      <w:sz w:val="21"/>
                      <w:szCs w:val="21"/>
                      <w:highlight w:val="none"/>
                      <w:lang w:val="en-US" w:eastAsia="zh-CN"/>
                    </w:rPr>
                    <w:t>0</w:t>
                  </w:r>
                  <w:r>
                    <w:rPr>
                      <w:rFonts w:hint="eastAsia" w:ascii="Times New Roman" w:hAnsi="Times New Roman" w:eastAsia="宋体" w:cs="Times New Roman"/>
                      <w:b w:val="0"/>
                      <w:bCs w:val="0"/>
                      <w:color w:val="auto"/>
                      <w:kern w:val="0"/>
                      <w:sz w:val="21"/>
                      <w:szCs w:val="21"/>
                      <w:highlight w:val="none"/>
                      <w:lang w:val="en-US" w:eastAsia="zh-CN"/>
                    </w:rPr>
                    <w:t>1</w:t>
                  </w:r>
                  <w:r>
                    <w:rPr>
                      <w:rFonts w:hint="default" w:ascii="Times New Roman" w:hAnsi="Times New Roman" w:eastAsia="宋体" w:cs="Times New Roman"/>
                      <w:b w:val="0"/>
                      <w:bCs w:val="0"/>
                      <w:color w:val="auto"/>
                      <w:kern w:val="0"/>
                      <w:sz w:val="21"/>
                      <w:szCs w:val="21"/>
                      <w:highlight w:val="none"/>
                      <w:lang w:val="en-US" w:eastAsia="zh-CN"/>
                    </w:rPr>
                    <w:t>.0</w:t>
                  </w:r>
                  <w:r>
                    <w:rPr>
                      <w:rFonts w:hint="eastAsia" w:ascii="Times New Roman" w:hAnsi="Times New Roman" w:eastAsia="宋体" w:cs="Times New Roman"/>
                      <w:b w:val="0"/>
                      <w:bCs w:val="0"/>
                      <w:color w:val="auto"/>
                      <w:kern w:val="0"/>
                      <w:sz w:val="21"/>
                      <w:szCs w:val="21"/>
                      <w:highlight w:val="none"/>
                      <w:lang w:val="en-US" w:eastAsia="zh-CN"/>
                    </w:rPr>
                    <w:t>9</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color w:val="auto"/>
                      <w:kern w:val="0"/>
                      <w:sz w:val="21"/>
                      <w:szCs w:val="21"/>
                      <w:highlight w:val="none"/>
                    </w:rPr>
                    <w:t>～202</w:t>
                  </w:r>
                  <w:r>
                    <w:rPr>
                      <w:rFonts w:hint="eastAsia" w:ascii="Times New Roman" w:hAnsi="Times New Roman" w:eastAsia="宋体" w:cs="Times New Roman"/>
                      <w:b w:val="0"/>
                      <w:bCs w:val="0"/>
                      <w:color w:val="auto"/>
                      <w:kern w:val="0"/>
                      <w:sz w:val="21"/>
                      <w:szCs w:val="21"/>
                      <w:highlight w:val="none"/>
                      <w:lang w:val="en-US" w:eastAsia="zh-CN"/>
                    </w:rPr>
                    <w:t>7</w:t>
                  </w:r>
                  <w:r>
                    <w:rPr>
                      <w:rFonts w:hint="default" w:ascii="Times New Roman" w:hAnsi="Times New Roman" w:eastAsia="宋体" w:cs="Times New Roman"/>
                      <w:b w:val="0"/>
                      <w:bCs w:val="0"/>
                      <w:color w:val="auto"/>
                      <w:kern w:val="0"/>
                      <w:sz w:val="21"/>
                      <w:szCs w:val="21"/>
                      <w:highlight w:val="none"/>
                    </w:rPr>
                    <w:t>.</w:t>
                  </w:r>
                  <w:r>
                    <w:rPr>
                      <w:rFonts w:hint="default" w:ascii="Times New Roman" w:hAnsi="Times New Roman" w:eastAsia="宋体" w:cs="Times New Roman"/>
                      <w:b w:val="0"/>
                      <w:bCs w:val="0"/>
                      <w:color w:val="auto"/>
                      <w:kern w:val="0"/>
                      <w:sz w:val="21"/>
                      <w:szCs w:val="21"/>
                      <w:highlight w:val="none"/>
                      <w:lang w:val="en-US" w:eastAsia="zh-CN"/>
                    </w:rPr>
                    <w:t>0</w:t>
                  </w:r>
                  <w:r>
                    <w:rPr>
                      <w:rFonts w:hint="eastAsia" w:ascii="Times New Roman" w:hAnsi="Times New Roman" w:eastAsia="宋体" w:cs="Times New Roman"/>
                      <w:b w:val="0"/>
                      <w:bCs w:val="0"/>
                      <w:color w:val="auto"/>
                      <w:kern w:val="0"/>
                      <w:sz w:val="21"/>
                      <w:szCs w:val="21"/>
                      <w:highlight w:val="none"/>
                      <w:lang w:val="en-US" w:eastAsia="zh-CN"/>
                    </w:rPr>
                    <w:t>1</w:t>
                  </w:r>
                  <w:r>
                    <w:rPr>
                      <w:rFonts w:hint="default" w:ascii="Times New Roman" w:hAnsi="Times New Roman" w:eastAsia="宋体" w:cs="Times New Roman"/>
                      <w:b w:val="0"/>
                      <w:bCs w:val="0"/>
                      <w:color w:val="auto"/>
                      <w:kern w:val="0"/>
                      <w:sz w:val="21"/>
                      <w:szCs w:val="21"/>
                      <w:highlight w:val="none"/>
                      <w:lang w:val="en-US" w:eastAsia="zh-CN"/>
                    </w:rPr>
                    <w:t>.0</w:t>
                  </w:r>
                  <w:r>
                    <w:rPr>
                      <w:rFonts w:hint="eastAsia" w:ascii="Times New Roman" w:hAnsi="Times New Roman" w:eastAsia="宋体" w:cs="Times New Roman"/>
                      <w:b w:val="0"/>
                      <w:bCs w:val="0"/>
                      <w:color w:val="auto"/>
                      <w:kern w:val="0"/>
                      <w:sz w:val="21"/>
                      <w:szCs w:val="21"/>
                      <w:highlight w:val="none"/>
                      <w:lang w:val="en-US" w:eastAsia="zh-CN"/>
                    </w:rPr>
                    <w:t>8</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30" w:hRule="atLeast"/>
                <w:jc w:val="center"/>
              </w:trPr>
              <w:tc>
                <w:tcPr>
                  <w:tcW w:w="668" w:type="dxa"/>
                  <w:noWrap w:val="0"/>
                  <w:vAlign w:val="center"/>
                </w:tcPr>
                <w:p>
                  <w:pPr>
                    <w:pStyle w:val="4"/>
                    <w:keepNext w:val="0"/>
                    <w:keepLines w:val="0"/>
                    <w:widowControl/>
                    <w:suppressLineNumbers w:val="0"/>
                    <w:spacing w:before="0" w:beforeAutospacing="0" w:after="15" w:afterAutospacing="0" w:line="240" w:lineRule="auto"/>
                    <w:ind w:left="0" w:right="0"/>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color w:val="auto"/>
                      <w:kern w:val="0"/>
                      <w:sz w:val="20"/>
                      <w:szCs w:val="20"/>
                      <w:highlight w:val="none"/>
                    </w:rPr>
                    <w:t>风速仪</w:t>
                  </w:r>
                </w:p>
              </w:tc>
              <w:tc>
                <w:tcPr>
                  <w:tcW w:w="838" w:type="dxa"/>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i w:val="0"/>
                      <w:iCs w:val="0"/>
                      <w:color w:val="auto"/>
                      <w:kern w:val="0"/>
                      <w:sz w:val="21"/>
                      <w:szCs w:val="21"/>
                      <w:highlight w:val="none"/>
                      <w:u w:val="none"/>
                      <w:lang w:val="en-US" w:eastAsia="zh-CN" w:bidi="ar"/>
                    </w:rPr>
                    <w:t>HT-856</w:t>
                  </w:r>
                </w:p>
              </w:tc>
              <w:tc>
                <w:tcPr>
                  <w:tcW w:w="819" w:type="dxa"/>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color w:val="auto"/>
                      <w:kern w:val="0"/>
                      <w:sz w:val="21"/>
                      <w:szCs w:val="21"/>
                      <w:highlight w:val="none"/>
                    </w:rPr>
                    <w:t>XCJC-YQ-0</w:t>
                  </w:r>
                  <w:r>
                    <w:rPr>
                      <w:rFonts w:hint="default" w:ascii="Times New Roman" w:hAnsi="Times New Roman" w:eastAsia="宋体" w:cs="Times New Roman"/>
                      <w:b w:val="0"/>
                      <w:bCs w:val="0"/>
                      <w:color w:val="auto"/>
                      <w:kern w:val="0"/>
                      <w:sz w:val="21"/>
                      <w:szCs w:val="21"/>
                      <w:highlight w:val="none"/>
                      <w:lang w:val="en-US" w:eastAsia="zh-CN"/>
                    </w:rPr>
                    <w:t>15</w:t>
                  </w:r>
                </w:p>
              </w:tc>
              <w:tc>
                <w:tcPr>
                  <w:tcW w:w="2418" w:type="dxa"/>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i w:val="0"/>
                      <w:iCs w:val="0"/>
                      <w:color w:val="auto"/>
                      <w:kern w:val="0"/>
                      <w:sz w:val="21"/>
                      <w:szCs w:val="21"/>
                      <w:highlight w:val="none"/>
                      <w:u w:val="none"/>
                      <w:lang w:val="en-US" w:eastAsia="zh-CN" w:bidi="ar"/>
                    </w:rPr>
                    <w:t>测量范围：0.4～30.0m/s；分辨率：0.1m/s；准确度：±（3%+0.3m/s)</w:t>
                  </w:r>
                </w:p>
              </w:tc>
              <w:tc>
                <w:tcPr>
                  <w:tcW w:w="1918" w:type="dxa"/>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i w:val="0"/>
                      <w:iCs w:val="0"/>
                      <w:color w:val="auto"/>
                      <w:kern w:val="0"/>
                      <w:sz w:val="21"/>
                      <w:szCs w:val="21"/>
                      <w:highlight w:val="none"/>
                      <w:u w:val="none"/>
                      <w:lang w:val="en-US" w:eastAsia="zh-CN" w:bidi="ar"/>
                    </w:rPr>
                    <w:t>安正计量检测有限公司YY20256879351</w:t>
                  </w:r>
                </w:p>
              </w:tc>
              <w:tc>
                <w:tcPr>
                  <w:tcW w:w="1180" w:type="dxa"/>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val="0"/>
                      <w:bCs w:val="0"/>
                      <w:color w:val="auto"/>
                      <w:kern w:val="0"/>
                      <w:sz w:val="21"/>
                      <w:szCs w:val="21"/>
                      <w:highlight w:val="none"/>
                      <w:lang w:val="en-US" w:eastAsia="zh-CN"/>
                    </w:rPr>
                  </w:pPr>
                  <w:r>
                    <w:rPr>
                      <w:rFonts w:hint="default" w:ascii="Times New Roman" w:hAnsi="Times New Roman" w:eastAsia="宋体" w:cs="Times New Roman"/>
                      <w:b w:val="0"/>
                      <w:bCs w:val="0"/>
                      <w:color w:val="auto"/>
                      <w:kern w:val="0"/>
                      <w:sz w:val="21"/>
                      <w:szCs w:val="21"/>
                      <w:highlight w:val="none"/>
                    </w:rPr>
                    <w:t>202</w:t>
                  </w:r>
                  <w:r>
                    <w:rPr>
                      <w:rFonts w:hint="default" w:ascii="Times New Roman" w:hAnsi="Times New Roman" w:eastAsia="宋体" w:cs="Times New Roman"/>
                      <w:b w:val="0"/>
                      <w:bCs w:val="0"/>
                      <w:color w:val="auto"/>
                      <w:kern w:val="0"/>
                      <w:sz w:val="21"/>
                      <w:szCs w:val="21"/>
                      <w:highlight w:val="none"/>
                      <w:lang w:val="en-US" w:eastAsia="zh-CN"/>
                    </w:rPr>
                    <w:t>5</w:t>
                  </w:r>
                  <w:r>
                    <w:rPr>
                      <w:rFonts w:hint="default" w:ascii="Times New Roman" w:hAnsi="Times New Roman" w:eastAsia="宋体" w:cs="Times New Roman"/>
                      <w:b w:val="0"/>
                      <w:bCs w:val="0"/>
                      <w:color w:val="auto"/>
                      <w:kern w:val="0"/>
                      <w:sz w:val="21"/>
                      <w:szCs w:val="21"/>
                      <w:highlight w:val="none"/>
                    </w:rPr>
                    <w:t>.</w:t>
                  </w:r>
                  <w:r>
                    <w:rPr>
                      <w:rFonts w:hint="default" w:ascii="Times New Roman" w:hAnsi="Times New Roman" w:eastAsia="宋体" w:cs="Times New Roman"/>
                      <w:b w:val="0"/>
                      <w:bCs w:val="0"/>
                      <w:color w:val="auto"/>
                      <w:kern w:val="0"/>
                      <w:sz w:val="21"/>
                      <w:szCs w:val="21"/>
                      <w:highlight w:val="none"/>
                      <w:lang w:val="en-US" w:eastAsia="zh-CN"/>
                    </w:rPr>
                    <w:t>10</w:t>
                  </w:r>
                  <w:r>
                    <w:rPr>
                      <w:rFonts w:hint="default" w:ascii="Times New Roman" w:hAnsi="Times New Roman" w:eastAsia="宋体" w:cs="Times New Roman"/>
                      <w:b w:val="0"/>
                      <w:bCs w:val="0"/>
                      <w:color w:val="auto"/>
                      <w:kern w:val="0"/>
                      <w:sz w:val="21"/>
                      <w:szCs w:val="21"/>
                      <w:highlight w:val="none"/>
                    </w:rPr>
                    <w:t>.</w:t>
                  </w:r>
                  <w:r>
                    <w:rPr>
                      <w:rFonts w:hint="default" w:ascii="Times New Roman" w:hAnsi="Times New Roman" w:eastAsia="宋体" w:cs="Times New Roman"/>
                      <w:b w:val="0"/>
                      <w:bCs w:val="0"/>
                      <w:color w:val="auto"/>
                      <w:kern w:val="0"/>
                      <w:sz w:val="21"/>
                      <w:szCs w:val="21"/>
                      <w:highlight w:val="none"/>
                      <w:lang w:val="en-US" w:eastAsia="zh-CN"/>
                    </w:rPr>
                    <w:t>29</w:t>
                  </w:r>
                </w:p>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0"/>
                      <w:szCs w:val="20"/>
                      <w:highlight w:val="none"/>
                      <w:lang w:val="en-US" w:eastAsia="zh-CN"/>
                    </w:rPr>
                  </w:pPr>
                  <w:r>
                    <w:rPr>
                      <w:rFonts w:hint="default" w:ascii="Times New Roman" w:hAnsi="Times New Roman" w:eastAsia="宋体" w:cs="Times New Roman"/>
                      <w:b w:val="0"/>
                      <w:bCs w:val="0"/>
                      <w:color w:val="auto"/>
                      <w:kern w:val="0"/>
                      <w:sz w:val="21"/>
                      <w:szCs w:val="21"/>
                      <w:highlight w:val="none"/>
                    </w:rPr>
                    <w:t>～202</w:t>
                  </w:r>
                  <w:r>
                    <w:rPr>
                      <w:rFonts w:hint="default" w:ascii="Times New Roman" w:hAnsi="Times New Roman" w:eastAsia="宋体" w:cs="Times New Roman"/>
                      <w:b w:val="0"/>
                      <w:bCs w:val="0"/>
                      <w:color w:val="auto"/>
                      <w:kern w:val="0"/>
                      <w:sz w:val="21"/>
                      <w:szCs w:val="21"/>
                      <w:highlight w:val="none"/>
                      <w:lang w:val="en-US" w:eastAsia="zh-CN"/>
                    </w:rPr>
                    <w:t>6</w:t>
                  </w:r>
                  <w:r>
                    <w:rPr>
                      <w:rFonts w:hint="default" w:ascii="Times New Roman" w:hAnsi="Times New Roman" w:eastAsia="宋体" w:cs="Times New Roman"/>
                      <w:b w:val="0"/>
                      <w:bCs w:val="0"/>
                      <w:color w:val="auto"/>
                      <w:kern w:val="0"/>
                      <w:sz w:val="21"/>
                      <w:szCs w:val="21"/>
                      <w:highlight w:val="none"/>
                    </w:rPr>
                    <w:t>.</w:t>
                  </w:r>
                  <w:r>
                    <w:rPr>
                      <w:rFonts w:hint="default" w:ascii="Times New Roman" w:hAnsi="Times New Roman" w:eastAsia="宋体" w:cs="Times New Roman"/>
                      <w:b w:val="0"/>
                      <w:bCs w:val="0"/>
                      <w:color w:val="auto"/>
                      <w:kern w:val="0"/>
                      <w:sz w:val="21"/>
                      <w:szCs w:val="21"/>
                      <w:highlight w:val="none"/>
                      <w:lang w:val="en-US" w:eastAsia="zh-CN"/>
                    </w:rPr>
                    <w:t>10</w:t>
                  </w:r>
                  <w:r>
                    <w:rPr>
                      <w:rFonts w:hint="default" w:ascii="Times New Roman" w:hAnsi="Times New Roman" w:eastAsia="宋体" w:cs="Times New Roman"/>
                      <w:b w:val="0"/>
                      <w:bCs w:val="0"/>
                      <w:color w:val="auto"/>
                      <w:kern w:val="0"/>
                      <w:sz w:val="21"/>
                      <w:szCs w:val="21"/>
                      <w:highlight w:val="none"/>
                    </w:rPr>
                    <w:t>.</w:t>
                  </w:r>
                  <w:r>
                    <w:rPr>
                      <w:rFonts w:hint="default" w:ascii="Times New Roman" w:hAnsi="Times New Roman" w:eastAsia="宋体" w:cs="Times New Roman"/>
                      <w:b w:val="0"/>
                      <w:bCs w:val="0"/>
                      <w:color w:val="auto"/>
                      <w:kern w:val="0"/>
                      <w:sz w:val="21"/>
                      <w:szCs w:val="21"/>
                      <w:highlight w:val="none"/>
                      <w:lang w:val="en-US" w:eastAsia="zh-CN"/>
                    </w:rPr>
                    <w:t>28</w:t>
                  </w:r>
                </w:p>
              </w:tc>
            </w:tr>
          </w:tbl>
          <w:p>
            <w:pPr>
              <w:keepNext w:val="0"/>
              <w:keepLines w:val="0"/>
              <w:widowControl/>
              <w:suppressLineNumbers w:val="0"/>
              <w:tabs>
                <w:tab w:val="left" w:pos="2808"/>
                <w:tab w:val="center" w:pos="5152"/>
              </w:tabs>
              <w:spacing w:before="0" w:beforeLines="0" w:beforeAutospacing="0" w:after="0" w:afterLines="0" w:afterAutospacing="0" w:line="360" w:lineRule="auto"/>
              <w:ind w:left="0" w:right="0"/>
              <w:jc w:val="center"/>
              <w:rPr>
                <w:rFonts w:hint="default" w:ascii="Times New Roman" w:hAnsi="Times New Roman" w:eastAsia="宋体" w:cs="Times New Roman"/>
                <w:b/>
                <w:color w:val="auto"/>
                <w:kern w:val="0"/>
                <w:sz w:val="24"/>
                <w:szCs w:val="24"/>
                <w:highlight w:val="none"/>
              </w:rPr>
            </w:pPr>
            <w:r>
              <w:rPr>
                <w:rFonts w:hint="default" w:ascii="Times New Roman" w:hAnsi="Times New Roman" w:eastAsia="宋体" w:cs="Times New Roman"/>
                <w:b/>
                <w:color w:val="auto"/>
                <w:kern w:val="0"/>
                <w:sz w:val="24"/>
                <w:szCs w:val="24"/>
                <w:highlight w:val="none"/>
              </w:rPr>
              <w:t>表</w:t>
            </w:r>
            <w:r>
              <w:rPr>
                <w:rFonts w:hint="default" w:ascii="Times New Roman" w:hAnsi="Times New Roman" w:eastAsia="宋体" w:cs="Times New Roman"/>
                <w:b/>
                <w:color w:val="auto"/>
                <w:kern w:val="0"/>
                <w:sz w:val="24"/>
                <w:szCs w:val="24"/>
                <w:highlight w:val="none"/>
                <w:lang w:val="en-US" w:eastAsia="zh-CN"/>
              </w:rPr>
              <w:t>3</w:t>
            </w:r>
            <w:r>
              <w:rPr>
                <w:rFonts w:hint="default" w:ascii="Times New Roman" w:hAnsi="Times New Roman" w:eastAsia="宋体" w:cs="Times New Roman"/>
                <w:b/>
                <w:color w:val="auto"/>
                <w:kern w:val="0"/>
                <w:sz w:val="24"/>
                <w:szCs w:val="24"/>
                <w:highlight w:val="none"/>
              </w:rPr>
              <w:t>-</w:t>
            </w:r>
            <w:r>
              <w:rPr>
                <w:rFonts w:hint="default" w:ascii="Times New Roman" w:hAnsi="Times New Roman" w:cs="Times New Roman"/>
                <w:b/>
                <w:color w:val="auto"/>
                <w:kern w:val="0"/>
                <w:sz w:val="24"/>
                <w:szCs w:val="24"/>
                <w:highlight w:val="none"/>
                <w:lang w:val="en-US" w:eastAsia="zh-CN"/>
              </w:rPr>
              <w:t>4</w:t>
            </w:r>
            <w:r>
              <w:rPr>
                <w:rFonts w:hint="default" w:ascii="Times New Roman" w:hAnsi="Times New Roman" w:eastAsia="宋体" w:cs="Times New Roman"/>
                <w:b/>
                <w:color w:val="auto"/>
                <w:kern w:val="0"/>
                <w:sz w:val="24"/>
                <w:szCs w:val="24"/>
                <w:highlight w:val="none"/>
                <w:lang w:val="en-US" w:eastAsia="zh-CN"/>
              </w:rPr>
              <w:t xml:space="preserve">  </w:t>
            </w:r>
            <w:r>
              <w:rPr>
                <w:rFonts w:hint="default" w:ascii="Times New Roman" w:hAnsi="Times New Roman" w:eastAsia="宋体" w:cs="Times New Roman"/>
                <w:b/>
                <w:color w:val="auto"/>
                <w:kern w:val="0"/>
                <w:sz w:val="24"/>
                <w:szCs w:val="24"/>
                <w:highlight w:val="none"/>
              </w:rPr>
              <w:t xml:space="preserve"> 监测时的环境状况</w:t>
            </w:r>
          </w:p>
          <w:tbl>
            <w:tblPr>
              <w:tblStyle w:val="28"/>
              <w:tblW w:w="8057"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05"/>
              <w:gridCol w:w="2793"/>
              <w:gridCol w:w="773"/>
              <w:gridCol w:w="928"/>
              <w:gridCol w:w="1116"/>
              <w:gridCol w:w="124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17" w:hRule="atLeast"/>
              </w:trPr>
              <w:tc>
                <w:tcPr>
                  <w:tcW w:w="747" w:type="pct"/>
                  <w:tcBorders>
                    <w:tl2br w:val="nil"/>
                    <w:tr2bl w:val="nil"/>
                  </w:tcBorders>
                  <w:noWrap w:val="0"/>
                  <w:tcMar>
                    <w:left w:w="28" w:type="dxa"/>
                    <w:right w:w="28" w:type="dxa"/>
                  </w:tcMar>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eastAsia="zh-CN"/>
                    </w:rPr>
                    <w:t>监测</w:t>
                  </w:r>
                  <w:r>
                    <w:rPr>
                      <w:rFonts w:hint="default" w:ascii="Times New Roman" w:hAnsi="Times New Roman" w:eastAsia="宋体" w:cs="Times New Roman"/>
                      <w:color w:val="auto"/>
                      <w:sz w:val="21"/>
                      <w:szCs w:val="21"/>
                      <w:highlight w:val="none"/>
                      <w:lang w:val="en-US" w:eastAsia="zh-CN"/>
                    </w:rPr>
                    <w:t>因子</w:t>
                  </w:r>
                </w:p>
              </w:tc>
              <w:tc>
                <w:tcPr>
                  <w:tcW w:w="1733" w:type="pct"/>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监测时间</w:t>
                  </w:r>
                </w:p>
              </w:tc>
              <w:tc>
                <w:tcPr>
                  <w:tcW w:w="479" w:type="pct"/>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天气</w:t>
                  </w:r>
                </w:p>
              </w:tc>
              <w:tc>
                <w:tcPr>
                  <w:tcW w:w="575" w:type="pct"/>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气温</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w:t>
                  </w:r>
                </w:p>
              </w:tc>
              <w:tc>
                <w:tcPr>
                  <w:tcW w:w="692" w:type="pct"/>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相对湿度</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eastAsia="宋体" w:cs="Times New Roman"/>
                      <w:color w:val="auto"/>
                      <w:sz w:val="21"/>
                      <w:szCs w:val="21"/>
                      <w:highlight w:val="none"/>
                      <w:lang w:val="en-US" w:eastAsia="zh-CN"/>
                    </w:rPr>
                    <w:t>）</w:t>
                  </w:r>
                </w:p>
              </w:tc>
              <w:tc>
                <w:tcPr>
                  <w:tcW w:w="770" w:type="pct"/>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风速</w:t>
                  </w:r>
                  <w:r>
                    <w:rPr>
                      <w:rFonts w:hint="eastAsia"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m/s</w:t>
                  </w:r>
                  <w:r>
                    <w:rPr>
                      <w:rFonts w:hint="eastAsia" w:ascii="Times New Roman" w:hAnsi="Times New Roman" w:eastAsia="宋体" w:cs="Times New Roman"/>
                      <w:color w:val="auto"/>
                      <w:sz w:val="21"/>
                      <w:szCs w:val="21"/>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71" w:hRule="atLeast"/>
              </w:trPr>
              <w:tc>
                <w:tcPr>
                  <w:tcW w:w="747" w:type="pct"/>
                  <w:vMerge w:val="restart"/>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sz w:val="21"/>
                      <w:szCs w:val="21"/>
                      <w:highlight w:val="none"/>
                      <w:lang w:val="en-US" w:eastAsia="zh-CN"/>
                    </w:rPr>
                    <w:t>噪声</w:t>
                  </w:r>
                </w:p>
              </w:tc>
              <w:tc>
                <w:tcPr>
                  <w:tcW w:w="2793" w:type="dxa"/>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2026年</w:t>
                  </w:r>
                  <w:r>
                    <w:rPr>
                      <w:rFonts w:hint="eastAsia" w:ascii="Times New Roman" w:hAnsi="Times New Roman" w:eastAsia="宋体" w:cs="Times New Roman"/>
                      <w:color w:val="auto"/>
                      <w:sz w:val="21"/>
                      <w:szCs w:val="21"/>
                      <w:highlight w:val="none"/>
                      <w:lang w:val="en-US" w:eastAsia="zh-CN"/>
                    </w:rPr>
                    <w:t>06月15日（昼间）</w:t>
                  </w:r>
                </w:p>
              </w:tc>
              <w:tc>
                <w:tcPr>
                  <w:tcW w:w="773" w:type="dxa"/>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晴</w:t>
                  </w:r>
                </w:p>
              </w:tc>
              <w:tc>
                <w:tcPr>
                  <w:tcW w:w="928" w:type="dxa"/>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28.2</w:t>
                  </w:r>
                </w:p>
              </w:tc>
              <w:tc>
                <w:tcPr>
                  <w:tcW w:w="1116" w:type="dxa"/>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32.7</w:t>
                  </w:r>
                </w:p>
              </w:tc>
              <w:tc>
                <w:tcPr>
                  <w:tcW w:w="1242" w:type="dxa"/>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8" w:hRule="atLeast"/>
              </w:trPr>
              <w:tc>
                <w:tcPr>
                  <w:tcW w:w="747" w:type="pct"/>
                  <w:vMerge w:val="continue"/>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kern w:val="2"/>
                      <w:sz w:val="21"/>
                      <w:szCs w:val="21"/>
                      <w:highlight w:val="none"/>
                      <w:lang w:val="en-US" w:eastAsia="zh-CN" w:bidi="ar-SA"/>
                    </w:rPr>
                  </w:pPr>
                </w:p>
              </w:tc>
              <w:tc>
                <w:tcPr>
                  <w:tcW w:w="2793" w:type="dxa"/>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2026年</w:t>
                  </w:r>
                  <w:r>
                    <w:rPr>
                      <w:rFonts w:hint="eastAsia" w:ascii="Times New Roman" w:hAnsi="Times New Roman" w:eastAsia="宋体" w:cs="Times New Roman"/>
                      <w:color w:val="auto"/>
                      <w:sz w:val="21"/>
                      <w:szCs w:val="21"/>
                      <w:highlight w:val="none"/>
                      <w:lang w:val="en-US" w:eastAsia="zh-CN"/>
                    </w:rPr>
                    <w:t>06月15日（夜间）</w:t>
                  </w:r>
                </w:p>
              </w:tc>
              <w:tc>
                <w:tcPr>
                  <w:tcW w:w="773" w:type="dxa"/>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晴</w:t>
                  </w:r>
                </w:p>
              </w:tc>
              <w:tc>
                <w:tcPr>
                  <w:tcW w:w="928" w:type="dxa"/>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24.7</w:t>
                  </w:r>
                </w:p>
              </w:tc>
              <w:tc>
                <w:tcPr>
                  <w:tcW w:w="1116" w:type="dxa"/>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34.1</w:t>
                  </w:r>
                </w:p>
              </w:tc>
              <w:tc>
                <w:tcPr>
                  <w:tcW w:w="1242" w:type="dxa"/>
                  <w:tcBorders>
                    <w:tl2br w:val="nil"/>
                    <w:tr2bl w:val="nil"/>
                  </w:tcBorders>
                  <w:noWrap w:val="0"/>
                  <w:tcMar>
                    <w:left w:w="28" w:type="dxa"/>
                    <w:right w:w="28" w:type="dxa"/>
                  </w:tcMar>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1.5</w:t>
                  </w:r>
                </w:p>
              </w:tc>
            </w:tr>
          </w:tbl>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color w:val="auto"/>
                <w:szCs w:val="21"/>
                <w:highlight w:val="none"/>
              </w:rPr>
            </w:pPr>
            <w:r>
              <w:rPr>
                <w:rFonts w:hint="default" w:ascii="Times New Roman" w:hAnsi="Times New Roman" w:eastAsia="宋体" w:cs="Times New Roman"/>
                <w:b/>
                <w:color w:val="auto"/>
                <w:szCs w:val="21"/>
                <w:highlight w:val="none"/>
                <w:lang w:val="en-US" w:eastAsia="zh-CN"/>
              </w:rPr>
              <w:t>3</w:t>
            </w:r>
            <w:r>
              <w:rPr>
                <w:rFonts w:hint="default" w:ascii="Times New Roman" w:hAnsi="Times New Roman" w:eastAsia="宋体" w:cs="Times New Roman"/>
                <w:b/>
                <w:color w:val="auto"/>
                <w:szCs w:val="21"/>
                <w:highlight w:val="none"/>
              </w:rPr>
              <w:t>.5 监测结果</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Cs w:val="21"/>
                <w:highlight w:val="none"/>
                <w:lang w:val="en-US"/>
              </w:rPr>
            </w:pPr>
            <w:r>
              <w:rPr>
                <w:rFonts w:hint="default" w:ascii="Times New Roman" w:hAnsi="Times New Roman" w:eastAsia="宋体" w:cs="Times New Roman"/>
                <w:color w:val="auto"/>
                <w:szCs w:val="21"/>
                <w:highlight w:val="none"/>
              </w:rPr>
              <w:t>监测结果，见表3-</w:t>
            </w:r>
            <w:r>
              <w:rPr>
                <w:rFonts w:hint="default" w:ascii="Times New Roman" w:hAnsi="Times New Roman" w:cs="Times New Roman"/>
                <w:color w:val="auto"/>
                <w:szCs w:val="21"/>
                <w:highlight w:val="none"/>
                <w:lang w:val="en-US" w:eastAsia="zh-CN"/>
              </w:rPr>
              <w:t>5</w:t>
            </w:r>
            <w:r>
              <w:rPr>
                <w:rFonts w:hint="default" w:ascii="Times New Roman" w:hAnsi="Times New Roman" w:eastAsia="宋体" w:cs="Times New Roman"/>
                <w:color w:val="auto"/>
                <w:szCs w:val="21"/>
                <w:highlight w:val="none"/>
              </w:rPr>
              <w:t>。</w:t>
            </w:r>
            <w:r>
              <w:rPr>
                <w:rFonts w:hint="default" w:ascii="Times New Roman" w:hAnsi="Times New Roman" w:eastAsia="宋体" w:cs="Times New Roman"/>
                <w:color w:val="auto"/>
                <w:szCs w:val="21"/>
                <w:highlight w:val="none"/>
                <w:lang w:val="en-US" w:eastAsia="zh-CN"/>
              </w:rPr>
              <w:t>环境现状</w:t>
            </w:r>
            <w:r>
              <w:rPr>
                <w:rFonts w:hint="default" w:ascii="Times New Roman" w:hAnsi="Times New Roman" w:eastAsia="宋体" w:cs="Times New Roman"/>
                <w:color w:val="auto"/>
                <w:szCs w:val="21"/>
                <w:highlight w:val="none"/>
              </w:rPr>
              <w:t>监测</w:t>
            </w:r>
            <w:r>
              <w:rPr>
                <w:rFonts w:hint="default" w:ascii="Times New Roman" w:hAnsi="Times New Roman" w:eastAsia="宋体" w:cs="Times New Roman"/>
                <w:color w:val="auto"/>
                <w:szCs w:val="21"/>
                <w:highlight w:val="none"/>
                <w:lang w:val="en-US" w:eastAsia="zh-CN"/>
              </w:rPr>
              <w:t>报告见附件</w:t>
            </w:r>
            <w:r>
              <w:rPr>
                <w:rFonts w:hint="eastAsia" w:ascii="Times New Roman" w:hAnsi="Times New Roman" w:cs="Times New Roman"/>
                <w:color w:val="auto"/>
                <w:szCs w:val="21"/>
                <w:highlight w:val="none"/>
                <w:lang w:val="en-US" w:eastAsia="zh-CN"/>
              </w:rPr>
              <w:t>2</w:t>
            </w:r>
            <w:r>
              <w:rPr>
                <w:rFonts w:hint="default" w:ascii="Times New Roman" w:hAnsi="Times New Roman" w:eastAsia="宋体" w:cs="Times New Roman"/>
                <w:color w:val="auto"/>
                <w:szCs w:val="21"/>
                <w:highlight w:val="none"/>
                <w:lang w:val="en-US" w:eastAsia="zh-CN"/>
              </w:rPr>
              <w:t>。</w:t>
            </w:r>
          </w:p>
          <w:p>
            <w:pPr>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b/>
                <w:color w:val="auto"/>
                <w:highlight w:val="none"/>
              </w:rPr>
            </w:pPr>
            <w:bookmarkStart w:id="223" w:name="_GoBack"/>
            <w:bookmarkEnd w:id="223"/>
          </w:p>
          <w:p>
            <w:pPr>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b/>
                <w:color w:val="auto"/>
                <w:highlight w:val="none"/>
                <w:lang w:val="en-US" w:eastAsia="zh-CN"/>
              </w:rPr>
            </w:pPr>
            <w:r>
              <w:rPr>
                <w:rFonts w:hint="default" w:ascii="Times New Roman" w:hAnsi="Times New Roman" w:cs="Times New Roman"/>
                <w:b/>
                <w:color w:val="auto"/>
                <w:highlight w:val="none"/>
                <w:lang w:val="en-US" w:eastAsia="zh-CN"/>
              </w:rPr>
              <w:t>图3-1  监测布点图</w:t>
            </w:r>
          </w:p>
          <w:p>
            <w:pPr>
              <w:keepNext w:val="0"/>
              <w:keepLines w:val="0"/>
              <w:widowControl/>
              <w:suppressLineNumbers w:val="0"/>
              <w:autoSpaceDE w:val="0"/>
              <w:autoSpaceDN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rPr>
              <w:t>由表3-</w:t>
            </w:r>
            <w:r>
              <w:rPr>
                <w:rFonts w:hint="default" w:ascii="Times New Roman" w:hAnsi="Times New Roman" w:eastAsia="宋体" w:cs="Times New Roman"/>
                <w:color w:val="auto"/>
                <w:highlight w:val="none"/>
                <w:lang w:val="en-US" w:eastAsia="zh-CN"/>
              </w:rPr>
              <w:t>4</w:t>
            </w:r>
            <w:r>
              <w:rPr>
                <w:rFonts w:hint="default" w:ascii="Times New Roman" w:hAnsi="Times New Roman" w:eastAsia="宋体" w:cs="Times New Roman"/>
                <w:color w:val="auto"/>
                <w:highlight w:val="none"/>
              </w:rPr>
              <w:t>监测结果可知，</w:t>
            </w:r>
            <w:r>
              <w:rPr>
                <w:rFonts w:hint="default" w:ascii="Times New Roman" w:hAnsi="Times New Roman" w:eastAsia="宋体" w:cs="Times New Roman"/>
                <w:color w:val="auto"/>
                <w:highlight w:val="none"/>
                <w:lang w:val="en-US" w:eastAsia="zh-CN"/>
              </w:rPr>
              <w:t>拟建站址</w:t>
            </w:r>
            <w:r>
              <w:rPr>
                <w:rFonts w:hint="eastAsia" w:ascii="Times New Roman" w:hAnsi="Times New Roman" w:cs="Times New Roman"/>
                <w:color w:val="auto"/>
                <w:highlight w:val="none"/>
                <w:lang w:val="en-US" w:eastAsia="zh-CN"/>
              </w:rPr>
              <w:t>满足《声环境质量标准》（GB3096-2008）中3类标准（昼间65dB（A）、夜间55dB（A））；</w:t>
            </w:r>
            <w:r>
              <w:rPr>
                <w:rFonts w:hint="default" w:ascii="Times New Roman" w:hAnsi="Times New Roman" w:eastAsia="宋体" w:cs="Times New Roman"/>
                <w:color w:val="auto"/>
                <w:highlight w:val="none"/>
              </w:rPr>
              <w:t>拟建</w:t>
            </w:r>
            <w:r>
              <w:rPr>
                <w:rFonts w:hint="default" w:ascii="Times New Roman" w:hAnsi="Times New Roman" w:eastAsia="宋体" w:cs="Times New Roman"/>
                <w:color w:val="auto"/>
                <w:highlight w:val="none"/>
                <w:lang w:val="en-US" w:eastAsia="zh-CN"/>
              </w:rPr>
              <w:t>110</w:t>
            </w:r>
            <w:r>
              <w:rPr>
                <w:rFonts w:hint="default" w:ascii="Times New Roman" w:hAnsi="Times New Roman" w:eastAsia="宋体" w:cs="Times New Roman"/>
                <w:color w:val="auto"/>
                <w:highlight w:val="none"/>
              </w:rPr>
              <w:t>千伏线路沿线声环境质量均满足《声环境质量标准》</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GB3096-2008</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中</w:t>
            </w:r>
            <w:r>
              <w:rPr>
                <w:rFonts w:hint="default" w:ascii="Times New Roman" w:hAnsi="Times New Roman" w:eastAsia="宋体" w:cs="Times New Roman"/>
                <w:color w:val="auto"/>
                <w:highlight w:val="none"/>
                <w:lang w:val="en-US" w:eastAsia="zh-CN"/>
              </w:rPr>
              <w:t>2</w:t>
            </w:r>
            <w:r>
              <w:rPr>
                <w:rFonts w:hint="default" w:ascii="Times New Roman" w:hAnsi="Times New Roman" w:eastAsia="宋体" w:cs="Times New Roman"/>
                <w:color w:val="auto"/>
                <w:highlight w:val="none"/>
              </w:rPr>
              <w:t>类标准</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昼间6</w:t>
            </w:r>
            <w:r>
              <w:rPr>
                <w:rFonts w:hint="default" w:ascii="Times New Roman" w:hAnsi="Times New Roman" w:eastAsia="宋体" w:cs="Times New Roman"/>
                <w:color w:val="auto"/>
                <w:highlight w:val="none"/>
                <w:lang w:val="en-US" w:eastAsia="zh-CN"/>
              </w:rPr>
              <w:t>0</w:t>
            </w:r>
            <w:r>
              <w:rPr>
                <w:rFonts w:hint="default" w:ascii="Times New Roman" w:hAnsi="Times New Roman" w:eastAsia="宋体" w:cs="Times New Roman"/>
                <w:color w:val="auto"/>
                <w:highlight w:val="none"/>
              </w:rPr>
              <w:t>dB</w:t>
            </w:r>
            <w:r>
              <w:rPr>
                <w:rFonts w:hint="eastAsia" w:ascii="Times New Roman" w:hAnsi="Times New Roman" w:cs="Times New Roman"/>
                <w:color w:val="auto"/>
                <w:highlight w:val="none"/>
                <w:lang w:eastAsia="zh-CN"/>
              </w:rPr>
              <w:t>（A）</w:t>
            </w:r>
            <w:r>
              <w:rPr>
                <w:rFonts w:hint="default" w:ascii="Times New Roman" w:hAnsi="Times New Roman" w:eastAsia="宋体" w:cs="Times New Roman"/>
                <w:color w:val="auto"/>
                <w:highlight w:val="none"/>
              </w:rPr>
              <w:t>、夜间5</w:t>
            </w:r>
            <w:r>
              <w:rPr>
                <w:rFonts w:hint="default" w:ascii="Times New Roman" w:hAnsi="Times New Roman" w:eastAsia="宋体" w:cs="Times New Roman"/>
                <w:color w:val="auto"/>
                <w:highlight w:val="none"/>
                <w:lang w:val="en-US" w:eastAsia="zh-CN"/>
              </w:rPr>
              <w:t>0</w:t>
            </w:r>
            <w:r>
              <w:rPr>
                <w:rFonts w:hint="default" w:ascii="Times New Roman" w:hAnsi="Times New Roman" w:eastAsia="宋体" w:cs="Times New Roman"/>
                <w:color w:val="auto"/>
                <w:highlight w:val="none"/>
              </w:rPr>
              <w:t>dB</w:t>
            </w:r>
            <w:r>
              <w:rPr>
                <w:rFonts w:hint="eastAsia" w:ascii="Times New Roman" w:hAnsi="Times New Roman" w:cs="Times New Roman"/>
                <w:color w:val="auto"/>
                <w:highlight w:val="none"/>
                <w:lang w:eastAsia="zh-CN"/>
              </w:rPr>
              <w:t>（A））</w:t>
            </w:r>
            <w:r>
              <w:rPr>
                <w:rFonts w:hint="eastAsia" w:ascii="Times New Roman" w:hAnsi="Times New Roman" w:cs="Times New Roman"/>
                <w:color w:val="auto"/>
                <w:highlight w:val="none"/>
                <w:lang w:val="en-US" w:eastAsia="zh-CN"/>
              </w:rPr>
              <w:t>和4a标准（昼间70dB（A），夜间55dB（A））</w:t>
            </w:r>
            <w:r>
              <w:rPr>
                <w:rFonts w:hint="default" w:ascii="Times New Roman" w:hAnsi="Times New Roman" w:eastAsia="宋体" w:cs="Times New Roman"/>
                <w:color w:val="auto"/>
                <w:highlight w:val="none"/>
              </w:rPr>
              <w:t>，区域声环境质量较好。</w:t>
            </w:r>
          </w:p>
          <w:p>
            <w:pPr>
              <w:keepNext w:val="0"/>
              <w:keepLines w:val="0"/>
              <w:widowControl/>
              <w:suppressLineNumbers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lang w:val="en-US" w:eastAsia="zh-CN"/>
              </w:rPr>
              <w:t>4</w:t>
            </w:r>
            <w:r>
              <w:rPr>
                <w:rFonts w:hint="default" w:ascii="Times New Roman" w:hAnsi="Times New Roman" w:eastAsia="宋体" w:cs="Times New Roman"/>
                <w:b/>
                <w:bCs/>
                <w:color w:val="auto"/>
                <w:highlight w:val="none"/>
              </w:rPr>
              <w:t>地表水环境质量现状</w:t>
            </w:r>
          </w:p>
          <w:p>
            <w:pPr>
              <w:keepNext w:val="0"/>
              <w:keepLines w:val="0"/>
              <w:widowControl/>
              <w:suppressLineNumbers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Cs w:val="21"/>
                <w:highlight w:val="none"/>
                <w:lang w:val="en-US" w:eastAsia="zh-CN"/>
              </w:rPr>
            </w:pPr>
            <w:r>
              <w:rPr>
                <w:rFonts w:hint="default" w:ascii="Times New Roman" w:hAnsi="Times New Roman" w:eastAsia="宋体" w:cs="Times New Roman"/>
                <w:color w:val="auto"/>
                <w:szCs w:val="21"/>
                <w:highlight w:val="none"/>
              </w:rPr>
              <w:t>本项目输电线路</w:t>
            </w:r>
            <w:r>
              <w:rPr>
                <w:rFonts w:hint="default" w:ascii="Times New Roman" w:hAnsi="Times New Roman" w:eastAsia="宋体" w:cs="Times New Roman"/>
                <w:color w:val="auto"/>
                <w:szCs w:val="21"/>
                <w:highlight w:val="none"/>
                <w:lang w:eastAsia="zh-CN"/>
              </w:rPr>
              <w:t>、</w:t>
            </w:r>
            <w:r>
              <w:rPr>
                <w:rFonts w:hint="default" w:ascii="Times New Roman" w:hAnsi="Times New Roman" w:cs="Times New Roman"/>
                <w:color w:val="auto"/>
                <w:szCs w:val="21"/>
                <w:highlight w:val="none"/>
                <w:lang w:val="en-US" w:eastAsia="zh-CN"/>
              </w:rPr>
              <w:t>变电站</w:t>
            </w:r>
            <w:r>
              <w:rPr>
                <w:rFonts w:hint="default" w:ascii="Times New Roman" w:hAnsi="Times New Roman" w:eastAsia="宋体" w:cs="Times New Roman"/>
                <w:color w:val="auto"/>
                <w:szCs w:val="21"/>
                <w:highlight w:val="none"/>
                <w:lang w:val="en-US" w:eastAsia="zh-CN"/>
              </w:rPr>
              <w:t>站址不涉及天然地表水体。根据岳普湖县</w:t>
            </w:r>
            <w:r>
              <w:rPr>
                <w:rFonts w:hint="default" w:ascii="Times New Roman" w:hAnsi="Times New Roman" w:cs="Times New Roman"/>
                <w:color w:val="auto"/>
                <w:szCs w:val="21"/>
                <w:highlight w:val="none"/>
                <w:lang w:val="en-US" w:eastAsia="zh-CN"/>
              </w:rPr>
              <w:t>2025年</w:t>
            </w:r>
            <w:r>
              <w:rPr>
                <w:rFonts w:hint="default" w:ascii="Times New Roman" w:hAnsi="Times New Roman" w:eastAsia="宋体" w:cs="Times New Roman"/>
                <w:color w:val="auto"/>
                <w:szCs w:val="21"/>
                <w:highlight w:val="none"/>
                <w:lang w:val="en-US" w:eastAsia="zh-CN"/>
              </w:rPr>
              <w:t>政府工作报告权威数据</w:t>
            </w:r>
            <w:r>
              <w:rPr>
                <w:rFonts w:hint="default" w:ascii="Times New Roman" w:hAnsi="Times New Roman" w:cs="Times New Roman"/>
                <w:color w:val="auto"/>
                <w:szCs w:val="21"/>
                <w:highlight w:val="none"/>
                <w:lang w:val="en-US" w:eastAsia="zh-CN"/>
              </w:rPr>
              <w:t>，岳普湖县</w:t>
            </w:r>
            <w:r>
              <w:rPr>
                <w:rFonts w:hint="default" w:ascii="Times New Roman" w:hAnsi="Times New Roman" w:eastAsia="宋体" w:cs="Times New Roman"/>
                <w:color w:val="auto"/>
                <w:szCs w:val="21"/>
                <w:highlight w:val="none"/>
                <w:lang w:val="en-US" w:eastAsia="zh-CN"/>
              </w:rPr>
              <w:t>地表水优良断面比例 100%</w:t>
            </w:r>
            <w:r>
              <w:rPr>
                <w:rFonts w:hint="default"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全县所有河流入境交接断面、水库监测点位、主要渠系取水口水质全年稳定达标，项目周边地表水状况较好。</w:t>
            </w:r>
          </w:p>
          <w:p>
            <w:pPr>
              <w:keepNext w:val="0"/>
              <w:keepLines w:val="0"/>
              <w:widowControl/>
              <w:suppressLineNumbers w:val="0"/>
              <w:snapToGrid w:val="0"/>
              <w:spacing w:before="0" w:beforeAutospacing="0" w:after="0" w:afterAutospacing="0" w:line="360" w:lineRule="auto"/>
              <w:ind w:left="0" w:right="0"/>
              <w:rPr>
                <w:rFonts w:hint="default" w:ascii="Times New Roman" w:hAnsi="Times New Roman" w:eastAsia="宋体" w:cs="Times New Roman"/>
                <w:b/>
                <w:bCs/>
                <w:color w:val="auto"/>
                <w:szCs w:val="21"/>
                <w:highlight w:val="none"/>
              </w:rPr>
            </w:pPr>
            <w:r>
              <w:rPr>
                <w:rFonts w:hint="default" w:ascii="Times New Roman" w:hAnsi="Times New Roman" w:eastAsia="宋体" w:cs="Times New Roman"/>
                <w:b/>
                <w:bCs/>
                <w:color w:val="auto"/>
                <w:szCs w:val="21"/>
                <w:highlight w:val="none"/>
                <w:lang w:val="en-US" w:eastAsia="zh-CN"/>
              </w:rPr>
              <w:t>5</w:t>
            </w:r>
            <w:r>
              <w:rPr>
                <w:rFonts w:hint="default" w:ascii="Times New Roman" w:hAnsi="Times New Roman" w:eastAsia="宋体" w:cs="Times New Roman"/>
                <w:b/>
                <w:bCs/>
                <w:color w:val="auto"/>
                <w:szCs w:val="21"/>
                <w:highlight w:val="none"/>
              </w:rPr>
              <w:t>地下水环境质量现状</w:t>
            </w:r>
          </w:p>
          <w:p>
            <w:pPr>
              <w:keepNext w:val="0"/>
              <w:keepLines w:val="0"/>
              <w:widowControl/>
              <w:suppressLineNumbers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根据《环境影响评价技术导则 地下水环境》</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HJ610-2016</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，结合《建设项目环境影响评价分类管理名录》</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2021年版</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，本项目属于“E电力 35、送</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输</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变电工程”项目，地下水环境影响评价项目类别为Ⅳ类，无需进行地下水评价。</w:t>
            </w:r>
          </w:p>
          <w:p>
            <w:pPr>
              <w:keepNext w:val="0"/>
              <w:keepLines w:val="0"/>
              <w:widowControl/>
              <w:suppressLineNumbers w:val="0"/>
              <w:snapToGrid w:val="0"/>
              <w:spacing w:before="0" w:beforeAutospacing="0" w:after="0" w:afterAutospacing="0" w:line="360" w:lineRule="auto"/>
              <w:ind w:left="0" w:right="0"/>
              <w:rPr>
                <w:rFonts w:hint="default" w:ascii="Times New Roman" w:hAnsi="Times New Roman" w:eastAsia="宋体" w:cs="Times New Roman"/>
                <w:b/>
                <w:bCs/>
                <w:color w:val="auto"/>
                <w:szCs w:val="21"/>
                <w:highlight w:val="none"/>
                <w:lang w:val="en-US" w:eastAsia="zh-CN"/>
              </w:rPr>
            </w:pPr>
            <w:r>
              <w:rPr>
                <w:rFonts w:hint="default" w:ascii="Times New Roman" w:hAnsi="Times New Roman" w:eastAsia="宋体" w:cs="Times New Roman"/>
                <w:b/>
                <w:bCs/>
                <w:color w:val="auto"/>
                <w:szCs w:val="21"/>
                <w:highlight w:val="none"/>
                <w:lang w:val="en-US" w:eastAsia="zh-CN"/>
              </w:rPr>
              <w:t>6土壤环境现状调查及分析</w:t>
            </w:r>
          </w:p>
          <w:p>
            <w:pPr>
              <w:keepNext w:val="0"/>
              <w:keepLines w:val="0"/>
              <w:widowControl/>
              <w:suppressLineNumbers w:val="0"/>
              <w:snapToGrid w:val="0"/>
              <w:spacing w:before="0" w:beforeAutospacing="0" w:after="0" w:afterAutospacing="0" w:line="360" w:lineRule="auto"/>
              <w:ind w:left="0" w:right="0" w:firstLine="240" w:firstLineChars="1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根据《环境影响评价技术导则 土壤环境</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试行</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HJ964-2018</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，结合《建设项目环境影响评价分类管理名录》</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2021年版</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，属于第“电力热力燃气及水生产和供应业中其他”，本项目土壤环境影响评价项目类别为 IV 类，故项目不开展土壤环境影响评价。</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color w:val="auto"/>
                <w:highlight w:val="none"/>
              </w:rPr>
            </w:pPr>
            <w:r>
              <w:rPr>
                <w:rFonts w:hint="default" w:ascii="Times New Roman" w:hAnsi="Times New Roman" w:eastAsia="宋体" w:cs="Times New Roman"/>
                <w:b/>
                <w:bCs/>
                <w:color w:val="auto"/>
                <w:highlight w:val="none"/>
                <w:lang w:val="en-US" w:eastAsia="zh-CN"/>
              </w:rPr>
              <w:t>6</w:t>
            </w:r>
            <w:r>
              <w:rPr>
                <w:rFonts w:hint="default" w:ascii="Times New Roman" w:hAnsi="Times New Roman" w:eastAsia="宋体" w:cs="Times New Roman"/>
                <w:b/>
                <w:bCs/>
                <w:color w:val="auto"/>
                <w:highlight w:val="none"/>
              </w:rPr>
              <w:t>大气现状调查与评价</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szCs w:val="24"/>
                <w:highlight w:val="none"/>
                <w:lang w:val="en-US" w:eastAsia="zh-CN"/>
              </w:rPr>
            </w:pPr>
            <w:bookmarkStart w:id="44" w:name="_Hlk534188780"/>
            <w:r>
              <w:rPr>
                <w:rFonts w:hint="default" w:ascii="Times New Roman" w:hAnsi="Times New Roman" w:eastAsia="宋体" w:cs="Times New Roman"/>
                <w:color w:val="auto"/>
                <w:sz w:val="24"/>
                <w:szCs w:val="24"/>
                <w:highlight w:val="none"/>
                <w:lang w:val="en-US" w:eastAsia="zh-CN"/>
              </w:rPr>
              <w:t>根据《环境空气质量标准》（GB3095-2026），自2026年3月1日起至2030年12月31日止，环境空气质量执行GB3095-2026中环境空气污染物基本项目（表1</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实施过渡阶段二级标准浓度限值，自2031年1月1日起，在全国范围内实施GB3095-2026中基本项目（表1）浓度限值。</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本次评价引用</w:t>
            </w:r>
            <w:r>
              <w:rPr>
                <w:rFonts w:hint="default" w:ascii="Times New Roman" w:hAnsi="Times New Roman" w:cs="Times New Roman"/>
                <w:color w:val="auto"/>
                <w:sz w:val="24"/>
                <w:szCs w:val="24"/>
                <w:highlight w:val="none"/>
                <w:lang w:val="en-US" w:eastAsia="zh-CN"/>
              </w:rPr>
              <w:t>地区</w:t>
            </w:r>
            <w:r>
              <w:rPr>
                <w:rFonts w:hint="default" w:ascii="Times New Roman" w:hAnsi="Times New Roman" w:eastAsia="宋体" w:cs="Times New Roman"/>
                <w:color w:val="auto"/>
                <w:sz w:val="24"/>
                <w:szCs w:val="24"/>
                <w:highlight w:val="none"/>
                <w:lang w:val="en-US" w:eastAsia="zh-CN"/>
              </w:rPr>
              <w:t>2024基准年连续1年的监测分析数据，因子包括：SO</w:t>
            </w:r>
            <w:r>
              <w:rPr>
                <w:rFonts w:hint="default" w:ascii="Times New Roman" w:hAnsi="Times New Roman" w:eastAsia="宋体" w:cs="Times New Roman"/>
                <w:color w:val="auto"/>
                <w:sz w:val="24"/>
                <w:szCs w:val="24"/>
                <w:highlight w:val="none"/>
                <w:vertAlign w:val="subscript"/>
                <w:lang w:val="en-US" w:eastAsia="zh-CN"/>
              </w:rPr>
              <w:t>2</w:t>
            </w:r>
            <w:r>
              <w:rPr>
                <w:rFonts w:hint="default" w:ascii="Times New Roman" w:hAnsi="Times New Roman" w:eastAsia="宋体" w:cs="Times New Roman"/>
                <w:color w:val="auto"/>
                <w:sz w:val="24"/>
                <w:szCs w:val="24"/>
                <w:highlight w:val="none"/>
                <w:lang w:val="en-US" w:eastAsia="zh-CN"/>
              </w:rPr>
              <w:t>、NO</w:t>
            </w:r>
            <w:r>
              <w:rPr>
                <w:rFonts w:hint="default" w:ascii="Times New Roman" w:hAnsi="Times New Roman" w:eastAsia="宋体" w:cs="Times New Roman"/>
                <w:color w:val="auto"/>
                <w:sz w:val="24"/>
                <w:szCs w:val="24"/>
                <w:highlight w:val="none"/>
                <w:vertAlign w:val="subscript"/>
                <w:lang w:val="en-US" w:eastAsia="zh-CN"/>
              </w:rPr>
              <w:t>2</w:t>
            </w:r>
            <w:r>
              <w:rPr>
                <w:rFonts w:hint="default" w:ascii="Times New Roman" w:hAnsi="Times New Roman" w:eastAsia="宋体" w:cs="Times New Roman"/>
                <w:color w:val="auto"/>
                <w:sz w:val="24"/>
                <w:szCs w:val="24"/>
                <w:highlight w:val="none"/>
                <w:lang w:val="en-US" w:eastAsia="zh-CN"/>
              </w:rPr>
              <w:t>、PM</w:t>
            </w:r>
            <w:r>
              <w:rPr>
                <w:rFonts w:hint="default" w:ascii="Times New Roman" w:hAnsi="Times New Roman" w:eastAsia="宋体" w:cs="Times New Roman"/>
                <w:color w:val="auto"/>
                <w:sz w:val="24"/>
                <w:szCs w:val="24"/>
                <w:highlight w:val="none"/>
                <w:vertAlign w:val="subscript"/>
                <w:lang w:val="en-US" w:eastAsia="zh-CN"/>
              </w:rPr>
              <w:t>10</w:t>
            </w:r>
            <w:r>
              <w:rPr>
                <w:rFonts w:hint="default" w:ascii="Times New Roman" w:hAnsi="Times New Roman" w:eastAsia="宋体" w:cs="Times New Roman"/>
                <w:color w:val="auto"/>
                <w:sz w:val="24"/>
                <w:szCs w:val="24"/>
                <w:highlight w:val="none"/>
                <w:lang w:val="en-US" w:eastAsia="zh-CN"/>
              </w:rPr>
              <w:t>、PM</w:t>
            </w:r>
            <w:r>
              <w:rPr>
                <w:rFonts w:hint="default" w:ascii="Times New Roman" w:hAnsi="Times New Roman" w:eastAsia="宋体" w:cs="Times New Roman"/>
                <w:color w:val="auto"/>
                <w:sz w:val="24"/>
                <w:szCs w:val="24"/>
                <w:highlight w:val="none"/>
                <w:vertAlign w:val="subscript"/>
                <w:lang w:val="en-US" w:eastAsia="zh-CN"/>
              </w:rPr>
              <w:t>2.5</w:t>
            </w:r>
            <w:r>
              <w:rPr>
                <w:rFonts w:hint="default" w:ascii="Times New Roman" w:hAnsi="Times New Roman" w:eastAsia="宋体" w:cs="Times New Roman"/>
                <w:color w:val="auto"/>
                <w:sz w:val="24"/>
                <w:szCs w:val="24"/>
                <w:highlight w:val="none"/>
                <w:lang w:val="en-US" w:eastAsia="zh-CN"/>
              </w:rPr>
              <w:t>、CO 和 O</w:t>
            </w:r>
            <w:r>
              <w:rPr>
                <w:rFonts w:hint="default" w:ascii="Times New Roman" w:hAnsi="Times New Roman" w:eastAsia="宋体" w:cs="Times New Roman"/>
                <w:color w:val="auto"/>
                <w:sz w:val="24"/>
                <w:szCs w:val="24"/>
                <w:highlight w:val="none"/>
                <w:vertAlign w:val="superscript"/>
                <w:lang w:val="en-US" w:eastAsia="zh-CN"/>
              </w:rPr>
              <w:t>3</w:t>
            </w:r>
            <w:r>
              <w:rPr>
                <w:rFonts w:hint="default" w:ascii="Times New Roman" w:hAnsi="Times New Roman" w:eastAsia="宋体" w:cs="Times New Roman"/>
                <w:color w:val="auto"/>
                <w:sz w:val="24"/>
                <w:szCs w:val="24"/>
                <w:highlight w:val="none"/>
                <w:lang w:val="en-US" w:eastAsia="zh-CN"/>
              </w:rPr>
              <w:t>。因获取的调查数据的2024 年的监测数据，故本次调查仍执行《环境空气质量标准》（GB3095-2012）及修改单中的二级标准要求。</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区域空气质量现状评价结果见表3-</w:t>
            </w:r>
            <w:r>
              <w:rPr>
                <w:rFonts w:hint="default" w:ascii="Times New Roman" w:hAnsi="Times New Roman" w:cs="Times New Roman"/>
                <w:color w:val="auto"/>
                <w:sz w:val="24"/>
                <w:szCs w:val="24"/>
                <w:highlight w:val="none"/>
                <w:lang w:val="en-US" w:eastAsia="zh-CN"/>
              </w:rPr>
              <w:t>6</w:t>
            </w:r>
            <w:r>
              <w:rPr>
                <w:rFonts w:hint="default" w:ascii="Times New Roman" w:hAnsi="Times New Roman" w:eastAsia="宋体" w:cs="Times New Roman"/>
                <w:color w:val="auto"/>
                <w:sz w:val="24"/>
                <w:szCs w:val="24"/>
                <w:highlight w:val="none"/>
                <w:lang w:val="en-US" w:eastAsia="zh-CN"/>
              </w:rPr>
              <w:t>。</w:t>
            </w:r>
          </w:p>
          <w:bookmarkEnd w:id="44"/>
          <w:p>
            <w:pPr>
              <w:keepNext w:val="0"/>
              <w:keepLines w:val="0"/>
              <w:widowControl w:val="0"/>
              <w:suppressLineNumbers w:val="0"/>
              <w:adjustRightInd w:val="0"/>
              <w:snapToGrid w:val="0"/>
              <w:spacing w:before="0" w:beforeLines="0" w:beforeAutospacing="0" w:after="0" w:afterLines="0" w:afterAutospacing="0" w:line="360" w:lineRule="auto"/>
              <w:ind w:left="0" w:right="0" w:firstLine="482" w:firstLineChars="200"/>
              <w:jc w:val="center"/>
              <w:rPr>
                <w:rFonts w:hint="default" w:ascii="Times New Roman" w:hAnsi="Times New Roman" w:eastAsia="宋体" w:cs="Times New Roman"/>
                <w:b/>
                <w:color w:val="auto"/>
                <w:sz w:val="24"/>
                <w:szCs w:val="24"/>
                <w:highlight w:val="none"/>
                <w:lang w:bidi="ar"/>
              </w:rPr>
            </w:pPr>
            <w:r>
              <w:rPr>
                <w:rFonts w:hint="default" w:ascii="Times New Roman" w:hAnsi="Times New Roman" w:eastAsia="宋体" w:cs="Times New Roman"/>
                <w:b/>
                <w:color w:val="auto"/>
                <w:sz w:val="24"/>
                <w:szCs w:val="24"/>
                <w:highlight w:val="none"/>
                <w:lang w:bidi="ar"/>
              </w:rPr>
              <w:t>表3-</w:t>
            </w:r>
            <w:r>
              <w:rPr>
                <w:rFonts w:hint="default" w:ascii="Times New Roman" w:hAnsi="Times New Roman" w:cs="Times New Roman"/>
                <w:b/>
                <w:color w:val="auto"/>
                <w:sz w:val="24"/>
                <w:szCs w:val="24"/>
                <w:highlight w:val="none"/>
                <w:lang w:val="en-US" w:eastAsia="zh-CN" w:bidi="ar"/>
              </w:rPr>
              <w:t>6</w:t>
            </w:r>
            <w:r>
              <w:rPr>
                <w:rFonts w:hint="default" w:ascii="Times New Roman" w:hAnsi="Times New Roman" w:eastAsia="宋体" w:cs="Times New Roman"/>
                <w:b/>
                <w:color w:val="auto"/>
                <w:sz w:val="24"/>
                <w:szCs w:val="24"/>
                <w:highlight w:val="none"/>
                <w:lang w:bidi="ar"/>
              </w:rPr>
              <w:t xml:space="preserve"> </w:t>
            </w:r>
            <w:r>
              <w:rPr>
                <w:rFonts w:hint="default" w:ascii="Times New Roman" w:hAnsi="Times New Roman" w:eastAsia="宋体" w:cs="Times New Roman"/>
                <w:b/>
                <w:color w:val="auto"/>
                <w:sz w:val="24"/>
                <w:szCs w:val="24"/>
                <w:highlight w:val="none"/>
                <w:lang w:val="en-US" w:eastAsia="zh-CN" w:bidi="ar"/>
              </w:rPr>
              <w:t xml:space="preserve">  </w:t>
            </w:r>
            <w:r>
              <w:rPr>
                <w:rFonts w:hint="default" w:ascii="Times New Roman" w:hAnsi="Times New Roman" w:cs="Times New Roman"/>
                <w:b/>
                <w:color w:val="auto"/>
                <w:sz w:val="24"/>
                <w:szCs w:val="24"/>
                <w:highlight w:val="none"/>
                <w:lang w:val="en-US" w:eastAsia="zh-CN" w:bidi="ar"/>
              </w:rPr>
              <w:t>项目区</w:t>
            </w:r>
            <w:r>
              <w:rPr>
                <w:rFonts w:hint="default" w:ascii="Times New Roman" w:hAnsi="Times New Roman" w:eastAsia="宋体" w:cs="Times New Roman"/>
                <w:b/>
                <w:color w:val="auto"/>
                <w:sz w:val="24"/>
                <w:szCs w:val="24"/>
                <w:highlight w:val="none"/>
                <w:lang w:bidi="ar"/>
              </w:rPr>
              <w:t>2024年空气质量达标区判定结果一览表</w:t>
            </w:r>
          </w:p>
          <w:tbl>
            <w:tblPr>
              <w:tblStyle w:val="40"/>
              <w:tblW w:w="7998" w:type="dxa"/>
              <w:tblInd w:w="52"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640"/>
              <w:gridCol w:w="2013"/>
              <w:gridCol w:w="664"/>
              <w:gridCol w:w="931"/>
              <w:gridCol w:w="931"/>
              <w:gridCol w:w="1352"/>
              <w:gridCol w:w="146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640"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污染物</w:t>
                  </w:r>
                </w:p>
              </w:tc>
              <w:tc>
                <w:tcPr>
                  <w:tcW w:w="2013"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年评价指标</w:t>
                  </w:r>
                </w:p>
              </w:tc>
              <w:tc>
                <w:tcPr>
                  <w:tcW w:w="664"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单位</w:t>
                  </w:r>
                </w:p>
              </w:tc>
              <w:tc>
                <w:tcPr>
                  <w:tcW w:w="931"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现状浓度</w:t>
                  </w:r>
                </w:p>
              </w:tc>
              <w:tc>
                <w:tcPr>
                  <w:tcW w:w="931"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过渡阶段评价标准</w:t>
                  </w:r>
                </w:p>
              </w:tc>
              <w:tc>
                <w:tcPr>
                  <w:tcW w:w="1352"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占标率</w:t>
                  </w:r>
                </w:p>
              </w:tc>
              <w:tc>
                <w:tcPr>
                  <w:tcW w:w="1467"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达标情况</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640"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SO</w:t>
                  </w:r>
                  <w:r>
                    <w:rPr>
                      <w:rFonts w:hint="default" w:ascii="Times New Roman" w:hAnsi="Times New Roman" w:cs="Times New Roman"/>
                      <w:color w:val="auto"/>
                      <w:sz w:val="21"/>
                      <w:szCs w:val="21"/>
                      <w:highlight w:val="none"/>
                      <w:vertAlign w:val="subscript"/>
                    </w:rPr>
                    <w:t>2</w:t>
                  </w:r>
                </w:p>
              </w:tc>
              <w:tc>
                <w:tcPr>
                  <w:tcW w:w="2013"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年平均质量浓度</w:t>
                  </w:r>
                </w:p>
              </w:tc>
              <w:tc>
                <w:tcPr>
                  <w:tcW w:w="664"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µg/m</w:t>
                  </w:r>
                  <w:r>
                    <w:rPr>
                      <w:rFonts w:hint="default" w:ascii="Times New Roman" w:hAnsi="Times New Roman" w:cs="Times New Roman"/>
                      <w:color w:val="auto"/>
                      <w:sz w:val="21"/>
                      <w:szCs w:val="21"/>
                      <w:highlight w:val="none"/>
                      <w:vertAlign w:val="superscript"/>
                    </w:rPr>
                    <w:t>3</w:t>
                  </w:r>
                </w:p>
              </w:tc>
              <w:tc>
                <w:tcPr>
                  <w:tcW w:w="931"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931"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en-US"/>
                    </w:rPr>
                    <w:t>60</w:t>
                  </w:r>
                </w:p>
              </w:tc>
              <w:tc>
                <w:tcPr>
                  <w:tcW w:w="1352"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6.67%</w:t>
                  </w:r>
                </w:p>
              </w:tc>
              <w:tc>
                <w:tcPr>
                  <w:tcW w:w="1467"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640"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NO</w:t>
                  </w:r>
                  <w:r>
                    <w:rPr>
                      <w:rFonts w:hint="default" w:ascii="Times New Roman" w:hAnsi="Times New Roman" w:cs="Times New Roman"/>
                      <w:color w:val="auto"/>
                      <w:sz w:val="21"/>
                      <w:szCs w:val="21"/>
                      <w:highlight w:val="none"/>
                      <w:vertAlign w:val="subscript"/>
                    </w:rPr>
                    <w:t>2</w:t>
                  </w:r>
                </w:p>
              </w:tc>
              <w:tc>
                <w:tcPr>
                  <w:tcW w:w="2013"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年平均质量浓度</w:t>
                  </w:r>
                </w:p>
              </w:tc>
              <w:tc>
                <w:tcPr>
                  <w:tcW w:w="664"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µg/m</w:t>
                  </w:r>
                  <w:r>
                    <w:rPr>
                      <w:rFonts w:hint="default" w:ascii="Times New Roman" w:hAnsi="Times New Roman" w:cs="Times New Roman"/>
                      <w:color w:val="auto"/>
                      <w:sz w:val="21"/>
                      <w:szCs w:val="21"/>
                      <w:highlight w:val="none"/>
                      <w:vertAlign w:val="superscript"/>
                    </w:rPr>
                    <w:t>3</w:t>
                  </w:r>
                </w:p>
              </w:tc>
              <w:tc>
                <w:tcPr>
                  <w:tcW w:w="931"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32</w:t>
                  </w:r>
                </w:p>
              </w:tc>
              <w:tc>
                <w:tcPr>
                  <w:tcW w:w="931"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en-US"/>
                    </w:rPr>
                    <w:t>40</w:t>
                  </w:r>
                </w:p>
              </w:tc>
              <w:tc>
                <w:tcPr>
                  <w:tcW w:w="1352"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80.00%</w:t>
                  </w:r>
                </w:p>
              </w:tc>
              <w:tc>
                <w:tcPr>
                  <w:tcW w:w="1467"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404" w:hRule="atLeast"/>
              </w:trPr>
              <w:tc>
                <w:tcPr>
                  <w:tcW w:w="640"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PM</w:t>
                  </w:r>
                  <w:r>
                    <w:rPr>
                      <w:rFonts w:hint="default" w:ascii="Times New Roman" w:hAnsi="Times New Roman" w:cs="Times New Roman"/>
                      <w:color w:val="auto"/>
                      <w:sz w:val="21"/>
                      <w:szCs w:val="21"/>
                      <w:highlight w:val="none"/>
                      <w:vertAlign w:val="subscript"/>
                    </w:rPr>
                    <w:t>10</w:t>
                  </w:r>
                </w:p>
              </w:tc>
              <w:tc>
                <w:tcPr>
                  <w:tcW w:w="2013"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年平均质量浓度</w:t>
                  </w:r>
                </w:p>
              </w:tc>
              <w:tc>
                <w:tcPr>
                  <w:tcW w:w="664"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µg/m</w:t>
                  </w:r>
                  <w:r>
                    <w:rPr>
                      <w:rFonts w:hint="default" w:ascii="Times New Roman" w:hAnsi="Times New Roman" w:cs="Times New Roman"/>
                      <w:color w:val="auto"/>
                      <w:sz w:val="21"/>
                      <w:szCs w:val="21"/>
                      <w:highlight w:val="none"/>
                      <w:vertAlign w:val="superscript"/>
                    </w:rPr>
                    <w:t>3</w:t>
                  </w:r>
                </w:p>
              </w:tc>
              <w:tc>
                <w:tcPr>
                  <w:tcW w:w="931"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94</w:t>
                  </w:r>
                </w:p>
              </w:tc>
              <w:tc>
                <w:tcPr>
                  <w:tcW w:w="931"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60</w:t>
                  </w:r>
                </w:p>
              </w:tc>
              <w:tc>
                <w:tcPr>
                  <w:tcW w:w="1352"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156.67%</w:t>
                  </w:r>
                </w:p>
              </w:tc>
              <w:tc>
                <w:tcPr>
                  <w:tcW w:w="1467"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超标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640"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PM</w:t>
                  </w:r>
                  <w:r>
                    <w:rPr>
                      <w:rFonts w:hint="default" w:ascii="Times New Roman" w:hAnsi="Times New Roman" w:cs="Times New Roman"/>
                      <w:color w:val="auto"/>
                      <w:sz w:val="21"/>
                      <w:szCs w:val="21"/>
                      <w:highlight w:val="none"/>
                      <w:vertAlign w:val="subscript"/>
                    </w:rPr>
                    <w:t>2.5</w:t>
                  </w:r>
                </w:p>
              </w:tc>
              <w:tc>
                <w:tcPr>
                  <w:tcW w:w="2013"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年平均质量浓度</w:t>
                  </w:r>
                </w:p>
              </w:tc>
              <w:tc>
                <w:tcPr>
                  <w:tcW w:w="664"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µg/m</w:t>
                  </w:r>
                  <w:r>
                    <w:rPr>
                      <w:rFonts w:hint="default" w:ascii="Times New Roman" w:hAnsi="Times New Roman" w:cs="Times New Roman"/>
                      <w:color w:val="auto"/>
                      <w:sz w:val="21"/>
                      <w:szCs w:val="21"/>
                      <w:highlight w:val="none"/>
                      <w:vertAlign w:val="superscript"/>
                    </w:rPr>
                    <w:t>3</w:t>
                  </w:r>
                </w:p>
              </w:tc>
              <w:tc>
                <w:tcPr>
                  <w:tcW w:w="931"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33</w:t>
                  </w:r>
                </w:p>
              </w:tc>
              <w:tc>
                <w:tcPr>
                  <w:tcW w:w="931"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en-US"/>
                    </w:rPr>
                    <w:t>30</w:t>
                  </w:r>
                </w:p>
              </w:tc>
              <w:tc>
                <w:tcPr>
                  <w:tcW w:w="1352"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110.00%</w:t>
                  </w:r>
                </w:p>
              </w:tc>
              <w:tc>
                <w:tcPr>
                  <w:tcW w:w="1467"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超标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518" w:hRule="atLeast"/>
              </w:trPr>
              <w:tc>
                <w:tcPr>
                  <w:tcW w:w="640"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CO</w:t>
                  </w:r>
                </w:p>
              </w:tc>
              <w:tc>
                <w:tcPr>
                  <w:tcW w:w="2013"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日平均第95百分位数</w:t>
                  </w:r>
                </w:p>
              </w:tc>
              <w:tc>
                <w:tcPr>
                  <w:tcW w:w="664"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mg/m</w:t>
                  </w:r>
                  <w:r>
                    <w:rPr>
                      <w:rFonts w:hint="default" w:ascii="Times New Roman" w:hAnsi="Times New Roman" w:cs="Times New Roman"/>
                      <w:color w:val="auto"/>
                      <w:sz w:val="21"/>
                      <w:szCs w:val="21"/>
                      <w:highlight w:val="none"/>
                      <w:vertAlign w:val="superscript"/>
                    </w:rPr>
                    <w:t>3</w:t>
                  </w:r>
                </w:p>
              </w:tc>
              <w:tc>
                <w:tcPr>
                  <w:tcW w:w="931"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2.7</w:t>
                  </w:r>
                </w:p>
              </w:tc>
              <w:tc>
                <w:tcPr>
                  <w:tcW w:w="931"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val="en-US" w:eastAsia="zh-CN"/>
                    </w:rPr>
                    <w:t>4</w:t>
                  </w:r>
                </w:p>
              </w:tc>
              <w:tc>
                <w:tcPr>
                  <w:tcW w:w="1352"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67.50%</w:t>
                  </w:r>
                </w:p>
              </w:tc>
              <w:tc>
                <w:tcPr>
                  <w:tcW w:w="1467"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71" w:hRule="atLeast"/>
              </w:trPr>
              <w:tc>
                <w:tcPr>
                  <w:tcW w:w="640"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O</w:t>
                  </w:r>
                  <w:r>
                    <w:rPr>
                      <w:rFonts w:hint="default" w:ascii="Times New Roman" w:hAnsi="Times New Roman" w:cs="Times New Roman"/>
                      <w:color w:val="auto"/>
                      <w:sz w:val="21"/>
                      <w:szCs w:val="21"/>
                      <w:highlight w:val="none"/>
                      <w:vertAlign w:val="superscript"/>
                    </w:rPr>
                    <w:t>3</w:t>
                  </w:r>
                </w:p>
              </w:tc>
              <w:tc>
                <w:tcPr>
                  <w:tcW w:w="2013"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日最大8小时滑动平均值的第90百分位数</w:t>
                  </w:r>
                </w:p>
              </w:tc>
              <w:tc>
                <w:tcPr>
                  <w:tcW w:w="664" w:type="dxa"/>
                  <w:tcBorders>
                    <w:tl2br w:val="nil"/>
                    <w:tr2bl w:val="nil"/>
                  </w:tcBorders>
                  <w:vAlign w:val="center"/>
                </w:tcPr>
                <w:p>
                  <w:pPr>
                    <w:bidi w:val="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µg/m</w:t>
                  </w:r>
                  <w:r>
                    <w:rPr>
                      <w:rFonts w:hint="default" w:ascii="Times New Roman" w:hAnsi="Times New Roman" w:cs="Times New Roman"/>
                      <w:color w:val="auto"/>
                      <w:sz w:val="21"/>
                      <w:szCs w:val="21"/>
                      <w:highlight w:val="none"/>
                      <w:vertAlign w:val="superscript"/>
                    </w:rPr>
                    <w:t>3</w:t>
                  </w:r>
                </w:p>
              </w:tc>
              <w:tc>
                <w:tcPr>
                  <w:tcW w:w="931"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134</w:t>
                  </w:r>
                </w:p>
              </w:tc>
              <w:tc>
                <w:tcPr>
                  <w:tcW w:w="931"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en-US"/>
                    </w:rPr>
                    <w:t>160</w:t>
                  </w:r>
                </w:p>
              </w:tc>
              <w:tc>
                <w:tcPr>
                  <w:tcW w:w="1352"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83.75%</w:t>
                  </w:r>
                </w:p>
              </w:tc>
              <w:tc>
                <w:tcPr>
                  <w:tcW w:w="1467" w:type="dxa"/>
                  <w:tcBorders>
                    <w:tl2br w:val="nil"/>
                    <w:tr2bl w:val="nil"/>
                  </w:tcBorders>
                  <w:vAlign w:val="center"/>
                </w:tcPr>
                <w:p>
                  <w:pPr>
                    <w:bidi w:val="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达标</w:t>
                  </w:r>
                </w:p>
              </w:tc>
            </w:tr>
          </w:tbl>
          <w:p>
            <w:pPr>
              <w:keepNext w:val="0"/>
              <w:keepLines w:val="0"/>
              <w:widowControl/>
              <w:suppressLineNumbers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rPr>
              <w:t>由表3-</w:t>
            </w:r>
            <w:r>
              <w:rPr>
                <w:rFonts w:hint="default" w:ascii="Times New Roman" w:hAnsi="Times New Roman" w:eastAsia="宋体" w:cs="Times New Roman"/>
                <w:color w:val="auto"/>
                <w:highlight w:val="none"/>
                <w:lang w:val="en-US" w:eastAsia="zh-CN"/>
              </w:rPr>
              <w:t>5</w:t>
            </w:r>
            <w:r>
              <w:rPr>
                <w:rFonts w:hint="default" w:ascii="Times New Roman" w:hAnsi="Times New Roman" w:eastAsia="宋体" w:cs="Times New Roman"/>
                <w:color w:val="auto"/>
                <w:highlight w:val="none"/>
              </w:rPr>
              <w:t>可知，</w:t>
            </w:r>
            <w:r>
              <w:rPr>
                <w:rFonts w:hint="default" w:ascii="Times New Roman" w:hAnsi="Times New Roman" w:cs="Times New Roman"/>
                <w:color w:val="auto"/>
                <w:highlight w:val="none"/>
                <w:lang w:val="en-US" w:eastAsia="zh-CN"/>
              </w:rPr>
              <w:t>地区</w:t>
            </w:r>
            <w:r>
              <w:rPr>
                <w:rFonts w:hint="default" w:ascii="Times New Roman" w:hAnsi="Times New Roman" w:eastAsia="宋体" w:cs="Times New Roman"/>
                <w:color w:val="auto"/>
                <w:highlight w:val="none"/>
              </w:rPr>
              <w:t>SO</w:t>
            </w:r>
            <w:r>
              <w:rPr>
                <w:rFonts w:hint="default" w:ascii="Times New Roman" w:hAnsi="Times New Roman" w:eastAsia="宋体" w:cs="Times New Roman"/>
                <w:color w:val="auto"/>
                <w:highlight w:val="none"/>
                <w:vertAlign w:val="subscript"/>
              </w:rPr>
              <w:t>2</w:t>
            </w:r>
            <w:r>
              <w:rPr>
                <w:rFonts w:hint="default" w:ascii="Times New Roman" w:hAnsi="Times New Roman" w:eastAsia="宋体" w:cs="Times New Roman"/>
                <w:color w:val="auto"/>
                <w:highlight w:val="none"/>
              </w:rPr>
              <w:t>、NO</w:t>
            </w:r>
            <w:r>
              <w:rPr>
                <w:rFonts w:hint="default" w:ascii="Times New Roman" w:hAnsi="Times New Roman" w:eastAsia="宋体" w:cs="Times New Roman"/>
                <w:color w:val="auto"/>
                <w:highlight w:val="none"/>
                <w:vertAlign w:val="subscript"/>
              </w:rPr>
              <w:t>2</w:t>
            </w:r>
            <w:r>
              <w:rPr>
                <w:rFonts w:hint="default" w:ascii="Times New Roman" w:hAnsi="Times New Roman" w:cs="Times New Roman"/>
                <w:color w:val="auto"/>
                <w:highlight w:val="none"/>
                <w:vertAlign w:val="subscript"/>
                <w:lang w:eastAsia="zh-CN"/>
              </w:rPr>
              <w:t>、</w:t>
            </w:r>
            <w:r>
              <w:rPr>
                <w:rFonts w:hint="default" w:ascii="Times New Roman" w:hAnsi="Times New Roman" w:eastAsia="宋体" w:cs="Times New Roman"/>
                <w:color w:val="auto"/>
                <w:highlight w:val="none"/>
              </w:rPr>
              <w:t>年平均浓度，</w:t>
            </w:r>
            <w:r>
              <w:rPr>
                <w:rFonts w:hint="default" w:ascii="Times New Roman" w:hAnsi="Times New Roman" w:eastAsia="宋体" w:cs="Times New Roman"/>
                <w:color w:val="auto"/>
                <w:highlight w:val="none"/>
                <w:lang w:val="en-US" w:eastAsia="en-US"/>
              </w:rPr>
              <w:t>CO日平均浓度</w:t>
            </w:r>
            <w:r>
              <w:rPr>
                <w:rFonts w:hint="default"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en-US"/>
              </w:rPr>
              <w:t>O₃日最大8小时平均</w:t>
            </w:r>
            <w:r>
              <w:rPr>
                <w:rFonts w:hint="default" w:ascii="Times New Roman" w:hAnsi="Times New Roman" w:eastAsia="宋体" w:cs="Times New Roman"/>
                <w:color w:val="auto"/>
                <w:highlight w:val="none"/>
              </w:rPr>
              <w:t>浓度均满足《环境空气质量标准》</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eastAsia="zh-CN"/>
              </w:rPr>
              <w:t>GB3095-2026</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过渡阶段二级标准，</w:t>
            </w:r>
            <w:r>
              <w:rPr>
                <w:rFonts w:hint="default" w:ascii="Times New Roman" w:hAnsi="Times New Roman" w:eastAsia="宋体" w:cs="Times New Roman"/>
                <w:color w:val="auto"/>
                <w:highlight w:val="none"/>
                <w:lang w:val="en-US" w:eastAsia="zh-CN"/>
              </w:rPr>
              <w:t>PM</w:t>
            </w:r>
            <w:r>
              <w:rPr>
                <w:rFonts w:hint="default" w:ascii="Times New Roman" w:hAnsi="Times New Roman" w:eastAsia="宋体" w:cs="Times New Roman"/>
                <w:color w:val="auto"/>
                <w:highlight w:val="none"/>
                <w:vertAlign w:val="subscript"/>
                <w:lang w:val="en-US" w:eastAsia="zh-CN"/>
              </w:rPr>
              <w:t>10</w:t>
            </w:r>
            <w:r>
              <w:rPr>
                <w:rFonts w:hint="default" w:ascii="Times New Roman" w:hAnsi="Times New Roman" w:eastAsia="宋体" w:cs="Times New Roman"/>
                <w:color w:val="auto"/>
                <w:highlight w:val="none"/>
                <w:lang w:val="en-US" w:eastAsia="zh-CN"/>
              </w:rPr>
              <w:t>、PM</w:t>
            </w:r>
            <w:r>
              <w:rPr>
                <w:rFonts w:hint="default" w:ascii="Times New Roman" w:hAnsi="Times New Roman" w:eastAsia="宋体" w:cs="Times New Roman"/>
                <w:color w:val="auto"/>
                <w:highlight w:val="none"/>
                <w:vertAlign w:val="subscript"/>
                <w:lang w:val="en-US" w:eastAsia="zh-CN"/>
              </w:rPr>
              <w:t>2.5</w:t>
            </w:r>
            <w:r>
              <w:rPr>
                <w:rFonts w:hint="default" w:ascii="Times New Roman" w:hAnsi="Times New Roman" w:eastAsia="宋体" w:cs="Times New Roman"/>
                <w:color w:val="auto"/>
                <w:highlight w:val="none"/>
              </w:rPr>
              <w:t>年平均浓度</w:t>
            </w:r>
            <w:r>
              <w:rPr>
                <w:rFonts w:hint="default" w:ascii="Times New Roman" w:hAnsi="Times New Roman" w:eastAsia="宋体" w:cs="Times New Roman"/>
                <w:color w:val="auto"/>
                <w:highlight w:val="none"/>
                <w:vertAlign w:val="baseline"/>
                <w:lang w:val="en-US" w:eastAsia="zh-CN"/>
              </w:rPr>
              <w:t>超标，</w:t>
            </w:r>
            <w:r>
              <w:rPr>
                <w:rFonts w:hint="default" w:ascii="Times New Roman" w:hAnsi="Times New Roman" w:eastAsia="宋体" w:cs="Times New Roman"/>
                <w:color w:val="auto"/>
                <w:highlight w:val="none"/>
              </w:rPr>
              <w:t>本项目所在区域属于环境空气质量</w:t>
            </w:r>
            <w:r>
              <w:rPr>
                <w:rFonts w:hint="default" w:ascii="Times New Roman" w:hAnsi="Times New Roman" w:eastAsia="宋体" w:cs="Times New Roman"/>
                <w:color w:val="auto"/>
                <w:highlight w:val="none"/>
                <w:lang w:val="en-US" w:eastAsia="zh-CN"/>
              </w:rPr>
              <w:t>不</w:t>
            </w:r>
            <w:r>
              <w:rPr>
                <w:rFonts w:hint="default" w:ascii="Times New Roman" w:hAnsi="Times New Roman" w:eastAsia="宋体" w:cs="Times New Roman"/>
                <w:color w:val="auto"/>
                <w:highlight w:val="none"/>
              </w:rPr>
              <w:t>达标区</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val="en-US" w:eastAsia="zh-CN"/>
              </w:rPr>
              <w:t>超标原因与当地气候条件干燥、自然扬尘较多有密切关系。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bCs/>
                <w:color w:val="auto"/>
                <w:highlight w:val="none"/>
              </w:rPr>
              <w:t>与项目有关的原有环境污染和生态破坏问题</w:t>
            </w:r>
          </w:p>
        </w:tc>
        <w:tc>
          <w:tcPr>
            <w:tcW w:w="8253" w:type="dxa"/>
            <w:vAlign w:val="center"/>
          </w:tcPr>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highlight w:val="none"/>
                <w:lang w:val="en-US"/>
              </w:rPr>
            </w:pPr>
            <w:r>
              <w:rPr>
                <w:rFonts w:hint="default" w:ascii="Times New Roman" w:hAnsi="Times New Roman" w:eastAsia="宋体" w:cs="Times New Roman"/>
                <w:color w:val="auto"/>
                <w:highlight w:val="none"/>
                <w:lang w:val="en-US" w:eastAsia="zh-CN"/>
              </w:rPr>
              <w:t>本项目为新建项目，无项目有关的原有环境污染和生态破坏问题。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highlight w:val="none"/>
              </w:rPr>
              <w:t>生态环境保护目标</w:t>
            </w:r>
          </w:p>
        </w:tc>
        <w:tc>
          <w:tcPr>
            <w:tcW w:w="8253" w:type="dxa"/>
            <w:vAlign w:val="center"/>
          </w:tcPr>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lang w:val="en-US" w:eastAsia="zh-CN" w:bidi="ar"/>
              </w:rPr>
            </w:pPr>
            <w:r>
              <w:rPr>
                <w:rFonts w:hint="default" w:ascii="Times New Roman" w:hAnsi="Times New Roman" w:eastAsia="宋体" w:cs="Times New Roman"/>
                <w:b/>
                <w:bCs/>
                <w:color w:val="auto"/>
                <w:highlight w:val="none"/>
                <w:lang w:val="en-US" w:eastAsia="zh-CN" w:bidi="ar"/>
              </w:rPr>
              <w:t>1 水环境</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val="en-US" w:eastAsia="zh-CN" w:bidi="ar"/>
              </w:rPr>
            </w:pPr>
            <w:r>
              <w:rPr>
                <w:rFonts w:hint="default" w:ascii="Times New Roman" w:hAnsi="Times New Roman" w:eastAsia="宋体" w:cs="Times New Roman"/>
                <w:color w:val="auto"/>
                <w:highlight w:val="none"/>
                <w:lang w:val="en-US" w:eastAsia="zh-CN" w:bidi="ar"/>
              </w:rPr>
              <w:t>根据《环境影响评价技术导则 地表水环境》</w:t>
            </w:r>
            <w:r>
              <w:rPr>
                <w:rFonts w:hint="eastAsia" w:ascii="Times New Roman" w:hAnsi="Times New Roman" w:cs="Times New Roman"/>
                <w:color w:val="auto"/>
                <w:highlight w:val="none"/>
                <w:lang w:val="en-US" w:eastAsia="zh-CN" w:bidi="ar"/>
              </w:rPr>
              <w:t>（</w:t>
            </w:r>
            <w:r>
              <w:rPr>
                <w:rFonts w:hint="default" w:ascii="Times New Roman" w:hAnsi="Times New Roman" w:eastAsia="宋体" w:cs="Times New Roman"/>
                <w:color w:val="auto"/>
                <w:highlight w:val="none"/>
                <w:lang w:val="en-US" w:eastAsia="zh-CN" w:bidi="ar"/>
              </w:rPr>
              <w:t>HJ2.3-2018</w:t>
            </w:r>
            <w:r>
              <w:rPr>
                <w:rFonts w:hint="eastAsia" w:ascii="Times New Roman" w:hAnsi="Times New Roman" w:cs="Times New Roman"/>
                <w:color w:val="auto"/>
                <w:highlight w:val="none"/>
                <w:lang w:val="en-US" w:eastAsia="zh-CN" w:bidi="ar"/>
              </w:rPr>
              <w:t>）</w:t>
            </w:r>
            <w:r>
              <w:rPr>
                <w:rFonts w:hint="default" w:ascii="Times New Roman" w:hAnsi="Times New Roman" w:eastAsia="宋体" w:cs="Times New Roman"/>
                <w:color w:val="auto"/>
                <w:highlight w:val="none"/>
                <w:lang w:val="en-US" w:eastAsia="zh-CN" w:bidi="ar"/>
              </w:rPr>
              <w:t>，水环境保护目标包括饮用水水源保护区、饮用水取水口，涉水的自然保护区、风景名胜区，重要湿地、重点保护与珍稀水生生物的栖息地、重要水生生物的自然产卵场及索饵场、越冬场和洄游通道，天然渔场等渔业水体，以及水产种质资源保护区等。</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val="en-US" w:eastAsia="zh-CN" w:bidi="ar"/>
              </w:rPr>
            </w:pPr>
            <w:r>
              <w:rPr>
                <w:rFonts w:hint="default" w:ascii="Times New Roman" w:hAnsi="Times New Roman" w:eastAsia="宋体" w:cs="Times New Roman"/>
                <w:color w:val="auto"/>
                <w:highlight w:val="none"/>
                <w:lang w:val="en-US" w:eastAsia="zh-CN" w:bidi="ar"/>
              </w:rPr>
              <w:t>本项目不涉及饮用水水源保护区等环境敏感区。项目区域 500m 范围内无地下水集中式饮用水水源和热水、矿泉水、温泉等特殊地下水资源。</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lang w:val="en-US" w:eastAsia="zh-CN" w:bidi="ar"/>
              </w:rPr>
            </w:pPr>
            <w:r>
              <w:rPr>
                <w:rFonts w:hint="default" w:ascii="Times New Roman" w:hAnsi="Times New Roman" w:eastAsia="宋体" w:cs="Times New Roman"/>
                <w:b/>
                <w:bCs/>
                <w:color w:val="auto"/>
                <w:highlight w:val="none"/>
                <w:lang w:val="en-US" w:eastAsia="zh-CN" w:bidi="ar"/>
              </w:rPr>
              <w:t>2 声环境</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val="en-US" w:eastAsia="zh-CN" w:bidi="ar"/>
              </w:rPr>
            </w:pPr>
            <w:r>
              <w:rPr>
                <w:rFonts w:hint="default" w:ascii="Times New Roman" w:hAnsi="Times New Roman" w:eastAsia="宋体" w:cs="Times New Roman"/>
                <w:color w:val="auto"/>
                <w:highlight w:val="none"/>
                <w:lang w:val="en-US" w:eastAsia="zh-CN" w:bidi="ar"/>
              </w:rPr>
              <w:t>根据《环境影响评价技术导则 声环境》</w:t>
            </w:r>
            <w:r>
              <w:rPr>
                <w:rFonts w:hint="eastAsia" w:ascii="Times New Roman" w:hAnsi="Times New Roman" w:cs="Times New Roman"/>
                <w:color w:val="auto"/>
                <w:highlight w:val="none"/>
                <w:lang w:val="en-US" w:eastAsia="zh-CN" w:bidi="ar"/>
              </w:rPr>
              <w:t>（</w:t>
            </w:r>
            <w:r>
              <w:rPr>
                <w:rFonts w:hint="default" w:ascii="Times New Roman" w:hAnsi="Times New Roman" w:eastAsia="宋体" w:cs="Times New Roman"/>
                <w:color w:val="auto"/>
                <w:highlight w:val="none"/>
                <w:lang w:val="en-US" w:eastAsia="zh-CN" w:bidi="ar"/>
              </w:rPr>
              <w:t>HJ2.4-2021</w:t>
            </w:r>
            <w:r>
              <w:rPr>
                <w:rFonts w:hint="eastAsia" w:ascii="Times New Roman" w:hAnsi="Times New Roman" w:cs="Times New Roman"/>
                <w:color w:val="auto"/>
                <w:highlight w:val="none"/>
                <w:lang w:val="en-US" w:eastAsia="zh-CN" w:bidi="ar"/>
              </w:rPr>
              <w:t>）</w:t>
            </w:r>
            <w:r>
              <w:rPr>
                <w:rFonts w:hint="default" w:ascii="Times New Roman" w:hAnsi="Times New Roman" w:eastAsia="宋体" w:cs="Times New Roman"/>
                <w:color w:val="auto"/>
                <w:highlight w:val="none"/>
                <w:lang w:val="en-US" w:eastAsia="zh-CN" w:bidi="ar"/>
              </w:rPr>
              <w:t>，声环境保护目标指依据法律、法规、标准政策等确定的需要保持安静的建筑物及建筑物集中区。本项目110kV</w:t>
            </w:r>
            <w:r>
              <w:rPr>
                <w:rFonts w:hint="default" w:ascii="Times New Roman" w:hAnsi="Times New Roman" w:cs="Times New Roman"/>
                <w:color w:val="auto"/>
                <w:highlight w:val="none"/>
                <w:lang w:val="en-US" w:eastAsia="zh-CN" w:bidi="ar"/>
              </w:rPr>
              <w:t>变电站</w:t>
            </w:r>
            <w:r>
              <w:rPr>
                <w:rFonts w:hint="default" w:ascii="Times New Roman" w:hAnsi="Times New Roman" w:eastAsia="宋体" w:cs="Times New Roman"/>
                <w:color w:val="auto"/>
                <w:highlight w:val="none"/>
                <w:lang w:val="en-US" w:eastAsia="zh-CN" w:bidi="ar"/>
              </w:rPr>
              <w:t xml:space="preserve">厂界外 </w:t>
            </w:r>
            <w:r>
              <w:rPr>
                <w:rFonts w:hint="eastAsia" w:ascii="Times New Roman" w:hAnsi="Times New Roman" w:cs="Times New Roman"/>
                <w:color w:val="auto"/>
                <w:highlight w:val="none"/>
                <w:lang w:val="en-US" w:eastAsia="zh-CN" w:bidi="ar"/>
              </w:rPr>
              <w:t>200</w:t>
            </w:r>
            <w:r>
              <w:rPr>
                <w:rFonts w:hint="default" w:ascii="Times New Roman" w:hAnsi="Times New Roman" w:eastAsia="宋体" w:cs="Times New Roman"/>
                <w:color w:val="auto"/>
                <w:highlight w:val="none"/>
                <w:lang w:val="en-US" w:eastAsia="zh-CN" w:bidi="ar"/>
              </w:rPr>
              <w:t>m 范围内涉及</w:t>
            </w:r>
            <w:r>
              <w:rPr>
                <w:rFonts w:hint="default" w:ascii="Times New Roman" w:hAnsi="Times New Roman" w:cs="Times New Roman"/>
                <w:color w:val="auto"/>
                <w:highlight w:val="none"/>
                <w:lang w:val="en-US" w:eastAsia="zh-CN" w:bidi="ar"/>
              </w:rPr>
              <w:t>1个</w:t>
            </w:r>
            <w:r>
              <w:rPr>
                <w:rFonts w:hint="default" w:ascii="Times New Roman" w:hAnsi="Times New Roman" w:eastAsia="宋体" w:cs="Times New Roman"/>
                <w:color w:val="auto"/>
                <w:highlight w:val="none"/>
                <w:lang w:val="en-US" w:eastAsia="zh-CN" w:bidi="ar"/>
              </w:rPr>
              <w:t>声环境保护目标。110kV 输电线路评价范围 30m 内涉及</w:t>
            </w:r>
            <w:r>
              <w:rPr>
                <w:rFonts w:hint="default" w:ascii="Times New Roman" w:hAnsi="Times New Roman" w:cs="Times New Roman"/>
                <w:color w:val="auto"/>
                <w:highlight w:val="none"/>
                <w:lang w:val="en-US" w:eastAsia="zh-CN" w:bidi="ar"/>
              </w:rPr>
              <w:t>12个</w:t>
            </w:r>
            <w:r>
              <w:rPr>
                <w:rFonts w:hint="default" w:ascii="Times New Roman" w:hAnsi="Times New Roman" w:eastAsia="宋体" w:cs="Times New Roman"/>
                <w:color w:val="auto"/>
                <w:highlight w:val="none"/>
                <w:lang w:val="en-US" w:eastAsia="zh-CN" w:bidi="ar"/>
              </w:rPr>
              <w:t>声环境保护目标。</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lang w:val="en-US" w:eastAsia="zh-CN" w:bidi="ar"/>
              </w:rPr>
            </w:pPr>
            <w:r>
              <w:rPr>
                <w:rFonts w:hint="default" w:ascii="Times New Roman" w:hAnsi="Times New Roman" w:eastAsia="宋体" w:cs="Times New Roman"/>
                <w:b/>
                <w:bCs/>
                <w:color w:val="auto"/>
                <w:highlight w:val="none"/>
                <w:lang w:val="en-US" w:eastAsia="zh-CN" w:bidi="ar"/>
              </w:rPr>
              <w:t>3 生态环境</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bidi="ar"/>
              </w:rPr>
            </w:pPr>
            <w:r>
              <w:rPr>
                <w:rFonts w:hint="default" w:ascii="Times New Roman" w:hAnsi="Times New Roman" w:eastAsia="宋体" w:cs="Times New Roman"/>
                <w:color w:val="auto"/>
                <w:highlight w:val="none"/>
                <w:lang w:val="en-US" w:eastAsia="zh-CN" w:bidi="ar"/>
              </w:rPr>
              <w:t>根据现场调查，本项目新建变电站围墙外500m范围内、架空线路边导线地面投影外两侧300m范围内、不涉及《环境影响评价技术导则 生态影响》</w:t>
            </w:r>
            <w:r>
              <w:rPr>
                <w:rFonts w:hint="eastAsia" w:ascii="Times New Roman" w:hAnsi="Times New Roman" w:cs="Times New Roman"/>
                <w:color w:val="auto"/>
                <w:highlight w:val="none"/>
                <w:lang w:val="en-US" w:eastAsia="zh-CN" w:bidi="ar"/>
              </w:rPr>
              <w:t>（</w:t>
            </w:r>
            <w:r>
              <w:rPr>
                <w:rFonts w:hint="default" w:ascii="Times New Roman" w:hAnsi="Times New Roman" w:eastAsia="宋体" w:cs="Times New Roman"/>
                <w:color w:val="auto"/>
                <w:highlight w:val="none"/>
                <w:lang w:val="en-US" w:eastAsia="zh-CN" w:bidi="ar"/>
              </w:rPr>
              <w:t>HJ19-2022</w:t>
            </w:r>
            <w:r>
              <w:rPr>
                <w:rFonts w:hint="eastAsia" w:ascii="Times New Roman" w:hAnsi="Times New Roman" w:cs="Times New Roman"/>
                <w:color w:val="auto"/>
                <w:highlight w:val="none"/>
                <w:lang w:val="en-US" w:eastAsia="zh-CN" w:bidi="ar"/>
              </w:rPr>
              <w:t>）</w:t>
            </w:r>
            <w:r>
              <w:rPr>
                <w:rFonts w:hint="default" w:ascii="Times New Roman" w:hAnsi="Times New Roman" w:eastAsia="宋体" w:cs="Times New Roman"/>
                <w:color w:val="auto"/>
                <w:highlight w:val="none"/>
                <w:lang w:val="en-US" w:eastAsia="zh-CN" w:bidi="ar"/>
              </w:rPr>
              <w:t>中规定的生态保护目标，包括生态敏感区和重要物种，其中生态敏感区又分为法定生态保护区域、重要生境以及其他具有重要生态功能、对保护生物多样性具有重要意义的区域。</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lang w:bidi="ar"/>
              </w:rPr>
            </w:pPr>
            <w:r>
              <w:rPr>
                <w:rFonts w:hint="default" w:ascii="Times New Roman" w:hAnsi="Times New Roman" w:eastAsia="宋体" w:cs="Times New Roman"/>
                <w:b/>
                <w:bCs/>
                <w:color w:val="auto"/>
                <w:highlight w:val="none"/>
                <w:lang w:val="en-US" w:eastAsia="zh-CN" w:bidi="ar"/>
              </w:rPr>
              <w:t xml:space="preserve">4 电磁环境 </w:t>
            </w:r>
          </w:p>
          <w:p>
            <w:pPr>
              <w:keepNext w:val="0"/>
              <w:keepLines w:val="0"/>
              <w:widowControl/>
              <w:suppressLineNumbers w:val="0"/>
              <w:autoSpaceDE w:val="0"/>
              <w:autoSpaceDN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val="en-US" w:eastAsia="zh-CN" w:bidi="ar"/>
              </w:rPr>
            </w:pPr>
            <w:r>
              <w:rPr>
                <w:rFonts w:hint="default" w:ascii="Times New Roman" w:hAnsi="Times New Roman" w:eastAsia="宋体" w:cs="Times New Roman"/>
                <w:color w:val="auto"/>
                <w:highlight w:val="none"/>
                <w:lang w:val="en-US" w:eastAsia="zh-CN" w:bidi="ar"/>
              </w:rPr>
              <w:t>根据《环境影响评价技术导则 输变电》</w:t>
            </w:r>
            <w:r>
              <w:rPr>
                <w:rFonts w:hint="eastAsia" w:ascii="Times New Roman" w:hAnsi="Times New Roman" w:cs="Times New Roman"/>
                <w:color w:val="auto"/>
                <w:highlight w:val="none"/>
                <w:lang w:val="en-US" w:eastAsia="zh-CN" w:bidi="ar"/>
              </w:rPr>
              <w:t>（</w:t>
            </w:r>
            <w:r>
              <w:rPr>
                <w:rFonts w:hint="default" w:ascii="Times New Roman" w:hAnsi="Times New Roman" w:eastAsia="宋体" w:cs="Times New Roman"/>
                <w:color w:val="auto"/>
                <w:highlight w:val="none"/>
                <w:lang w:val="en-US" w:eastAsia="zh-CN" w:bidi="ar"/>
              </w:rPr>
              <w:t>HJ24-2020</w:t>
            </w:r>
            <w:r>
              <w:rPr>
                <w:rFonts w:hint="eastAsia" w:ascii="Times New Roman" w:hAnsi="Times New Roman" w:cs="Times New Roman"/>
                <w:color w:val="auto"/>
                <w:highlight w:val="none"/>
                <w:lang w:val="en-US" w:eastAsia="zh-CN" w:bidi="ar"/>
              </w:rPr>
              <w:t>）</w:t>
            </w:r>
            <w:r>
              <w:rPr>
                <w:rFonts w:hint="default" w:ascii="Times New Roman" w:hAnsi="Times New Roman" w:eastAsia="宋体" w:cs="Times New Roman"/>
                <w:color w:val="auto"/>
                <w:highlight w:val="none"/>
                <w:lang w:val="en-US" w:eastAsia="zh-CN" w:bidi="ar"/>
              </w:rPr>
              <w:t>，电磁环境敏感目标为电磁环境影响评价需重点关注的对象。包括住宅、学校、医院、办公楼、工厂等有公众居住，工作或学习的建筑物。本项目110kV</w:t>
            </w:r>
            <w:r>
              <w:rPr>
                <w:rFonts w:hint="default" w:ascii="Times New Roman" w:hAnsi="Times New Roman" w:cs="Times New Roman"/>
                <w:color w:val="auto"/>
                <w:highlight w:val="none"/>
                <w:lang w:val="en-US" w:eastAsia="zh-CN" w:bidi="ar"/>
              </w:rPr>
              <w:t>变电站</w:t>
            </w:r>
            <w:r>
              <w:rPr>
                <w:rFonts w:hint="default" w:ascii="Times New Roman" w:hAnsi="Times New Roman" w:eastAsia="宋体" w:cs="Times New Roman"/>
                <w:color w:val="auto"/>
                <w:highlight w:val="none"/>
                <w:lang w:val="en-US" w:eastAsia="zh-CN" w:bidi="ar"/>
              </w:rPr>
              <w:t>站界外 30m范围内</w:t>
            </w:r>
            <w:r>
              <w:rPr>
                <w:rFonts w:hint="default" w:ascii="Times New Roman" w:hAnsi="Times New Roman" w:cs="Times New Roman"/>
                <w:color w:val="auto"/>
                <w:highlight w:val="none"/>
                <w:lang w:val="en-US" w:eastAsia="zh-CN" w:bidi="ar"/>
              </w:rPr>
              <w:t>有1个</w:t>
            </w:r>
            <w:r>
              <w:rPr>
                <w:rFonts w:hint="default" w:ascii="Times New Roman" w:hAnsi="Times New Roman" w:eastAsia="宋体" w:cs="Times New Roman"/>
                <w:color w:val="auto"/>
                <w:highlight w:val="none"/>
                <w:lang w:val="en-US" w:eastAsia="zh-CN" w:bidi="ar"/>
              </w:rPr>
              <w:t>电磁环境敏感目标。架空线路边导线地面投影外两侧各30m范围内</w:t>
            </w:r>
            <w:r>
              <w:rPr>
                <w:rFonts w:hint="default" w:ascii="Times New Roman" w:hAnsi="Times New Roman" w:cs="Times New Roman"/>
                <w:color w:val="auto"/>
                <w:highlight w:val="none"/>
                <w:lang w:val="en-US" w:eastAsia="zh-CN" w:bidi="ar"/>
              </w:rPr>
              <w:t>有12个</w:t>
            </w:r>
            <w:r>
              <w:rPr>
                <w:rFonts w:hint="default" w:ascii="Times New Roman" w:hAnsi="Times New Roman" w:eastAsia="宋体" w:cs="Times New Roman"/>
                <w:color w:val="auto"/>
                <w:highlight w:val="none"/>
                <w:lang w:val="en-US" w:eastAsia="zh-CN" w:bidi="ar"/>
              </w:rPr>
              <w:t>电磁环境敏感目标。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9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评价</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highlight w:val="none"/>
              </w:rPr>
              <w:t>标准</w:t>
            </w:r>
          </w:p>
        </w:tc>
        <w:tc>
          <w:tcPr>
            <w:tcW w:w="8253" w:type="dxa"/>
            <w:vAlign w:val="center"/>
          </w:tcPr>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bookmarkStart w:id="45" w:name="_Hlk202739666"/>
            <w:r>
              <w:rPr>
                <w:rFonts w:hint="default" w:ascii="Times New Roman" w:hAnsi="Times New Roman" w:eastAsia="宋体" w:cs="Times New Roman"/>
                <w:b/>
                <w:bCs/>
                <w:color w:val="auto"/>
                <w:highlight w:val="none"/>
              </w:rPr>
              <w:t>1 环境质量标准</w:t>
            </w:r>
          </w:p>
          <w:p>
            <w:pPr>
              <w:keepNext w:val="0"/>
              <w:keepLines w:val="0"/>
              <w:pageBreakBefore w:val="0"/>
              <w:widowControl/>
              <w:numPr>
                <w:ilvl w:val="0"/>
                <w:numId w:val="1"/>
              </w:numPr>
              <w:suppressLineNumbers w:val="0"/>
              <w:kinsoku/>
              <w:wordWrap/>
              <w:overflowPunct/>
              <w:topLinePunct w:val="0"/>
              <w:autoSpaceDE/>
              <w:autoSpaceDN/>
              <w:bidi w:val="0"/>
              <w:adjustRightInd/>
              <w:snapToGrid w:val="0"/>
              <w:spacing w:before="0" w:beforeAutospacing="0" w:after="0" w:afterAutospacing="0" w:line="336" w:lineRule="auto"/>
              <w:ind w:left="480" w:leftChars="200" w:right="0" w:rightChars="0"/>
              <w:textAlignment w:val="auto"/>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大气环境：</w:t>
            </w:r>
          </w:p>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36" w:lineRule="auto"/>
              <w:ind w:left="0" w:right="0" w:rightChars="0" w:firstLine="480" w:firstLineChars="200"/>
              <w:textAlignment w:val="auto"/>
              <w:rPr>
                <w:rFonts w:hint="eastAsia"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《环境空气质量标准》（GB3095-2026）过渡阶段中二级标准。</w:t>
            </w:r>
          </w:p>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336" w:lineRule="auto"/>
              <w:ind w:left="0" w:right="0" w:rightChars="0" w:firstLine="480" w:firstLineChars="200"/>
              <w:textAlignment w:val="auto"/>
              <w:rPr>
                <w:rFonts w:hint="default" w:ascii="Times New Roman" w:hAnsi="Times New Roman" w:eastAsia="宋体" w:cs="Times New Roman"/>
                <w:color w:val="auto"/>
                <w:szCs w:val="21"/>
                <w:highlight w:val="none"/>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2</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声环境</w:t>
            </w:r>
            <w:r>
              <w:rPr>
                <w:rFonts w:hint="default" w:ascii="Times New Roman" w:hAnsi="Times New Roman" w:eastAsia="宋体" w:cs="Times New Roman"/>
                <w:color w:val="auto"/>
                <w:szCs w:val="21"/>
                <w:highlight w:val="none"/>
              </w:rPr>
              <w: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36" w:lineRule="auto"/>
              <w:ind w:left="0" w:right="0" w:firstLine="480" w:firstLineChars="200"/>
              <w:textAlignment w:val="auto"/>
              <w:rPr>
                <w:rFonts w:hint="default" w:ascii="Times New Roman" w:hAnsi="Times New Roman" w:eastAsia="宋体" w:cs="Times New Roman"/>
                <w:color w:val="auto"/>
                <w:szCs w:val="21"/>
                <w:highlight w:val="none"/>
                <w:lang w:val="en-US" w:eastAsia="zh-CN"/>
              </w:rPr>
            </w:pPr>
            <w:r>
              <w:rPr>
                <w:rFonts w:hint="default" w:ascii="Times New Roman" w:hAnsi="Times New Roman" w:cs="Times New Roman"/>
                <w:color w:val="auto"/>
                <w:szCs w:val="21"/>
                <w:highlight w:val="none"/>
                <w:lang w:val="en-US" w:eastAsia="zh-CN"/>
              </w:rPr>
              <w:t>根据《</w:t>
            </w:r>
            <w:r>
              <w:rPr>
                <w:rFonts w:hint="default" w:ascii="Times New Roman" w:hAnsi="Times New Roman" w:eastAsia="宋体" w:cs="Times New Roman"/>
                <w:color w:val="auto"/>
                <w:szCs w:val="21"/>
                <w:highlight w:val="none"/>
                <w:lang w:val="en-US" w:eastAsia="zh-CN"/>
              </w:rPr>
              <w:t>岳普湖县城区声环境功能区划分方案（2021）</w:t>
            </w:r>
            <w:r>
              <w:rPr>
                <w:rFonts w:hint="default" w:ascii="Times New Roman" w:hAnsi="Times New Roman" w:cs="Times New Roman"/>
                <w:color w:val="auto"/>
                <w:szCs w:val="21"/>
                <w:highlight w:val="none"/>
                <w:lang w:val="en-US" w:eastAsia="zh-CN"/>
              </w:rPr>
              <w:t>》</w:t>
            </w:r>
            <w:r>
              <w:rPr>
                <w:rFonts w:hint="eastAsia" w:ascii="Times New Roman" w:hAnsi="Times New Roman" w:cs="Times New Roman"/>
                <w:color w:val="auto"/>
                <w:szCs w:val="21"/>
                <w:highlight w:val="none"/>
                <w:lang w:val="en-US" w:eastAsia="zh-CN"/>
              </w:rPr>
              <w:t>及岳普湖县声环境功能区单元格划分图，拟建变电站位于泰岳工业园，声环境质量执行《声环境质量标准》（GB3096-2008）中 3 类标准（昼间 65dB（A），夜间 55dB（A））；拟建线路位于泰岳工业园范围的，声环境质量执行《声环境质量标准》（GB3096-2008）中 3 类标准（昼间 65dB（A），夜间 55dB（A））；</w:t>
            </w:r>
            <w:bookmarkStart w:id="46" w:name="_Hlk202739614"/>
            <w:r>
              <w:rPr>
                <w:rFonts w:hint="eastAsia" w:ascii="Times New Roman" w:hAnsi="Times New Roman" w:cs="Times New Roman"/>
                <w:color w:val="auto"/>
                <w:szCs w:val="21"/>
                <w:highlight w:val="none"/>
                <w:lang w:val="en-US" w:eastAsia="zh-CN"/>
              </w:rPr>
              <w:t>拟建线路沿线位于乡村及城郊的，</w:t>
            </w:r>
            <w:r>
              <w:rPr>
                <w:rFonts w:hint="default" w:ascii="Times New Roman" w:hAnsi="Times New Roman" w:cs="Times New Roman"/>
                <w:color w:val="auto"/>
                <w:szCs w:val="21"/>
                <w:highlight w:val="none"/>
                <w:lang w:val="en-US" w:eastAsia="zh-CN"/>
              </w:rPr>
              <w:t>声环境质量</w:t>
            </w:r>
            <w:r>
              <w:rPr>
                <w:rFonts w:hint="default" w:ascii="Times New Roman" w:hAnsi="Times New Roman" w:eastAsia="宋体" w:cs="Times New Roman"/>
                <w:color w:val="auto"/>
                <w:szCs w:val="21"/>
                <w:highlight w:val="none"/>
                <w:lang w:val="en-US" w:eastAsia="zh-CN"/>
              </w:rPr>
              <w:t>执行《声环境质量标准》</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GB3096-2008</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中 2 类标准</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昼间 60dB</w:t>
            </w:r>
            <w:r>
              <w:rPr>
                <w:rFonts w:hint="eastAsia" w:ascii="Times New Roman" w:hAnsi="Times New Roman" w:cs="Times New Roman"/>
                <w:color w:val="auto"/>
                <w:szCs w:val="21"/>
                <w:highlight w:val="none"/>
                <w:lang w:val="en-US" w:eastAsia="zh-CN"/>
              </w:rPr>
              <w:t>（A）</w:t>
            </w:r>
            <w:r>
              <w:rPr>
                <w:rFonts w:hint="default" w:ascii="Times New Roman" w:hAnsi="Times New Roman" w:eastAsia="宋体" w:cs="Times New Roman"/>
                <w:color w:val="auto"/>
                <w:szCs w:val="21"/>
                <w:highlight w:val="none"/>
                <w:lang w:val="en-US" w:eastAsia="zh-CN"/>
              </w:rPr>
              <w:t>，夜间 50dB</w:t>
            </w:r>
            <w:r>
              <w:rPr>
                <w:rFonts w:hint="eastAsia" w:ascii="Times New Roman" w:hAnsi="Times New Roman" w:cs="Times New Roman"/>
                <w:color w:val="auto"/>
                <w:szCs w:val="21"/>
                <w:highlight w:val="none"/>
                <w:lang w:val="en-US" w:eastAsia="zh-CN"/>
              </w:rPr>
              <w:t>（A））</w:t>
            </w:r>
            <w:r>
              <w:rPr>
                <w:rFonts w:hint="default" w:ascii="Times New Roman" w:hAnsi="Times New Roman" w:cs="Times New Roman"/>
                <w:color w:val="auto"/>
                <w:szCs w:val="21"/>
                <w:highlight w:val="none"/>
                <w:lang w:val="en-US" w:eastAsia="zh-CN"/>
              </w:rPr>
              <w:t>；拟建线路跨越高速、县道</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跨越公路交通干线两侧（麦喀高速</w:t>
            </w:r>
            <w:r>
              <w:rPr>
                <w:rFonts w:hint="default" w:ascii="Times New Roman" w:hAnsi="Times New Roman" w:cs="Times New Roman"/>
                <w:color w:val="auto"/>
                <w:szCs w:val="21"/>
                <w:highlight w:val="none"/>
                <w:lang w:val="en-US" w:eastAsia="zh-CN"/>
              </w:rPr>
              <w:t>、</w:t>
            </w:r>
            <w:r>
              <w:rPr>
                <w:rFonts w:hint="eastAsia" w:ascii="Times New Roman" w:hAnsi="Times New Roman" w:cs="Times New Roman"/>
                <w:color w:val="auto"/>
                <w:szCs w:val="21"/>
                <w:highlight w:val="none"/>
                <w:lang w:val="en-US" w:eastAsia="zh-CN"/>
              </w:rPr>
              <w:t>岳普湖县迎宾大道</w:t>
            </w:r>
            <w:r>
              <w:rPr>
                <w:rFonts w:hint="default" w:ascii="Times New Roman" w:hAnsi="Times New Roman" w:eastAsia="宋体" w:cs="Times New Roman"/>
                <w:color w:val="auto"/>
                <w:szCs w:val="21"/>
                <w:highlight w:val="none"/>
                <w:lang w:val="en-US" w:eastAsia="zh-CN"/>
              </w:rPr>
              <w:t>）执行4a类标准</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昼间70dB（A），夜间55dB（A）</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w:t>
            </w:r>
          </w:p>
          <w:bookmarkEnd w:id="45"/>
          <w:bookmarkEnd w:id="46"/>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36" w:lineRule="auto"/>
              <w:ind w:left="0" w:right="0" w:firstLine="480" w:firstLineChars="200"/>
              <w:textAlignment w:val="auto"/>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3</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电磁环境：依据《电磁环境控制限值》</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GB8702-2014</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表1“公众曝露控制限值”规定，电磁环境敏感目标</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即住宅、学校、医院、办公楼、工厂等有公众居住、工作或学习的建筑物</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工频50赫兹的电场强度控制限值为4千伏/米、磁感应强度控制限值为100微特斯拉。</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36" w:lineRule="auto"/>
              <w:ind w:left="0" w:right="0" w:firstLine="480" w:firstLineChars="200"/>
              <w:textAlignment w:val="auto"/>
              <w:rPr>
                <w:rFonts w:hint="default" w:ascii="Times New Roman" w:hAnsi="Times New Roman" w:eastAsia="宋体" w:cs="Times New Roman"/>
                <w:b/>
                <w:bCs/>
                <w:color w:val="auto"/>
                <w:highlight w:val="none"/>
              </w:rPr>
            </w:pPr>
            <w:r>
              <w:rPr>
                <w:rFonts w:hint="default" w:ascii="Times New Roman" w:hAnsi="Times New Roman" w:eastAsia="宋体" w:cs="Times New Roman"/>
                <w:color w:val="auto"/>
                <w:highlight w:val="none"/>
              </w:rPr>
              <w:t>架空输电线路线下的耕地、园地、牧草地、畜禽饲养地、养殖水面、道路等场所，其频率50赫兹的电场强度控制限值为10千伏/米、磁感应强度控制限值为100微特斯拉，且应给出警示和防护指示标志。</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36" w:lineRule="auto"/>
              <w:ind w:left="0" w:right="0"/>
              <w:textAlignment w:val="auto"/>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2 污染物排放标准</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left="0" w:right="0" w:firstLine="464" w:firstLineChars="200"/>
              <w:textAlignment w:val="auto"/>
              <w:rPr>
                <w:rFonts w:hint="default" w:ascii="Times New Roman" w:hAnsi="Times New Roman" w:eastAsia="宋体" w:cs="Times New Roman"/>
                <w:color w:val="auto"/>
                <w:spacing w:val="-4"/>
                <w:highlight w:val="none"/>
              </w:rPr>
            </w:pPr>
            <w:r>
              <w:rPr>
                <w:rFonts w:hint="eastAsia" w:ascii="Times New Roman" w:hAnsi="Times New Roman" w:cs="Times New Roman"/>
                <w:color w:val="auto"/>
                <w:spacing w:val="-4"/>
                <w:highlight w:val="none"/>
                <w:lang w:eastAsia="zh-CN"/>
              </w:rPr>
              <w:t>（</w:t>
            </w:r>
            <w:r>
              <w:rPr>
                <w:rFonts w:hint="default" w:ascii="Times New Roman" w:hAnsi="Times New Roman" w:eastAsia="宋体" w:cs="Times New Roman"/>
                <w:color w:val="auto"/>
                <w:spacing w:val="-4"/>
                <w:highlight w:val="none"/>
              </w:rPr>
              <w:t>1</w:t>
            </w:r>
            <w:r>
              <w:rPr>
                <w:rFonts w:hint="eastAsia" w:ascii="Times New Roman" w:hAnsi="Times New Roman" w:cs="Times New Roman"/>
                <w:color w:val="auto"/>
                <w:spacing w:val="-4"/>
                <w:highlight w:val="none"/>
                <w:lang w:eastAsia="zh-CN"/>
              </w:rPr>
              <w:t>）</w:t>
            </w:r>
            <w:r>
              <w:rPr>
                <w:rFonts w:hint="default" w:ascii="Times New Roman" w:hAnsi="Times New Roman" w:eastAsia="宋体" w:cs="Times New Roman"/>
                <w:color w:val="auto"/>
                <w:spacing w:val="-4"/>
                <w:highlight w:val="none"/>
              </w:rPr>
              <w:t>施工期噪声执行《</w:t>
            </w:r>
            <w:r>
              <w:rPr>
                <w:rFonts w:hint="default" w:ascii="Times New Roman" w:hAnsi="Times New Roman" w:eastAsia="宋体" w:cs="Times New Roman"/>
                <w:color w:val="auto"/>
                <w:spacing w:val="-4"/>
                <w:highlight w:val="none"/>
                <w:lang w:eastAsia="zh-CN"/>
              </w:rPr>
              <w:t>建筑施工噪声排放标准</w:t>
            </w:r>
            <w:r>
              <w:rPr>
                <w:rFonts w:hint="default" w:ascii="Times New Roman" w:hAnsi="Times New Roman" w:eastAsia="宋体" w:cs="Times New Roman"/>
                <w:color w:val="auto"/>
                <w:spacing w:val="-4"/>
                <w:highlight w:val="none"/>
              </w:rPr>
              <w:t>》</w:t>
            </w:r>
            <w:r>
              <w:rPr>
                <w:rFonts w:hint="eastAsia" w:ascii="Times New Roman" w:hAnsi="Times New Roman" w:cs="Times New Roman"/>
                <w:color w:val="auto"/>
                <w:spacing w:val="-4"/>
                <w:highlight w:val="none"/>
                <w:lang w:eastAsia="zh-CN"/>
              </w:rPr>
              <w:t>（</w:t>
            </w:r>
            <w:r>
              <w:rPr>
                <w:rFonts w:hint="default" w:ascii="Times New Roman" w:hAnsi="Times New Roman" w:eastAsia="宋体" w:cs="Times New Roman"/>
                <w:color w:val="auto"/>
                <w:spacing w:val="-4"/>
                <w:highlight w:val="none"/>
              </w:rPr>
              <w:t xml:space="preserve">GB </w:t>
            </w:r>
            <w:r>
              <w:rPr>
                <w:rFonts w:hint="default" w:ascii="Times New Roman" w:hAnsi="Times New Roman" w:eastAsia="宋体" w:cs="Times New Roman"/>
                <w:color w:val="auto"/>
                <w:spacing w:val="-4"/>
                <w:highlight w:val="none"/>
                <w:lang w:eastAsia="zh-CN"/>
              </w:rPr>
              <w:t>12523-2025</w:t>
            </w:r>
            <w:r>
              <w:rPr>
                <w:rFonts w:hint="eastAsia" w:ascii="Times New Roman" w:hAnsi="Times New Roman" w:cs="Times New Roman"/>
                <w:color w:val="auto"/>
                <w:spacing w:val="-4"/>
                <w:highlight w:val="none"/>
                <w:lang w:eastAsia="zh-CN"/>
              </w:rPr>
              <w:t>）</w:t>
            </w:r>
            <w:r>
              <w:rPr>
                <w:rFonts w:hint="default" w:ascii="Times New Roman" w:hAnsi="Times New Roman" w:eastAsia="宋体" w:cs="Times New Roman"/>
                <w:color w:val="auto"/>
                <w:spacing w:val="-4"/>
                <w:highlight w:val="none"/>
              </w:rPr>
              <w:t>昼间70dB</w:t>
            </w:r>
            <w:r>
              <w:rPr>
                <w:rFonts w:hint="eastAsia" w:ascii="Times New Roman" w:hAnsi="Times New Roman" w:cs="Times New Roman"/>
                <w:color w:val="auto"/>
                <w:spacing w:val="-4"/>
                <w:highlight w:val="none"/>
                <w:lang w:eastAsia="zh-CN"/>
              </w:rPr>
              <w:t>（A）</w:t>
            </w:r>
            <w:r>
              <w:rPr>
                <w:rFonts w:hint="default" w:ascii="Times New Roman" w:hAnsi="Times New Roman" w:eastAsia="宋体" w:cs="Times New Roman"/>
                <w:color w:val="auto"/>
                <w:spacing w:val="-4"/>
                <w:highlight w:val="none"/>
              </w:rPr>
              <w:t>，夜间55dB</w:t>
            </w:r>
            <w:r>
              <w:rPr>
                <w:rFonts w:hint="eastAsia" w:ascii="Times New Roman" w:hAnsi="Times New Roman" w:cs="Times New Roman"/>
                <w:color w:val="auto"/>
                <w:spacing w:val="-4"/>
                <w:highlight w:val="none"/>
                <w:lang w:eastAsia="zh-CN"/>
              </w:rPr>
              <w:t>（A）</w:t>
            </w:r>
            <w:r>
              <w:rPr>
                <w:rFonts w:hint="default" w:ascii="Times New Roman" w:hAnsi="Times New Roman" w:eastAsia="宋体" w:cs="Times New Roman"/>
                <w:color w:val="auto"/>
                <w:spacing w:val="-4"/>
                <w:highlight w:val="none"/>
              </w:rPr>
              <w:t>；</w:t>
            </w:r>
          </w:p>
          <w:p>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360" w:lineRule="auto"/>
              <w:ind w:left="0" w:right="0" w:firstLine="464" w:firstLineChars="200"/>
              <w:textAlignment w:val="auto"/>
              <w:rPr>
                <w:rFonts w:hint="default" w:ascii="Times New Roman" w:hAnsi="Times New Roman" w:eastAsia="宋体" w:cs="Times New Roman"/>
                <w:color w:val="auto"/>
                <w:spacing w:val="-4"/>
                <w:highlight w:val="none"/>
              </w:rPr>
            </w:pPr>
            <w:r>
              <w:rPr>
                <w:rFonts w:hint="eastAsia" w:ascii="Times New Roman" w:hAnsi="Times New Roman" w:cs="Times New Roman"/>
                <w:color w:val="auto"/>
                <w:spacing w:val="-4"/>
                <w:highlight w:val="none"/>
                <w:lang w:eastAsia="zh-CN"/>
              </w:rPr>
              <w:t>（</w:t>
            </w:r>
            <w:r>
              <w:rPr>
                <w:rFonts w:hint="default" w:ascii="Times New Roman" w:hAnsi="Times New Roman" w:eastAsia="宋体" w:cs="Times New Roman"/>
                <w:color w:val="auto"/>
                <w:spacing w:val="-4"/>
                <w:highlight w:val="none"/>
              </w:rPr>
              <w:t>2</w:t>
            </w:r>
            <w:r>
              <w:rPr>
                <w:rFonts w:hint="eastAsia" w:ascii="Times New Roman" w:hAnsi="Times New Roman" w:cs="Times New Roman"/>
                <w:color w:val="auto"/>
                <w:spacing w:val="-4"/>
                <w:highlight w:val="none"/>
                <w:lang w:eastAsia="zh-CN"/>
              </w:rPr>
              <w:t>）</w:t>
            </w:r>
            <w:r>
              <w:rPr>
                <w:rFonts w:hint="default" w:ascii="Times New Roman" w:hAnsi="Times New Roman" w:eastAsia="宋体" w:cs="Times New Roman"/>
                <w:color w:val="auto"/>
                <w:spacing w:val="-4"/>
                <w:highlight w:val="none"/>
              </w:rPr>
              <w:t>施工期</w:t>
            </w:r>
            <w:r>
              <w:rPr>
                <w:rFonts w:hint="default" w:ascii="Times New Roman" w:hAnsi="Times New Roman" w:eastAsia="宋体" w:cs="Times New Roman"/>
                <w:color w:val="auto"/>
                <w:highlight w:val="none"/>
              </w:rPr>
              <w:t>扬尘执行《大气污染物综合排放标准》</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GB16297-1996</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，颗粒物无组织排放监控浓度限值为1毫克/立方米；</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Cs w:val="21"/>
                <w:highlight w:val="none"/>
                <w:lang w:val="en-US" w:eastAsia="zh-CN"/>
              </w:rPr>
            </w:pP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3</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运营期噪声排放：110kV</w:t>
            </w:r>
            <w:r>
              <w:rPr>
                <w:rFonts w:hint="default" w:ascii="Times New Roman" w:hAnsi="Times New Roman" w:cs="Times New Roman"/>
                <w:color w:val="auto"/>
                <w:szCs w:val="21"/>
                <w:highlight w:val="none"/>
                <w:lang w:val="en-US" w:eastAsia="zh-CN"/>
              </w:rPr>
              <w:t>变电站</w:t>
            </w:r>
            <w:r>
              <w:rPr>
                <w:rFonts w:hint="default" w:ascii="Times New Roman" w:hAnsi="Times New Roman" w:eastAsia="宋体" w:cs="Times New Roman"/>
                <w:color w:val="auto"/>
                <w:szCs w:val="21"/>
                <w:highlight w:val="none"/>
                <w:lang w:val="en-US" w:eastAsia="zh-CN"/>
              </w:rPr>
              <w:t>执行《工业企业厂界环境噪声排放标准》</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GB12348-2008</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 xml:space="preserve">中的 </w:t>
            </w:r>
            <w:r>
              <w:rPr>
                <w:rFonts w:hint="eastAsia" w:ascii="Times New Roman" w:hAnsi="Times New Roman" w:cs="Times New Roman"/>
                <w:color w:val="auto"/>
                <w:szCs w:val="21"/>
                <w:highlight w:val="none"/>
                <w:lang w:val="en-US" w:eastAsia="zh-CN"/>
              </w:rPr>
              <w:t>3</w:t>
            </w:r>
            <w:r>
              <w:rPr>
                <w:rFonts w:hint="default" w:ascii="Times New Roman" w:hAnsi="Times New Roman" w:eastAsia="宋体" w:cs="Times New Roman"/>
                <w:color w:val="auto"/>
                <w:szCs w:val="21"/>
                <w:highlight w:val="none"/>
                <w:lang w:val="en-US" w:eastAsia="zh-CN"/>
              </w:rPr>
              <w:t xml:space="preserve"> 类标准</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昼间 6</w:t>
            </w:r>
            <w:r>
              <w:rPr>
                <w:rFonts w:hint="eastAsia" w:ascii="Times New Roman" w:hAnsi="Times New Roman" w:cs="Times New Roman"/>
                <w:color w:val="auto"/>
                <w:szCs w:val="21"/>
                <w:highlight w:val="none"/>
                <w:lang w:val="en-US" w:eastAsia="zh-CN"/>
              </w:rPr>
              <w:t>5</w:t>
            </w:r>
            <w:r>
              <w:rPr>
                <w:rFonts w:hint="default" w:ascii="Times New Roman" w:hAnsi="Times New Roman" w:eastAsia="宋体" w:cs="Times New Roman"/>
                <w:color w:val="auto"/>
                <w:szCs w:val="21"/>
                <w:highlight w:val="none"/>
                <w:lang w:val="en-US" w:eastAsia="zh-CN"/>
              </w:rPr>
              <w:t>dB</w:t>
            </w:r>
            <w:r>
              <w:rPr>
                <w:rFonts w:hint="eastAsia" w:ascii="Times New Roman" w:hAnsi="Times New Roman" w:cs="Times New Roman"/>
                <w:color w:val="auto"/>
                <w:szCs w:val="21"/>
                <w:highlight w:val="none"/>
                <w:lang w:val="en-US" w:eastAsia="zh-CN"/>
              </w:rPr>
              <w:t>（A）</w:t>
            </w:r>
            <w:r>
              <w:rPr>
                <w:rFonts w:hint="default" w:ascii="Times New Roman" w:hAnsi="Times New Roman" w:eastAsia="宋体" w:cs="Times New Roman"/>
                <w:color w:val="auto"/>
                <w:szCs w:val="21"/>
                <w:highlight w:val="none"/>
                <w:lang w:val="en-US" w:eastAsia="zh-CN"/>
              </w:rPr>
              <w:t>、夜间 5</w:t>
            </w:r>
            <w:r>
              <w:rPr>
                <w:rFonts w:hint="eastAsia" w:ascii="Times New Roman" w:hAnsi="Times New Roman" w:cs="Times New Roman"/>
                <w:color w:val="auto"/>
                <w:szCs w:val="21"/>
                <w:highlight w:val="none"/>
                <w:lang w:val="en-US" w:eastAsia="zh-CN"/>
              </w:rPr>
              <w:t>5</w:t>
            </w:r>
            <w:r>
              <w:rPr>
                <w:rFonts w:hint="default" w:ascii="Times New Roman" w:hAnsi="Times New Roman" w:eastAsia="宋体" w:cs="Times New Roman"/>
                <w:color w:val="auto"/>
                <w:szCs w:val="21"/>
                <w:highlight w:val="none"/>
                <w:lang w:val="en-US" w:eastAsia="zh-CN"/>
              </w:rPr>
              <w:t>dB</w:t>
            </w:r>
            <w:r>
              <w:rPr>
                <w:rFonts w:hint="eastAsia" w:ascii="Times New Roman" w:hAnsi="Times New Roman" w:cs="Times New Roman"/>
                <w:color w:val="auto"/>
                <w:szCs w:val="21"/>
                <w:highlight w:val="none"/>
                <w:lang w:val="en-US" w:eastAsia="zh-CN"/>
              </w:rPr>
              <w:t>（A））</w:t>
            </w:r>
            <w:r>
              <w:rPr>
                <w:rFonts w:hint="default" w:ascii="Times New Roman" w:hAnsi="Times New Roman" w:eastAsia="宋体" w:cs="Times New Roman"/>
                <w:color w:val="auto"/>
                <w:szCs w:val="21"/>
                <w:highlight w:val="none"/>
                <w:lang w:val="en-US" w:eastAsia="zh-CN"/>
              </w:rPr>
              <w:t>；</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Cs w:val="21"/>
                <w:highlight w:val="none"/>
              </w:rPr>
            </w:pPr>
            <w:r>
              <w:rPr>
                <w:rFonts w:hint="eastAsia" w:ascii="Times New Roman" w:hAnsi="Times New Roman" w:cs="Times New Roman"/>
                <w:color w:val="auto"/>
                <w:szCs w:val="21"/>
                <w:highlight w:val="none"/>
                <w:lang w:val="en-US" w:eastAsia="zh-CN"/>
              </w:rPr>
              <w:t>（</w:t>
            </w:r>
            <w:r>
              <w:rPr>
                <w:rFonts w:hint="default" w:ascii="Times New Roman" w:hAnsi="Times New Roman" w:cs="Times New Roman"/>
                <w:color w:val="auto"/>
                <w:szCs w:val="21"/>
                <w:highlight w:val="none"/>
                <w:lang w:val="en-US" w:eastAsia="zh-CN"/>
              </w:rPr>
              <w:t>4</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 xml:space="preserve"> 一般固体废物执行《一般工业固体废物贮存和填埋污染控制标准》</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GB18599-2020</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360" w:lineRule="auto"/>
              <w:ind w:left="0" w:right="0" w:firstLine="480" w:firstLineChars="200"/>
              <w:textAlignment w:val="auto"/>
              <w:rPr>
                <w:rFonts w:hint="default" w:ascii="Times New Roman" w:hAnsi="Times New Roman" w:eastAsia="宋体" w:cs="Times New Roman"/>
                <w:color w:val="auto"/>
                <w:szCs w:val="21"/>
                <w:highlight w:val="none"/>
                <w:lang w:val="en-US"/>
              </w:rPr>
            </w:pPr>
            <w:r>
              <w:rPr>
                <w:rFonts w:hint="eastAsia" w:ascii="Times New Roman" w:hAnsi="Times New Roman" w:cs="Times New Roman"/>
                <w:color w:val="auto"/>
                <w:szCs w:val="21"/>
                <w:highlight w:val="none"/>
                <w:lang w:val="en-US" w:eastAsia="zh-CN"/>
              </w:rPr>
              <w:t>（</w:t>
            </w:r>
            <w:r>
              <w:rPr>
                <w:rFonts w:hint="default" w:ascii="Times New Roman" w:hAnsi="Times New Roman" w:cs="Times New Roman"/>
                <w:color w:val="auto"/>
                <w:szCs w:val="21"/>
                <w:highlight w:val="none"/>
                <w:lang w:val="en-US" w:eastAsia="zh-CN"/>
              </w:rPr>
              <w:t>5</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危险废物执行《危险废物贮存污染控制标准》</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GB 18597-2023</w:t>
            </w:r>
            <w:r>
              <w:rPr>
                <w:rFonts w:hint="eastAsia" w:ascii="Times New Roman" w:hAnsi="Times New Roman" w:cs="Times New Roman"/>
                <w:color w:val="auto"/>
                <w:szCs w:val="21"/>
                <w:highlight w:val="none"/>
                <w:lang w:val="en-US" w:eastAsia="zh-CN"/>
              </w:rPr>
              <w:t>）</w:t>
            </w:r>
            <w:r>
              <w:rPr>
                <w:rFonts w:hint="default" w:ascii="Times New Roman" w:hAnsi="Times New Roman" w:eastAsia="宋体" w:cs="Times New Roman"/>
                <w:color w:val="auto"/>
                <w:szCs w:val="21"/>
                <w:highlight w:val="none"/>
                <w:lang w:val="en-US" w:eastAsia="zh-CN"/>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904"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其他</w:t>
            </w:r>
          </w:p>
        </w:tc>
        <w:tc>
          <w:tcPr>
            <w:tcW w:w="8253" w:type="dxa"/>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无总量控制指标要求。</w:t>
            </w:r>
          </w:p>
        </w:tc>
      </w:tr>
    </w:tbl>
    <w:p>
      <w:pPr>
        <w:pStyle w:val="26"/>
        <w:spacing w:before="0" w:beforeAutospacing="0" w:after="0" w:afterAutospacing="0"/>
        <w:jc w:val="center"/>
        <w:outlineLvl w:val="9"/>
        <w:rPr>
          <w:rFonts w:hint="default" w:ascii="Times New Roman" w:hAnsi="Times New Roman" w:eastAsia="宋体" w:cs="Times New Roman"/>
          <w:snapToGrid w:val="0"/>
          <w:color w:val="auto"/>
          <w:sz w:val="30"/>
          <w:szCs w:val="30"/>
          <w:highlight w:val="none"/>
        </w:rPr>
      </w:pPr>
      <w:bookmarkStart w:id="47" w:name="_Toc67825865"/>
      <w:bookmarkStart w:id="48" w:name="_Toc70007223"/>
      <w:bookmarkStart w:id="49" w:name="_Toc122187732"/>
      <w:bookmarkStart w:id="50" w:name="_Toc97229032"/>
      <w:bookmarkStart w:id="51" w:name="_Toc70009648"/>
      <w:bookmarkStart w:id="52" w:name="_Toc70009836"/>
      <w:bookmarkStart w:id="53" w:name="_Toc67826159"/>
      <w:bookmarkStart w:id="54" w:name="_Toc118834717"/>
      <w:bookmarkStart w:id="55" w:name="_Toc118237978"/>
      <w:bookmarkStart w:id="56" w:name="_Toc72921441"/>
      <w:r>
        <w:rPr>
          <w:rFonts w:hint="default" w:ascii="Times New Roman" w:hAnsi="Times New Roman" w:eastAsia="宋体" w:cs="Times New Roman"/>
          <w:snapToGrid w:val="0"/>
          <w:color w:val="auto"/>
          <w:sz w:val="30"/>
          <w:szCs w:val="30"/>
          <w:highlight w:val="none"/>
        </w:rPr>
        <w:br w:type="page"/>
      </w:r>
    </w:p>
    <w:p>
      <w:pPr>
        <w:pStyle w:val="26"/>
        <w:spacing w:before="0" w:beforeAutospacing="0" w:after="0" w:afterAutospacing="0"/>
        <w:jc w:val="center"/>
        <w:outlineLvl w:val="0"/>
        <w:rPr>
          <w:rFonts w:hint="default" w:ascii="Times New Roman" w:hAnsi="Times New Roman" w:eastAsia="宋体" w:cs="Times New Roman"/>
          <w:snapToGrid w:val="0"/>
          <w:color w:val="auto"/>
          <w:sz w:val="30"/>
          <w:szCs w:val="30"/>
          <w:highlight w:val="none"/>
        </w:rPr>
      </w:pPr>
      <w:bookmarkStart w:id="57" w:name="_Toc210812361"/>
      <w:bookmarkStart w:id="58" w:name="_Toc201659447"/>
      <w:bookmarkStart w:id="59" w:name="_Toc201659317"/>
      <w:bookmarkStart w:id="60" w:name="_Toc11434"/>
      <w:bookmarkStart w:id="61" w:name="_Toc201659587"/>
      <w:bookmarkStart w:id="62" w:name="_Toc202798674"/>
      <w:bookmarkStart w:id="63" w:name="_Toc215697932"/>
      <w:bookmarkStart w:id="64" w:name="_Toc26148"/>
      <w:r>
        <w:rPr>
          <w:rFonts w:hint="default" w:ascii="Times New Roman" w:hAnsi="Times New Roman" w:eastAsia="宋体" w:cs="Times New Roman"/>
          <w:snapToGrid w:val="0"/>
          <w:color w:val="auto"/>
          <w:sz w:val="30"/>
          <w:szCs w:val="30"/>
          <w:highlight w:val="none"/>
        </w:rPr>
        <w:t>四、生态环境影响分析</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tbl>
      <w:tblPr>
        <w:tblStyle w:val="2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9"/>
        <w:gridCol w:w="836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31" w:hRule="atLeast"/>
          <w:jc w:val="center"/>
        </w:trPr>
        <w:tc>
          <w:tcPr>
            <w:tcW w:w="879" w:type="dxa"/>
            <w:noWrap/>
            <w:tcMar>
              <w:left w:w="28" w:type="dxa"/>
              <w:right w:w="28" w:type="dxa"/>
            </w:tcMar>
            <w:vAlign w:val="center"/>
          </w:tcPr>
          <w:p>
            <w:pPr>
              <w:pStyle w:val="26"/>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2"/>
                <w:sz w:val="21"/>
                <w:szCs w:val="21"/>
                <w:highlight w:val="none"/>
              </w:rPr>
            </w:pPr>
            <w:bookmarkStart w:id="65" w:name="_Hlk49796138"/>
            <w:r>
              <w:rPr>
                <w:rFonts w:hint="default" w:ascii="Times New Roman" w:hAnsi="Times New Roman" w:eastAsia="宋体" w:cs="Times New Roman"/>
                <w:bCs/>
                <w:color w:val="auto"/>
                <w:spacing w:val="10"/>
                <w:kern w:val="2"/>
                <w:szCs w:val="24"/>
                <w:highlight w:val="none"/>
              </w:rPr>
              <w:t>施工期生态环境影响分析</w:t>
            </w:r>
            <w:bookmarkEnd w:id="65"/>
          </w:p>
        </w:tc>
        <w:tc>
          <w:tcPr>
            <w:tcW w:w="8363" w:type="dxa"/>
            <w:noWrap/>
          </w:tcPr>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b/>
                <w:bCs/>
                <w:color w:val="auto"/>
                <w:highlight w:val="none"/>
              </w:rPr>
            </w:pPr>
            <w:r>
              <w:rPr>
                <w:rFonts w:hint="default" w:ascii="Times New Roman" w:hAnsi="Times New Roman" w:cs="Times New Roman"/>
                <w:color w:val="auto"/>
                <w:highlight w:val="none"/>
                <w:lang w:eastAsia="zh-CN"/>
              </w:rPr>
              <w:t>本项目</w:t>
            </w:r>
            <w:r>
              <w:rPr>
                <w:rFonts w:hint="default" w:ascii="Times New Roman" w:hAnsi="Times New Roman" w:eastAsia="宋体" w:cs="Times New Roman"/>
                <w:color w:val="auto"/>
                <w:highlight w:val="none"/>
              </w:rPr>
              <w:t>为新建项目，项目施工期内容主要为</w:t>
            </w:r>
            <w:r>
              <w:rPr>
                <w:rFonts w:hint="default" w:ascii="Times New Roman" w:hAnsi="Times New Roman" w:eastAsia="宋体" w:cs="Times New Roman"/>
                <w:color w:val="auto"/>
                <w:highlight w:val="none"/>
                <w:lang w:val="en-US" w:eastAsia="zh-CN"/>
              </w:rPr>
              <w:t>杆塔基础、</w:t>
            </w:r>
            <w:r>
              <w:rPr>
                <w:rFonts w:hint="default" w:ascii="Times New Roman" w:hAnsi="Times New Roman" w:eastAsia="宋体" w:cs="Times New Roman"/>
                <w:color w:val="auto"/>
                <w:highlight w:val="none"/>
              </w:rPr>
              <w:t>混凝土浇筑、</w:t>
            </w:r>
            <w:r>
              <w:rPr>
                <w:rFonts w:hint="default" w:ascii="Times New Roman" w:hAnsi="Times New Roman" w:eastAsia="宋体" w:cs="Times New Roman"/>
                <w:color w:val="auto"/>
                <w:highlight w:val="none"/>
                <w:lang w:val="en-US" w:eastAsia="zh-CN"/>
              </w:rPr>
              <w:t>施工道路</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val="en-US" w:eastAsia="zh-CN"/>
              </w:rPr>
              <w:t>110kV</w:t>
            </w:r>
            <w:r>
              <w:rPr>
                <w:rFonts w:hint="default" w:ascii="Times New Roman" w:hAnsi="Times New Roman" w:cs="Times New Roman"/>
                <w:color w:val="auto"/>
                <w:highlight w:val="none"/>
                <w:lang w:val="en-US" w:eastAsia="zh-CN"/>
              </w:rPr>
              <w:t>变电站</w:t>
            </w:r>
            <w:r>
              <w:rPr>
                <w:rFonts w:hint="default" w:ascii="Times New Roman" w:hAnsi="Times New Roman" w:eastAsia="宋体" w:cs="Times New Roman"/>
                <w:color w:val="auto"/>
                <w:highlight w:val="none"/>
                <w:lang w:val="en-US" w:eastAsia="zh-CN"/>
              </w:rPr>
              <w:t>、线路土建施工、设备安装</w:t>
            </w:r>
            <w:r>
              <w:rPr>
                <w:rFonts w:hint="default" w:ascii="Times New Roman" w:hAnsi="Times New Roman" w:eastAsia="宋体" w:cs="Times New Roman"/>
                <w:color w:val="auto"/>
                <w:highlight w:val="none"/>
              </w:rPr>
              <w:t>等。其施工期对环境的影响主要有废气、废水、噪声、固废、生态环境。</w:t>
            </w:r>
          </w:p>
          <w:p>
            <w:pPr>
              <w:keepNext w:val="0"/>
              <w:keepLines w:val="0"/>
              <w:widowControl/>
              <w:suppressLineNumbers w:val="0"/>
              <w:spacing w:before="0" w:beforeLines="0" w:beforeAutospacing="0" w:after="0" w:afterLines="0" w:afterAutospacing="0" w:line="360" w:lineRule="auto"/>
              <w:ind w:left="0" w:right="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1 环境空气影响分析</w:t>
            </w:r>
          </w:p>
          <w:p>
            <w:pPr>
              <w:keepNext w:val="0"/>
              <w:keepLines w:val="0"/>
              <w:widowControl/>
              <w:suppressLineNumbers w:val="0"/>
              <w:spacing w:before="0" w:beforeLines="0" w:beforeAutospacing="0" w:after="0" w:afterLines="0" w:afterAutospacing="0" w:line="360" w:lineRule="auto"/>
              <w:ind w:left="0" w:right="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1.1 施工扬尘</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110</w:t>
            </w:r>
            <w:r>
              <w:rPr>
                <w:rFonts w:hint="default" w:ascii="Times New Roman" w:hAnsi="Times New Roman" w:eastAsia="宋体" w:cs="Times New Roman"/>
                <w:color w:val="auto"/>
                <w:sz w:val="24"/>
                <w:szCs w:val="24"/>
                <w:highlight w:val="none"/>
              </w:rPr>
              <w:t>kV</w:t>
            </w:r>
            <w:r>
              <w:rPr>
                <w:rFonts w:hint="default" w:ascii="Times New Roman" w:hAnsi="Times New Roman" w:cs="Times New Roman"/>
                <w:color w:val="auto"/>
                <w:sz w:val="24"/>
                <w:szCs w:val="24"/>
                <w:highlight w:val="none"/>
                <w:lang w:eastAsia="zh-CN"/>
              </w:rPr>
              <w:t>变电站</w:t>
            </w:r>
            <w:r>
              <w:rPr>
                <w:rFonts w:hint="default" w:ascii="Times New Roman" w:hAnsi="Times New Roman" w:eastAsia="宋体" w:cs="Times New Roman"/>
                <w:color w:val="auto"/>
                <w:sz w:val="24"/>
                <w:szCs w:val="24"/>
                <w:highlight w:val="none"/>
              </w:rPr>
              <w:t>施工期间对环境空气的影响主要是施工场地的扬尘对环境的影响，扬尘主要来源于土方的挖填、散放的建筑材料以及施工区运输。施工期车辆运输洒落尘土的一次扬尘污染和车辆运行时产生的二次扬尘污染均会对环境产生不利影响，但此类污染影响范围较小，随施工期结束而消失，不会给周围环境造成较大影响。</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输电线路施工扬尘主要是在汽车运输材料以及基础开挖过程中产生。施工中的物料运输采用带篷布的汽车运输，可以减少运输途中产生的二次扬尘；架空线路塔基施工点的施工量小、分散、间距大，使得施工扬尘呈现时间短、扬尘量少及扬尘范围小的特点，只要在施工过程中贯彻文明施工的原则，可将施工扬尘对周围环境的影响降到最小。</w:t>
            </w:r>
          </w:p>
          <w:p>
            <w:pPr>
              <w:keepNext w:val="0"/>
              <w:keepLines w:val="0"/>
              <w:widowControl/>
              <w:suppressLineNumbers w:val="0"/>
              <w:spacing w:before="0" w:beforeLines="0" w:beforeAutospacing="0" w:after="0" w:afterLines="0" w:afterAutospacing="0" w:line="360" w:lineRule="auto"/>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1.2 设备燃油废气</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施工机械、运输车辆及现场小型发电机基本以燃油为主，燃烧尾气中含有CO、THC、NOx等大气污染物，影响施工区大气环境质量。鉴于项目排放的大气污染物相对较小，项目工程量小且施工期短，主要在施工区内，机械尾气排放与当地的大气容量相比很小，且具有流动性和间歇性的特点，废气产生后能迅速稀释扩散，对区域大气环境影响较小。</w:t>
            </w:r>
          </w:p>
          <w:p>
            <w:pPr>
              <w:pStyle w:val="12"/>
              <w:keepNext w:val="0"/>
              <w:keepLines w:val="0"/>
              <w:widowControl/>
              <w:suppressLineNumbers w:val="0"/>
              <w:spacing w:before="0" w:beforeLines="0" w:beforeAutospacing="0" w:after="0" w:afterAutospacing="0" w:line="360" w:lineRule="auto"/>
              <w:ind w:left="0" w:leftChars="0" w:right="0" w:firstLine="480"/>
              <w:rPr>
                <w:rFonts w:hint="default" w:ascii="Times New Roman" w:hAnsi="Times New Roman" w:eastAsia="宋体" w:cs="Times New Roman"/>
                <w:b/>
                <w:color w:val="auto"/>
                <w:sz w:val="24"/>
                <w:szCs w:val="28"/>
                <w:highlight w:val="none"/>
              </w:rPr>
            </w:pPr>
            <w:r>
              <w:rPr>
                <w:rFonts w:hint="default" w:ascii="Times New Roman" w:hAnsi="Times New Roman" w:eastAsia="宋体" w:cs="Times New Roman"/>
                <w:color w:val="auto"/>
                <w:sz w:val="24"/>
                <w:szCs w:val="24"/>
                <w:highlight w:val="none"/>
              </w:rPr>
              <w:t>综上，施工废气大部分以无组织形式扩散，在做好上述防护措施的前提下，施工废气对区域空气环境的影响较小，且施工期造成的污染是短期的、局部的，随着施工的结束，这些影响也随之消失，不会对周边环境空气质量产生较大影响。</w:t>
            </w:r>
          </w:p>
          <w:p>
            <w:pPr>
              <w:keepNext w:val="0"/>
              <w:keepLines w:val="0"/>
              <w:widowControl/>
              <w:suppressLineNumbers w:val="0"/>
              <w:spacing w:before="0" w:beforeLines="0" w:beforeAutospacing="0" w:after="0" w:afterLines="0" w:afterAutospacing="0" w:line="360" w:lineRule="auto"/>
              <w:ind w:left="0" w:right="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2 水环境影响分析</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snapToGrid w:val="0"/>
                <w:color w:val="auto"/>
                <w:kern w:val="24"/>
                <w:sz w:val="24"/>
                <w:szCs w:val="24"/>
                <w:highlight w:val="none"/>
              </w:rPr>
            </w:pPr>
            <w:r>
              <w:rPr>
                <w:rFonts w:hint="default" w:ascii="Times New Roman" w:hAnsi="Times New Roman" w:cs="Times New Roman"/>
                <w:color w:val="auto"/>
                <w:sz w:val="24"/>
                <w:szCs w:val="24"/>
                <w:highlight w:val="none"/>
                <w:lang w:eastAsia="zh-CN"/>
              </w:rPr>
              <w:t>本项目施工期间产生废污水主要包含施工生产废水、施工人员生活污水两类。项目施工常驻人员约 50 人，施工总工期 12 个月。依据《建筑给水排水设计标准》（GB 50015-2019）表 3.2.2 公共建筑生活用水定额，施工人员生活用水定额取 100L / 人・d，折算单人每月用水量 3m³；经核算项目施工期生活总用水量 1800m³，生活污水产生量按用水量 80% 计，施工期生活污水总产生量 1440m³。</w:t>
            </w:r>
            <w:r>
              <w:rPr>
                <w:rFonts w:hint="default" w:ascii="Times New Roman" w:hAnsi="Times New Roman" w:eastAsia="宋体" w:cs="Times New Roman"/>
                <w:color w:val="auto"/>
                <w:sz w:val="24"/>
                <w:szCs w:val="24"/>
                <w:highlight w:val="none"/>
              </w:rPr>
              <w:t>污水中主要污染物是SS、COD、BOD</w:t>
            </w:r>
            <w:r>
              <w:rPr>
                <w:rFonts w:hint="default" w:ascii="Times New Roman" w:hAnsi="Times New Roman" w:eastAsia="宋体" w:cs="Times New Roman"/>
                <w:color w:val="auto"/>
                <w:sz w:val="24"/>
                <w:szCs w:val="24"/>
                <w:highlight w:val="none"/>
                <w:vertAlign w:val="subscript"/>
              </w:rPr>
              <w:t>5</w:t>
            </w:r>
            <w:r>
              <w:rPr>
                <w:rFonts w:hint="default" w:ascii="Times New Roman" w:hAnsi="Times New Roman" w:eastAsia="宋体" w:cs="Times New Roman"/>
                <w:color w:val="auto"/>
                <w:sz w:val="24"/>
                <w:szCs w:val="24"/>
                <w:highlight w:val="none"/>
              </w:rPr>
              <w:t>和氨氮等。</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36" w:lineRule="auto"/>
              <w:ind w:left="0" w:right="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cs="Times New Roman"/>
                <w:color w:val="auto"/>
                <w:sz w:val="24"/>
                <w:szCs w:val="24"/>
                <w:highlight w:val="none"/>
                <w:lang w:val="en-US" w:eastAsia="zh-CN"/>
              </w:rPr>
              <w:t>变电站</w:t>
            </w:r>
            <w:r>
              <w:rPr>
                <w:rFonts w:hint="default" w:ascii="Times New Roman" w:hAnsi="Times New Roman" w:eastAsia="宋体" w:cs="Times New Roman"/>
                <w:color w:val="auto"/>
                <w:sz w:val="24"/>
                <w:szCs w:val="24"/>
                <w:highlight w:val="none"/>
              </w:rPr>
              <w:t>施工营地内设置移动式卫生厕所，生活污水集中收集后由吸污车清运至</w:t>
            </w:r>
            <w:r>
              <w:rPr>
                <w:rFonts w:hint="default" w:ascii="Times New Roman" w:hAnsi="Times New Roman" w:cs="Times New Roman"/>
                <w:color w:val="auto"/>
                <w:sz w:val="24"/>
                <w:szCs w:val="24"/>
                <w:highlight w:val="none"/>
                <w:lang w:val="en-US" w:eastAsia="zh-CN"/>
              </w:rPr>
              <w:t>岳普湖县</w:t>
            </w:r>
            <w:r>
              <w:rPr>
                <w:rFonts w:hint="default" w:ascii="Times New Roman" w:hAnsi="Times New Roman" w:eastAsia="宋体" w:cs="Times New Roman"/>
                <w:color w:val="auto"/>
                <w:sz w:val="24"/>
                <w:szCs w:val="24"/>
                <w:highlight w:val="none"/>
                <w:lang w:val="en-US" w:eastAsia="zh-CN"/>
              </w:rPr>
              <w:t>污水处理厂</w:t>
            </w:r>
            <w:r>
              <w:rPr>
                <w:rFonts w:hint="default" w:ascii="Times New Roman" w:hAnsi="Times New Roman" w:eastAsia="宋体" w:cs="Times New Roman"/>
                <w:color w:val="auto"/>
                <w:sz w:val="24"/>
                <w:szCs w:val="24"/>
                <w:highlight w:val="none"/>
              </w:rPr>
              <w:t>。工程施工生产废水主要由混凝土运输车、施工机械的冲洗、混凝土养护等产生，主要成分是含泥沙废水，但总量很小，且主要集中在施工前期基础施工时段，施工期废水设防渗沉淀池，施工废水经沉淀后可回用于施工区洒水降尘，对周边环境影响较小。</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36" w:lineRule="auto"/>
              <w:ind w:left="0" w:right="0" w:firstLine="480"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输电线路的施工具有局部占地面积小、跨距长、点分散等特点，每个施工点上的施工人员很少，在各施工点无生活污水的产生；由于输电线路</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电缆</w:t>
            </w:r>
            <w:r>
              <w:rPr>
                <w:rFonts w:hint="default" w:ascii="Times New Roman" w:hAnsi="Times New Roman" w:eastAsia="宋体" w:cs="Times New Roman"/>
                <w:color w:val="auto"/>
                <w:sz w:val="24"/>
                <w:szCs w:val="24"/>
                <w:highlight w:val="none"/>
              </w:rPr>
              <w:t>属线性工程，单塔开挖工程量小，作业点分散，施工时间较短，施工废水主要是塔基基础养护废水，单位产生量较少，排水为少量无组织排放，受干燥气候影响很快自然蒸发。</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36" w:lineRule="auto"/>
              <w:ind w:left="0" w:right="0" w:firstLine="480" w:firstLineChars="200"/>
              <w:textAlignment w:val="auto"/>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color w:val="auto"/>
                <w:sz w:val="24"/>
                <w:szCs w:val="24"/>
                <w:highlight w:val="none"/>
              </w:rPr>
              <w:t>综上所述，通过严格实施各项污染防治措施后，建设项目施工不会对</w:t>
            </w:r>
            <w:r>
              <w:rPr>
                <w:rFonts w:hint="default" w:ascii="Times New Roman" w:hAnsi="Times New Roman" w:eastAsia="宋体" w:cs="Times New Roman"/>
                <w:snapToGrid w:val="0"/>
                <w:color w:val="auto"/>
                <w:sz w:val="24"/>
                <w:szCs w:val="24"/>
                <w:highlight w:val="none"/>
              </w:rPr>
              <w:t>当地水环境造成影响。</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36" w:lineRule="auto"/>
              <w:ind w:left="0" w:right="0"/>
              <w:textAlignment w:val="auto"/>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3 噪声环境影响分析</w:t>
            </w:r>
          </w:p>
          <w:p>
            <w:pPr>
              <w:pStyle w:val="14"/>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36" w:lineRule="auto"/>
              <w:ind w:left="0" w:leftChars="0" w:right="0" w:firstLine="0" w:firstLineChars="0"/>
              <w:textAlignment w:val="auto"/>
              <w:rPr>
                <w:rFonts w:hint="default" w:ascii="Times New Roman" w:hAnsi="Times New Roman" w:eastAsia="宋体" w:cs="Times New Roman"/>
                <w:b/>
                <w:color w:val="auto"/>
                <w:sz w:val="24"/>
                <w:szCs w:val="24"/>
                <w:highlight w:val="none"/>
                <w:lang w:eastAsia="zh-CN"/>
              </w:rPr>
            </w:pPr>
            <w:r>
              <w:rPr>
                <w:rFonts w:hint="default" w:ascii="Times New Roman" w:hAnsi="Times New Roman" w:eastAsia="宋体" w:cs="Times New Roman"/>
                <w:b/>
                <w:color w:val="auto"/>
                <w:sz w:val="24"/>
                <w:szCs w:val="24"/>
                <w:highlight w:val="none"/>
              </w:rPr>
              <w:t xml:space="preserve">3.1 </w:t>
            </w:r>
            <w:r>
              <w:rPr>
                <w:rFonts w:hint="default" w:ascii="Times New Roman" w:hAnsi="Times New Roman" w:eastAsia="宋体" w:cs="Times New Roman"/>
                <w:b/>
                <w:color w:val="auto"/>
                <w:sz w:val="24"/>
                <w:szCs w:val="24"/>
                <w:highlight w:val="none"/>
                <w:lang w:val="en-US" w:eastAsia="zh-CN"/>
              </w:rPr>
              <w:t>110kV</w:t>
            </w:r>
            <w:r>
              <w:rPr>
                <w:rFonts w:hint="default" w:ascii="Times New Roman" w:hAnsi="Times New Roman" w:cs="Times New Roman"/>
                <w:b/>
                <w:color w:val="auto"/>
                <w:sz w:val="24"/>
                <w:szCs w:val="24"/>
                <w:highlight w:val="none"/>
                <w:lang w:eastAsia="zh-CN"/>
              </w:rPr>
              <w:t>变电站</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36" w:lineRule="auto"/>
              <w:ind w:left="0" w:right="0" w:firstLine="46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pacing w:val="-3"/>
                <w:sz w:val="24"/>
                <w:szCs w:val="24"/>
                <w:highlight w:val="none"/>
                <w:lang w:bidi="ar"/>
              </w:rPr>
              <w:t>施工噪声是施工过程中对环境的主要污染源。变电站施工期需动用大量的车辆及施工机具，其噪声强度较大，声源较多，在一定范围内会对周围声环境产生影响。根据《环境噪声与振动控制工程技术导则》（HJ 2034-2013）附录A.2中关于常见施工设备噪声源不同距离声压级的数据，各阶段主</w:t>
            </w:r>
            <w:r>
              <w:rPr>
                <w:rFonts w:hint="default" w:ascii="Times New Roman" w:hAnsi="Times New Roman" w:eastAsia="宋体" w:cs="Times New Roman"/>
                <w:color w:val="auto"/>
                <w:spacing w:val="-4"/>
                <w:sz w:val="24"/>
                <w:szCs w:val="24"/>
                <w:highlight w:val="none"/>
                <w:lang w:bidi="ar"/>
              </w:rPr>
              <w:t>要噪声污染源及其声压</w:t>
            </w:r>
            <w:r>
              <w:rPr>
                <w:rFonts w:hint="default" w:ascii="Times New Roman" w:hAnsi="Times New Roman" w:eastAsia="宋体" w:cs="Times New Roman"/>
                <w:color w:val="auto"/>
                <w:spacing w:val="-6"/>
                <w:sz w:val="24"/>
                <w:szCs w:val="24"/>
                <w:highlight w:val="none"/>
                <w:lang w:bidi="ar"/>
              </w:rPr>
              <w:t>级范围见下表4-1。</w:t>
            </w:r>
          </w:p>
          <w:p>
            <w:pPr>
              <w:keepNext w:val="0"/>
              <w:keepLines w:val="0"/>
              <w:widowControl/>
              <w:suppressLineNumbers w:val="0"/>
              <w:autoSpaceDE w:val="0"/>
              <w:autoSpaceDN w:val="0"/>
              <w:adjustRightInd w:val="0"/>
              <w:snapToGrid w:val="0"/>
              <w:spacing w:before="0" w:beforeAutospacing="0" w:after="0" w:afterAutospacing="0" w:line="360" w:lineRule="auto"/>
              <w:ind w:left="0" w:right="0" w:firstLine="482" w:firstLineChars="200"/>
              <w:jc w:val="center"/>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kern w:val="0"/>
                <w:sz w:val="24"/>
                <w:szCs w:val="24"/>
                <w:highlight w:val="none"/>
                <w:lang w:bidi="ar"/>
              </w:rPr>
              <w:t>表4-1    施工机械噪声源强一览表</w:t>
            </w:r>
          </w:p>
          <w:tbl>
            <w:tblPr>
              <w:tblStyle w:val="28"/>
              <w:tblW w:w="779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47"/>
              <w:gridCol w:w="1339"/>
              <w:gridCol w:w="956"/>
              <w:gridCol w:w="919"/>
              <w:gridCol w:w="949"/>
              <w:gridCol w:w="1280"/>
              <w:gridCol w:w="17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18" w:hRule="atLeast"/>
                <w:jc w:val="center"/>
              </w:trPr>
              <w:tc>
                <w:tcPr>
                  <w:tcW w:w="647" w:type="dxa"/>
                  <w:vMerge w:val="restart"/>
                  <w:tcBorders>
                    <w:top w:val="single" w:color="auto" w:sz="12" w:space="0"/>
                    <w:left w:val="single" w:color="auto" w:sz="12"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序号</w:t>
                  </w:r>
                </w:p>
              </w:tc>
              <w:tc>
                <w:tcPr>
                  <w:tcW w:w="1339" w:type="dxa"/>
                  <w:vMerge w:val="restart"/>
                  <w:tcBorders>
                    <w:top w:val="single" w:color="auto" w:sz="12"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声源名称</w:t>
                  </w:r>
                </w:p>
              </w:tc>
              <w:tc>
                <w:tcPr>
                  <w:tcW w:w="1875" w:type="dxa"/>
                  <w:gridSpan w:val="2"/>
                  <w:tcBorders>
                    <w:top w:val="single" w:color="auto" w:sz="12"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声源源强</w:t>
                  </w:r>
                </w:p>
              </w:tc>
              <w:tc>
                <w:tcPr>
                  <w:tcW w:w="949" w:type="dxa"/>
                  <w:vMerge w:val="restart"/>
                  <w:tcBorders>
                    <w:top w:val="single" w:color="auto" w:sz="12"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运行时段</w:t>
                  </w:r>
                </w:p>
              </w:tc>
              <w:tc>
                <w:tcPr>
                  <w:tcW w:w="1280" w:type="dxa"/>
                  <w:vMerge w:val="restart"/>
                  <w:tcBorders>
                    <w:top w:val="single" w:color="auto" w:sz="12"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声源控制措施</w:t>
                  </w:r>
                </w:p>
              </w:tc>
              <w:tc>
                <w:tcPr>
                  <w:tcW w:w="1708" w:type="dxa"/>
                  <w:vMerge w:val="restart"/>
                  <w:tcBorders>
                    <w:top w:val="single" w:color="auto" w:sz="12" w:space="0"/>
                    <w:left w:val="single" w:color="auto" w:sz="4" w:space="0"/>
                    <w:bottom w:val="single" w:color="auto" w:sz="4" w:space="0"/>
                    <w:right w:val="single" w:color="auto" w:sz="12"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数据来源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95" w:hRule="atLeast"/>
                <w:jc w:val="center"/>
              </w:trPr>
              <w:tc>
                <w:tcPr>
                  <w:tcW w:w="647" w:type="dxa"/>
                  <w:vMerge w:val="continue"/>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c>
                <w:tcPr>
                  <w:tcW w:w="1339"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c>
                <w:tcPr>
                  <w:tcW w:w="956"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声压级数据来源[dB（A）]</w:t>
                  </w:r>
                </w:p>
              </w:tc>
              <w:tc>
                <w:tcPr>
                  <w:tcW w:w="91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距声源距离（m）</w:t>
                  </w:r>
                </w:p>
              </w:tc>
              <w:tc>
                <w:tcPr>
                  <w:tcW w:w="949"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c>
                <w:tcPr>
                  <w:tcW w:w="12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c>
                <w:tcPr>
                  <w:tcW w:w="1708" w:type="dxa"/>
                  <w:vMerge w:val="continue"/>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3" w:hRule="atLeast"/>
                <w:jc w:val="center"/>
              </w:trPr>
              <w:tc>
                <w:tcPr>
                  <w:tcW w:w="647" w:type="dxa"/>
                  <w:tcBorders>
                    <w:top w:val="single" w:color="auto" w:sz="4" w:space="0"/>
                    <w:left w:val="single" w:color="auto" w:sz="12"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1</w:t>
                  </w:r>
                </w:p>
              </w:tc>
              <w:tc>
                <w:tcPr>
                  <w:tcW w:w="133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液压挖掘机</w:t>
                  </w:r>
                </w:p>
              </w:tc>
              <w:tc>
                <w:tcPr>
                  <w:tcW w:w="95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bidi="ar"/>
                    </w:rPr>
                    <w:t>82</w:t>
                  </w:r>
                </w:p>
              </w:tc>
              <w:tc>
                <w:tcPr>
                  <w:tcW w:w="91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5</w:t>
                  </w:r>
                </w:p>
              </w:tc>
              <w:tc>
                <w:tcPr>
                  <w:tcW w:w="94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昼间</w:t>
                  </w:r>
                </w:p>
              </w:tc>
              <w:tc>
                <w:tcPr>
                  <w:tcW w:w="128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加强设备保养，选用低噪声设备，避免高噪声设备同时施工。</w:t>
                  </w:r>
                </w:p>
              </w:tc>
              <w:tc>
                <w:tcPr>
                  <w:tcW w:w="1708" w:type="dxa"/>
                  <w:vMerge w:val="restart"/>
                  <w:tcBorders>
                    <w:top w:val="single" w:color="auto" w:sz="4" w:space="0"/>
                    <w:left w:val="single" w:color="auto" w:sz="4" w:space="0"/>
                    <w:bottom w:val="single" w:color="auto" w:sz="4" w:space="0"/>
                    <w:right w:val="single" w:color="auto" w:sz="12"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《环境噪声与振动控制工程技术导则》（HJ2034-2013）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3" w:hRule="atLeast"/>
                <w:jc w:val="center"/>
              </w:trPr>
              <w:tc>
                <w:tcPr>
                  <w:tcW w:w="647" w:type="dxa"/>
                  <w:tcBorders>
                    <w:top w:val="single" w:color="auto" w:sz="4" w:space="0"/>
                    <w:left w:val="single" w:color="auto" w:sz="12"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2</w:t>
                  </w:r>
                </w:p>
              </w:tc>
              <w:tc>
                <w:tcPr>
                  <w:tcW w:w="133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 xml:space="preserve">混凝土振捣器 </w:t>
                  </w:r>
                </w:p>
              </w:tc>
              <w:tc>
                <w:tcPr>
                  <w:tcW w:w="95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bidi="ar"/>
                    </w:rPr>
                    <w:t>80</w:t>
                  </w:r>
                </w:p>
              </w:tc>
              <w:tc>
                <w:tcPr>
                  <w:tcW w:w="91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5</w:t>
                  </w:r>
                </w:p>
              </w:tc>
              <w:tc>
                <w:tcPr>
                  <w:tcW w:w="94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昼间</w:t>
                  </w:r>
                </w:p>
              </w:tc>
              <w:tc>
                <w:tcPr>
                  <w:tcW w:w="12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c>
                <w:tcPr>
                  <w:tcW w:w="1708" w:type="dxa"/>
                  <w:vMerge w:val="continue"/>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3" w:hRule="atLeast"/>
                <w:jc w:val="center"/>
              </w:trPr>
              <w:tc>
                <w:tcPr>
                  <w:tcW w:w="647" w:type="dxa"/>
                  <w:tcBorders>
                    <w:top w:val="single" w:color="auto" w:sz="4" w:space="0"/>
                    <w:left w:val="single" w:color="auto" w:sz="12"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3</w:t>
                  </w:r>
                </w:p>
              </w:tc>
              <w:tc>
                <w:tcPr>
                  <w:tcW w:w="133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商砼搅拌车</w:t>
                  </w:r>
                </w:p>
              </w:tc>
              <w:tc>
                <w:tcPr>
                  <w:tcW w:w="95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bidi="ar"/>
                    </w:rPr>
                    <w:t>85</w:t>
                  </w:r>
                </w:p>
              </w:tc>
              <w:tc>
                <w:tcPr>
                  <w:tcW w:w="91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5</w:t>
                  </w:r>
                </w:p>
              </w:tc>
              <w:tc>
                <w:tcPr>
                  <w:tcW w:w="94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昼间</w:t>
                  </w:r>
                </w:p>
              </w:tc>
              <w:tc>
                <w:tcPr>
                  <w:tcW w:w="12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c>
                <w:tcPr>
                  <w:tcW w:w="1708" w:type="dxa"/>
                  <w:vMerge w:val="continue"/>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3" w:hRule="atLeast"/>
                <w:jc w:val="center"/>
              </w:trPr>
              <w:tc>
                <w:tcPr>
                  <w:tcW w:w="647" w:type="dxa"/>
                  <w:tcBorders>
                    <w:top w:val="single" w:color="auto" w:sz="4" w:space="0"/>
                    <w:left w:val="single" w:color="auto" w:sz="12"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4</w:t>
                  </w:r>
                </w:p>
              </w:tc>
              <w:tc>
                <w:tcPr>
                  <w:tcW w:w="133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重型运输车</w:t>
                  </w:r>
                </w:p>
              </w:tc>
              <w:tc>
                <w:tcPr>
                  <w:tcW w:w="95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bidi="ar"/>
                    </w:rPr>
                    <w:t>82</w:t>
                  </w:r>
                </w:p>
              </w:tc>
              <w:tc>
                <w:tcPr>
                  <w:tcW w:w="91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5</w:t>
                  </w:r>
                </w:p>
              </w:tc>
              <w:tc>
                <w:tcPr>
                  <w:tcW w:w="94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昼间</w:t>
                  </w:r>
                </w:p>
              </w:tc>
              <w:tc>
                <w:tcPr>
                  <w:tcW w:w="12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c>
                <w:tcPr>
                  <w:tcW w:w="1708" w:type="dxa"/>
                  <w:vMerge w:val="continue"/>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3" w:hRule="atLeast"/>
                <w:jc w:val="center"/>
              </w:trPr>
              <w:tc>
                <w:tcPr>
                  <w:tcW w:w="647" w:type="dxa"/>
                  <w:tcBorders>
                    <w:top w:val="single" w:color="auto" w:sz="4" w:space="0"/>
                    <w:left w:val="single" w:color="auto" w:sz="12"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5</w:t>
                  </w:r>
                </w:p>
              </w:tc>
              <w:tc>
                <w:tcPr>
                  <w:tcW w:w="133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电锯</w:t>
                  </w:r>
                </w:p>
              </w:tc>
              <w:tc>
                <w:tcPr>
                  <w:tcW w:w="95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bidi="ar"/>
                    </w:rPr>
                    <w:t>93</w:t>
                  </w:r>
                </w:p>
              </w:tc>
              <w:tc>
                <w:tcPr>
                  <w:tcW w:w="91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5</w:t>
                  </w:r>
                </w:p>
              </w:tc>
              <w:tc>
                <w:tcPr>
                  <w:tcW w:w="94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昼间</w:t>
                  </w:r>
                </w:p>
              </w:tc>
              <w:tc>
                <w:tcPr>
                  <w:tcW w:w="12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c>
                <w:tcPr>
                  <w:tcW w:w="1708" w:type="dxa"/>
                  <w:vMerge w:val="continue"/>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3" w:hRule="atLeast"/>
                <w:jc w:val="center"/>
              </w:trPr>
              <w:tc>
                <w:tcPr>
                  <w:tcW w:w="647" w:type="dxa"/>
                  <w:tcBorders>
                    <w:top w:val="single" w:color="auto" w:sz="4" w:space="0"/>
                    <w:left w:val="single" w:color="auto" w:sz="12"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6</w:t>
                  </w:r>
                </w:p>
              </w:tc>
              <w:tc>
                <w:tcPr>
                  <w:tcW w:w="133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混凝土输送泵</w:t>
                  </w:r>
                </w:p>
              </w:tc>
              <w:tc>
                <w:tcPr>
                  <w:tcW w:w="95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bidi="ar"/>
                    </w:rPr>
                    <w:t>88</w:t>
                  </w:r>
                </w:p>
              </w:tc>
              <w:tc>
                <w:tcPr>
                  <w:tcW w:w="91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5</w:t>
                  </w:r>
                </w:p>
              </w:tc>
              <w:tc>
                <w:tcPr>
                  <w:tcW w:w="949" w:type="dxa"/>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昼间</w:t>
                  </w:r>
                </w:p>
              </w:tc>
              <w:tc>
                <w:tcPr>
                  <w:tcW w:w="128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c>
                <w:tcPr>
                  <w:tcW w:w="1708" w:type="dxa"/>
                  <w:vMerge w:val="continue"/>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25" w:hRule="atLeast"/>
                <w:jc w:val="center"/>
              </w:trPr>
              <w:tc>
                <w:tcPr>
                  <w:tcW w:w="647" w:type="dxa"/>
                  <w:tcBorders>
                    <w:top w:val="single" w:color="auto" w:sz="4" w:space="0"/>
                    <w:left w:val="single" w:color="auto" w:sz="12" w:space="0"/>
                    <w:bottom w:val="single" w:color="auto" w:sz="12"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7</w:t>
                  </w:r>
                </w:p>
              </w:tc>
              <w:tc>
                <w:tcPr>
                  <w:tcW w:w="1339" w:type="dxa"/>
                  <w:tcBorders>
                    <w:top w:val="single" w:color="auto" w:sz="4" w:space="0"/>
                    <w:left w:val="single" w:color="auto" w:sz="4" w:space="0"/>
                    <w:bottom w:val="single" w:color="auto" w:sz="12"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空压机</w:t>
                  </w:r>
                </w:p>
              </w:tc>
              <w:tc>
                <w:tcPr>
                  <w:tcW w:w="956" w:type="dxa"/>
                  <w:tcBorders>
                    <w:top w:val="single" w:color="auto" w:sz="4" w:space="0"/>
                    <w:left w:val="single" w:color="auto" w:sz="4" w:space="0"/>
                    <w:bottom w:val="single" w:color="auto" w:sz="12"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bidi="ar"/>
                    </w:rPr>
                    <w:t>88</w:t>
                  </w:r>
                </w:p>
              </w:tc>
              <w:tc>
                <w:tcPr>
                  <w:tcW w:w="919" w:type="dxa"/>
                  <w:tcBorders>
                    <w:top w:val="single" w:color="auto" w:sz="4" w:space="0"/>
                    <w:left w:val="single" w:color="auto" w:sz="4" w:space="0"/>
                    <w:bottom w:val="single" w:color="auto" w:sz="12"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5</w:t>
                  </w:r>
                </w:p>
              </w:tc>
              <w:tc>
                <w:tcPr>
                  <w:tcW w:w="949" w:type="dxa"/>
                  <w:tcBorders>
                    <w:top w:val="single" w:color="auto" w:sz="4" w:space="0"/>
                    <w:left w:val="single" w:color="auto" w:sz="4" w:space="0"/>
                    <w:bottom w:val="single" w:color="auto" w:sz="12" w:space="0"/>
                    <w:right w:val="single" w:color="auto" w:sz="4" w:space="0"/>
                    <w:tl2br w:val="nil"/>
                    <w:tr2bl w:val="nil"/>
                  </w:tcBorders>
                  <w:noWrap w:val="0"/>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bidi="ar"/>
                    </w:rPr>
                    <w:t>昼间</w:t>
                  </w:r>
                </w:p>
              </w:tc>
              <w:tc>
                <w:tcPr>
                  <w:tcW w:w="1280" w:type="dxa"/>
                  <w:vMerge w:val="continue"/>
                  <w:tcBorders>
                    <w:top w:val="single" w:color="auto" w:sz="4" w:space="0"/>
                    <w:left w:val="single" w:color="auto" w:sz="4" w:space="0"/>
                    <w:bottom w:val="single" w:color="auto" w:sz="12"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c>
                <w:tcPr>
                  <w:tcW w:w="1708" w:type="dxa"/>
                  <w:vMerge w:val="continue"/>
                  <w:tcBorders>
                    <w:top w:val="single" w:color="auto" w:sz="4" w:space="0"/>
                    <w:left w:val="single" w:color="auto" w:sz="4" w:space="0"/>
                    <w:bottom w:val="single" w:color="auto" w:sz="12" w:space="0"/>
                    <w:right w:val="single" w:color="auto"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1"/>
                      <w:szCs w:val="21"/>
                      <w:highlight w:val="none"/>
                    </w:rPr>
                  </w:pPr>
                </w:p>
              </w:tc>
            </w:tr>
          </w:tbl>
          <w:p>
            <w:pPr>
              <w:keepNext w:val="0"/>
              <w:keepLines w:val="0"/>
              <w:widowControl/>
              <w:suppressLineNumbers w:val="0"/>
              <w:spacing w:before="0" w:beforeAutospacing="0" w:after="0" w:afterAutospacing="0" w:line="360" w:lineRule="auto"/>
              <w:ind w:left="0" w:right="0" w:firstLine="476"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pacing w:val="-1"/>
                <w:sz w:val="24"/>
                <w:szCs w:val="24"/>
                <w:highlight w:val="none"/>
                <w:lang w:bidi="ar"/>
              </w:rPr>
              <w:t>运用《环境影响评价技术导则 声环境》（HJ2.4-2021）中点源的几何发散</w:t>
            </w:r>
            <w:r>
              <w:rPr>
                <w:rFonts w:hint="default" w:ascii="Times New Roman" w:hAnsi="Times New Roman" w:eastAsia="宋体" w:cs="Times New Roman"/>
                <w:color w:val="auto"/>
                <w:spacing w:val="-2"/>
                <w:sz w:val="24"/>
                <w:szCs w:val="24"/>
                <w:highlight w:val="none"/>
                <w:lang w:bidi="ar"/>
              </w:rPr>
              <w:t>衰减公式，预测施工期施工设备噪声对周围环境的影响。</w:t>
            </w:r>
          </w:p>
          <w:p>
            <w:pPr>
              <w:keepNext w:val="0"/>
              <w:keepLines w:val="0"/>
              <w:widowControl/>
              <w:suppressLineNumbers w:val="0"/>
              <w:spacing w:before="0" w:beforeAutospacing="0" w:after="0" w:afterAutospacing="0" w:line="360" w:lineRule="auto"/>
              <w:ind w:left="0" w:right="0" w:firstLine="48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施工期声环境影响预测计算公式如下：</w:t>
            </w:r>
          </w:p>
          <w:p>
            <w:pPr>
              <w:keepNext w:val="0"/>
              <w:keepLines w:val="0"/>
              <w:widowControl/>
              <w:suppressLineNumbers w:val="0"/>
              <w:spacing w:before="0" w:beforeAutospacing="0" w:after="0" w:afterAutospacing="0" w:line="360" w:lineRule="auto"/>
              <w:ind w:left="0" w:right="0" w:firstLine="48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1"/>
                <w:szCs w:val="21"/>
                <w:highlight w:val="none"/>
                <w:lang w:bidi="ar"/>
              </w:rPr>
              <w:drawing>
                <wp:inline distT="0" distB="0" distL="114300" distR="114300">
                  <wp:extent cx="1498600" cy="227965"/>
                  <wp:effectExtent l="0" t="0" r="0" b="635"/>
                  <wp:docPr id="12" name="图片 22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22" descr="IMG_256"/>
                          <pic:cNvPicPr>
                            <a:picLocks noChangeAspect="1"/>
                          </pic:cNvPicPr>
                        </pic:nvPicPr>
                        <pic:blipFill>
                          <a:blip r:embed="rId10"/>
                          <a:stretch>
                            <a:fillRect/>
                          </a:stretch>
                        </pic:blipFill>
                        <pic:spPr>
                          <a:xfrm>
                            <a:off x="0" y="0"/>
                            <a:ext cx="1498600" cy="227965"/>
                          </a:xfrm>
                          <a:prstGeom prst="rect">
                            <a:avLst/>
                          </a:prstGeom>
                          <a:noFill/>
                          <a:ln>
                            <a:noFill/>
                          </a:ln>
                        </pic:spPr>
                      </pic:pic>
                    </a:graphicData>
                  </a:graphic>
                </wp:inline>
              </w:drawing>
            </w:r>
            <w:r>
              <w:rPr>
                <w:rFonts w:hint="default" w:ascii="Times New Roman" w:hAnsi="Times New Roman" w:eastAsia="宋体" w:cs="Times New Roman"/>
                <w:color w:val="auto"/>
                <w:sz w:val="24"/>
                <w:szCs w:val="24"/>
                <w:highlight w:val="none"/>
                <w:lang w:bidi="ar"/>
              </w:rPr>
              <w:t xml:space="preserve"> </w:t>
            </w:r>
          </w:p>
          <w:p>
            <w:pPr>
              <w:keepNext w:val="0"/>
              <w:keepLines w:val="0"/>
              <w:widowControl/>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i/>
                <w:color w:val="auto"/>
                <w:sz w:val="24"/>
                <w:szCs w:val="24"/>
                <w:highlight w:val="none"/>
                <w:lang w:bidi="ar"/>
              </w:rPr>
              <w:t>L</w:t>
            </w:r>
            <w:r>
              <w:rPr>
                <w:rFonts w:hint="default" w:ascii="Times New Roman" w:hAnsi="Times New Roman" w:eastAsia="宋体" w:cs="Times New Roman"/>
                <w:i/>
                <w:color w:val="auto"/>
                <w:sz w:val="24"/>
                <w:szCs w:val="24"/>
                <w:highlight w:val="none"/>
                <w:vertAlign w:val="subscript"/>
                <w:lang w:bidi="ar"/>
              </w:rPr>
              <w:t>p</w:t>
            </w:r>
            <w:r>
              <w:rPr>
                <w:rFonts w:hint="default" w:ascii="Times New Roman" w:hAnsi="Times New Roman" w:eastAsia="宋体" w:cs="Times New Roman"/>
                <w:color w:val="auto"/>
                <w:sz w:val="24"/>
                <w:szCs w:val="24"/>
                <w:highlight w:val="none"/>
                <w:lang w:bidi="ar"/>
              </w:rPr>
              <w:t xml:space="preserve">（r） ——预测点处声压级，dB； </w:t>
            </w:r>
          </w:p>
          <w:p>
            <w:pPr>
              <w:keepNext w:val="0"/>
              <w:keepLines w:val="0"/>
              <w:widowControl/>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i/>
                <w:color w:val="auto"/>
                <w:sz w:val="24"/>
                <w:szCs w:val="24"/>
                <w:highlight w:val="none"/>
                <w:lang w:bidi="ar"/>
              </w:rPr>
              <w:t>L</w:t>
            </w:r>
            <w:r>
              <w:rPr>
                <w:rFonts w:hint="default" w:ascii="Times New Roman" w:hAnsi="Times New Roman" w:eastAsia="宋体" w:cs="Times New Roman"/>
                <w:i/>
                <w:color w:val="auto"/>
                <w:sz w:val="24"/>
                <w:szCs w:val="24"/>
                <w:highlight w:val="none"/>
                <w:vertAlign w:val="subscript"/>
                <w:lang w:bidi="ar"/>
              </w:rPr>
              <w:t>p</w:t>
            </w:r>
            <w:r>
              <w:rPr>
                <w:rFonts w:hint="default" w:ascii="Times New Roman" w:hAnsi="Times New Roman" w:eastAsia="宋体" w:cs="Times New Roman"/>
                <w:color w:val="auto"/>
                <w:sz w:val="24"/>
                <w:szCs w:val="24"/>
                <w:highlight w:val="none"/>
                <w:lang w:bidi="ar"/>
              </w:rPr>
              <w:t>（r</w:t>
            </w:r>
            <w:r>
              <w:rPr>
                <w:rFonts w:hint="default" w:ascii="Times New Roman" w:hAnsi="Times New Roman" w:eastAsia="宋体" w:cs="Times New Roman"/>
                <w:color w:val="auto"/>
                <w:sz w:val="24"/>
                <w:szCs w:val="24"/>
                <w:highlight w:val="none"/>
                <w:vertAlign w:val="subscript"/>
                <w:lang w:bidi="ar"/>
              </w:rPr>
              <w:t>0</w:t>
            </w:r>
            <w:r>
              <w:rPr>
                <w:rFonts w:hint="default" w:ascii="Times New Roman" w:hAnsi="Times New Roman" w:eastAsia="宋体" w:cs="Times New Roman"/>
                <w:color w:val="auto"/>
                <w:sz w:val="24"/>
                <w:szCs w:val="24"/>
                <w:highlight w:val="none"/>
                <w:lang w:bidi="ar"/>
              </w:rPr>
              <w:t>） ——参考位置r</w:t>
            </w:r>
            <w:r>
              <w:rPr>
                <w:rFonts w:hint="default" w:ascii="Times New Roman" w:hAnsi="Times New Roman" w:eastAsia="宋体" w:cs="Times New Roman"/>
                <w:color w:val="auto"/>
                <w:sz w:val="24"/>
                <w:szCs w:val="24"/>
                <w:highlight w:val="none"/>
                <w:vertAlign w:val="subscript"/>
                <w:lang w:bidi="ar"/>
              </w:rPr>
              <w:t>0</w:t>
            </w:r>
            <w:r>
              <w:rPr>
                <w:rFonts w:hint="default" w:ascii="Times New Roman" w:hAnsi="Times New Roman" w:eastAsia="宋体" w:cs="Times New Roman"/>
                <w:color w:val="auto"/>
                <w:sz w:val="24"/>
                <w:szCs w:val="24"/>
                <w:highlight w:val="none"/>
                <w:lang w:bidi="ar"/>
              </w:rPr>
              <w:t xml:space="preserve">处的声压级，dB； </w:t>
            </w:r>
          </w:p>
          <w:p>
            <w:pPr>
              <w:keepNext w:val="0"/>
              <w:keepLines w:val="0"/>
              <w:widowControl/>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 xml:space="preserve">r ——预测点距声源的距离； </w:t>
            </w:r>
          </w:p>
          <w:p>
            <w:pPr>
              <w:keepNext w:val="0"/>
              <w:keepLines w:val="0"/>
              <w:widowControl/>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r</w:t>
            </w:r>
            <w:r>
              <w:rPr>
                <w:rFonts w:hint="default" w:ascii="Times New Roman" w:hAnsi="Times New Roman" w:eastAsia="宋体" w:cs="Times New Roman"/>
                <w:color w:val="auto"/>
                <w:sz w:val="24"/>
                <w:szCs w:val="24"/>
                <w:highlight w:val="none"/>
                <w:vertAlign w:val="subscript"/>
                <w:lang w:bidi="ar"/>
              </w:rPr>
              <w:t>0</w:t>
            </w:r>
            <w:r>
              <w:rPr>
                <w:rFonts w:hint="default" w:ascii="Times New Roman" w:hAnsi="Times New Roman" w:eastAsia="宋体" w:cs="Times New Roman"/>
                <w:color w:val="auto"/>
                <w:sz w:val="24"/>
                <w:szCs w:val="24"/>
                <w:highlight w:val="none"/>
                <w:lang w:bidi="ar"/>
              </w:rPr>
              <w:t>——参考位置距声源的距离。</w:t>
            </w:r>
          </w:p>
          <w:p>
            <w:pPr>
              <w:keepNext w:val="0"/>
              <w:keepLines w:val="0"/>
              <w:widowControl/>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由此公式，各类建筑施工机械在不同距离处的噪声预测施工噪声在厂界外随距离衰减的情况，见表4-2。</w:t>
            </w:r>
          </w:p>
          <w:p>
            <w:pPr>
              <w:keepNext w:val="0"/>
              <w:keepLines w:val="0"/>
              <w:widowControl/>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auto"/>
                <w:sz w:val="24"/>
                <w:szCs w:val="24"/>
                <w:highlight w:val="none"/>
                <w:lang w:bidi="ar"/>
              </w:rPr>
            </w:pPr>
            <w:r>
              <w:rPr>
                <w:rFonts w:hint="default" w:ascii="Times New Roman" w:hAnsi="Times New Roman" w:eastAsia="宋体" w:cs="Times New Roman"/>
                <w:color w:val="auto"/>
                <w:sz w:val="24"/>
                <w:szCs w:val="24"/>
                <w:highlight w:val="none"/>
                <w:lang w:bidi="ar"/>
              </w:rPr>
              <w:t>施工对环境噪声的影响随着工程进度（即不同的施工设备投入）有所不同。在施工初期，运输车辆的行驶、施工设备的运转都是分散的，噪声影响具有流动性和不稳定性；随着空压机等固定声源增多，功率大，运行时间长，对周围环境将有明显影响，其影响程度主要取决于施工机械与敏感点的距离，以及施工机械与敏感点间的屏障物等因素。</w:t>
            </w:r>
          </w:p>
          <w:p>
            <w:pPr>
              <w:keepNext w:val="0"/>
              <w:keepLines w:val="0"/>
              <w:widowControl/>
              <w:suppressLineNumbers w:val="0"/>
              <w:spacing w:before="0" w:beforeAutospacing="0" w:after="0" w:afterAutospacing="0" w:line="360" w:lineRule="auto"/>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bCs/>
                <w:color w:val="auto"/>
                <w:sz w:val="24"/>
                <w:szCs w:val="24"/>
                <w:highlight w:val="none"/>
                <w:lang w:bidi="ar"/>
              </w:rPr>
              <w:t>表4-2 各类建筑施工机械在不同距离处的噪声预测值表</w:t>
            </w:r>
          </w:p>
          <w:tbl>
            <w:tblPr>
              <w:tblStyle w:val="28"/>
              <w:tblW w:w="802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00"/>
              <w:gridCol w:w="623"/>
              <w:gridCol w:w="581"/>
              <w:gridCol w:w="458"/>
              <w:gridCol w:w="458"/>
              <w:gridCol w:w="458"/>
              <w:gridCol w:w="458"/>
              <w:gridCol w:w="458"/>
              <w:gridCol w:w="468"/>
              <w:gridCol w:w="468"/>
              <w:gridCol w:w="468"/>
              <w:gridCol w:w="468"/>
              <w:gridCol w:w="63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4" w:hRule="atLeast"/>
              </w:trPr>
              <w:tc>
                <w:tcPr>
                  <w:tcW w:w="816" w:type="dxa"/>
                  <w:vMerge w:val="restart"/>
                  <w:tcBorders>
                    <w:top w:val="single" w:color="auto" w:sz="12" w:space="0"/>
                    <w:left w:val="single" w:color="auto" w:sz="12" w:space="0"/>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bookmarkStart w:id="66" w:name="_Ref81211397"/>
                  <w:r>
                    <w:rPr>
                      <w:rFonts w:hint="default" w:ascii="Times New Roman" w:hAnsi="Times New Roman" w:eastAsia="宋体" w:cs="Times New Roman"/>
                      <w:color w:val="auto"/>
                      <w:sz w:val="18"/>
                      <w:szCs w:val="18"/>
                      <w:highlight w:val="none"/>
                      <w:lang w:eastAsia="zh-CN" w:bidi="ar"/>
                    </w:rPr>
                    <w:t>序号</w:t>
                  </w:r>
                  <w:bookmarkEnd w:id="66"/>
                </w:p>
              </w:tc>
              <w:tc>
                <w:tcPr>
                  <w:tcW w:w="1200" w:type="dxa"/>
                  <w:vMerge w:val="restart"/>
                  <w:tcBorders>
                    <w:top w:val="single" w:color="auto" w:sz="12"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声源</w:t>
                  </w:r>
                </w:p>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名称</w:t>
                  </w:r>
                </w:p>
              </w:tc>
              <w:tc>
                <w:tcPr>
                  <w:tcW w:w="1204" w:type="dxa"/>
                  <w:gridSpan w:val="2"/>
                  <w:tcBorders>
                    <w:top w:val="single" w:color="auto" w:sz="12"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声源源强</w:t>
                  </w:r>
                </w:p>
              </w:tc>
              <w:tc>
                <w:tcPr>
                  <w:tcW w:w="4800" w:type="dxa"/>
                  <w:gridSpan w:val="10"/>
                  <w:tcBorders>
                    <w:top w:val="single" w:color="auto" w:sz="12" w:space="0"/>
                    <w:left w:val="nil"/>
                    <w:bottom w:val="single" w:color="auto" w:sz="4" w:space="0"/>
                    <w:right w:val="single" w:color="auto" w:sz="12"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噪声预测值dB（A）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816" w:type="dxa"/>
                  <w:vMerge w:val="continue"/>
                  <w:tcBorders>
                    <w:top w:val="single" w:color="auto" w:sz="12" w:space="0"/>
                    <w:left w:val="single" w:color="auto" w:sz="12" w:space="0"/>
                    <w:bottom w:val="single" w:color="auto" w:sz="4" w:space="0"/>
                    <w:right w:val="single" w:color="auto" w:sz="4" w:space="0"/>
                    <w:tl2br w:val="nil"/>
                    <w:tr2bl w:val="nil"/>
                  </w:tcBorders>
                  <w:noWrap/>
                  <w:tcMar>
                    <w:left w:w="28" w:type="dxa"/>
                    <w:right w:w="28" w:type="dxa"/>
                  </w:tcMar>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0"/>
                      <w:szCs w:val="20"/>
                      <w:highlight w:val="none"/>
                    </w:rPr>
                  </w:pPr>
                </w:p>
              </w:tc>
              <w:tc>
                <w:tcPr>
                  <w:tcW w:w="1200" w:type="dxa"/>
                  <w:vMerge w:val="continue"/>
                  <w:tcBorders>
                    <w:top w:val="single" w:color="auto" w:sz="12" w:space="0"/>
                    <w:left w:val="nil"/>
                    <w:bottom w:val="single" w:color="auto" w:sz="4" w:space="0"/>
                    <w:right w:val="single" w:color="auto" w:sz="4" w:space="0"/>
                    <w:tl2br w:val="nil"/>
                    <w:tr2bl w:val="nil"/>
                  </w:tcBorders>
                  <w:noWrap/>
                  <w:tcMar>
                    <w:left w:w="28" w:type="dxa"/>
                    <w:right w:w="28" w:type="dxa"/>
                  </w:tcMar>
                  <w:vAlign w:val="center"/>
                </w:tcPr>
                <w:p>
                  <w:pPr>
                    <w:keepNext w:val="0"/>
                    <w:keepLines w:val="0"/>
                    <w:widowControl/>
                    <w:suppressLineNumbers w:val="0"/>
                    <w:spacing w:before="0" w:beforeLines="0" w:beforeAutospacing="0" w:after="0" w:afterLines="0" w:afterAutospacing="0"/>
                    <w:ind w:left="0" w:right="0"/>
                    <w:rPr>
                      <w:rFonts w:hint="default" w:ascii="Times New Roman" w:hAnsi="Times New Roman" w:eastAsia="宋体" w:cs="Times New Roman"/>
                      <w:color w:val="auto"/>
                      <w:sz w:val="20"/>
                      <w:szCs w:val="20"/>
                      <w:highlight w:val="none"/>
                    </w:rPr>
                  </w:pPr>
                </w:p>
              </w:tc>
              <w:tc>
                <w:tcPr>
                  <w:tcW w:w="623"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声压级[dB（A）]</w:t>
                  </w:r>
                </w:p>
              </w:tc>
              <w:tc>
                <w:tcPr>
                  <w:tcW w:w="581"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距声源距离（m）</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6m</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10m</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20m</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40m</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70m</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100m</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150m</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200m</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500m</w:t>
                  </w:r>
                </w:p>
              </w:tc>
              <w:tc>
                <w:tcPr>
                  <w:tcW w:w="638" w:type="dxa"/>
                  <w:tcBorders>
                    <w:top w:val="single" w:color="auto" w:sz="4" w:space="0"/>
                    <w:left w:val="nil"/>
                    <w:bottom w:val="single" w:color="auto" w:sz="4" w:space="0"/>
                    <w:right w:val="single" w:color="auto" w:sz="12"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520m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816" w:type="dxa"/>
                  <w:tcBorders>
                    <w:top w:val="single" w:color="auto" w:sz="4" w:space="0"/>
                    <w:left w:val="single" w:color="auto" w:sz="12" w:space="0"/>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1</w:t>
                  </w:r>
                </w:p>
              </w:tc>
              <w:tc>
                <w:tcPr>
                  <w:tcW w:w="1200"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液压挖掘机</w:t>
                  </w:r>
                </w:p>
              </w:tc>
              <w:tc>
                <w:tcPr>
                  <w:tcW w:w="623"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82</w:t>
                  </w:r>
                </w:p>
              </w:tc>
              <w:tc>
                <w:tcPr>
                  <w:tcW w:w="581"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80</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76</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70</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64</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59</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56</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52</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50</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42</w:t>
                  </w:r>
                </w:p>
              </w:tc>
              <w:tc>
                <w:tcPr>
                  <w:tcW w:w="638" w:type="dxa"/>
                  <w:tcBorders>
                    <w:top w:val="single" w:color="auto" w:sz="4" w:space="0"/>
                    <w:left w:val="nil"/>
                    <w:bottom w:val="single" w:color="auto" w:sz="4" w:space="0"/>
                    <w:right w:val="single" w:color="auto" w:sz="12"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816" w:type="dxa"/>
                  <w:tcBorders>
                    <w:top w:val="single" w:color="auto" w:sz="4" w:space="0"/>
                    <w:left w:val="single" w:color="auto" w:sz="12" w:space="0"/>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2</w:t>
                  </w:r>
                </w:p>
              </w:tc>
              <w:tc>
                <w:tcPr>
                  <w:tcW w:w="1200"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混凝土振捣器</w:t>
                  </w:r>
                </w:p>
              </w:tc>
              <w:tc>
                <w:tcPr>
                  <w:tcW w:w="623"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80</w:t>
                  </w:r>
                </w:p>
              </w:tc>
              <w:tc>
                <w:tcPr>
                  <w:tcW w:w="581"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78</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74</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68</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62</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57</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54</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50</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48</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40</w:t>
                  </w:r>
                </w:p>
              </w:tc>
              <w:tc>
                <w:tcPr>
                  <w:tcW w:w="638" w:type="dxa"/>
                  <w:tcBorders>
                    <w:top w:val="single" w:color="auto" w:sz="4" w:space="0"/>
                    <w:left w:val="nil"/>
                    <w:bottom w:val="single" w:color="auto" w:sz="4" w:space="0"/>
                    <w:right w:val="single" w:color="auto" w:sz="12"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816" w:type="dxa"/>
                  <w:tcBorders>
                    <w:top w:val="single" w:color="auto" w:sz="4" w:space="0"/>
                    <w:left w:val="single" w:color="auto" w:sz="12" w:space="0"/>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3</w:t>
                  </w:r>
                </w:p>
              </w:tc>
              <w:tc>
                <w:tcPr>
                  <w:tcW w:w="1200"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商砼搅拌车</w:t>
                  </w:r>
                </w:p>
              </w:tc>
              <w:tc>
                <w:tcPr>
                  <w:tcW w:w="623"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85</w:t>
                  </w:r>
                </w:p>
              </w:tc>
              <w:tc>
                <w:tcPr>
                  <w:tcW w:w="581"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83</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79</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73</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67</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62</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59</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55</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53</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45</w:t>
                  </w:r>
                </w:p>
              </w:tc>
              <w:tc>
                <w:tcPr>
                  <w:tcW w:w="638" w:type="dxa"/>
                  <w:tcBorders>
                    <w:top w:val="single" w:color="auto" w:sz="4" w:space="0"/>
                    <w:left w:val="nil"/>
                    <w:bottom w:val="single" w:color="auto" w:sz="4" w:space="0"/>
                    <w:right w:val="single" w:color="auto" w:sz="12"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816" w:type="dxa"/>
                  <w:tcBorders>
                    <w:top w:val="single" w:color="auto" w:sz="4" w:space="0"/>
                    <w:left w:val="single" w:color="auto" w:sz="12" w:space="0"/>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w:t>
                  </w:r>
                </w:p>
              </w:tc>
              <w:tc>
                <w:tcPr>
                  <w:tcW w:w="1200"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重型运输车</w:t>
                  </w:r>
                </w:p>
              </w:tc>
              <w:tc>
                <w:tcPr>
                  <w:tcW w:w="623"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82</w:t>
                  </w:r>
                </w:p>
              </w:tc>
              <w:tc>
                <w:tcPr>
                  <w:tcW w:w="581"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80</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76</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70</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64</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59</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56</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52</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50</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42</w:t>
                  </w:r>
                </w:p>
              </w:tc>
              <w:tc>
                <w:tcPr>
                  <w:tcW w:w="638" w:type="dxa"/>
                  <w:tcBorders>
                    <w:top w:val="single" w:color="auto" w:sz="4" w:space="0"/>
                    <w:left w:val="nil"/>
                    <w:bottom w:val="single" w:color="auto" w:sz="4" w:space="0"/>
                    <w:right w:val="single" w:color="auto" w:sz="12"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816" w:type="dxa"/>
                  <w:tcBorders>
                    <w:top w:val="single" w:color="auto" w:sz="4" w:space="0"/>
                    <w:left w:val="single" w:color="auto" w:sz="12" w:space="0"/>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w:t>
                  </w:r>
                </w:p>
              </w:tc>
              <w:tc>
                <w:tcPr>
                  <w:tcW w:w="1200"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电锯</w:t>
                  </w:r>
                </w:p>
              </w:tc>
              <w:tc>
                <w:tcPr>
                  <w:tcW w:w="623"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93</w:t>
                  </w:r>
                </w:p>
              </w:tc>
              <w:tc>
                <w:tcPr>
                  <w:tcW w:w="581"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91</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87</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81</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75</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70</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67</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63</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61</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53</w:t>
                  </w:r>
                </w:p>
              </w:tc>
              <w:tc>
                <w:tcPr>
                  <w:tcW w:w="638" w:type="dxa"/>
                  <w:tcBorders>
                    <w:top w:val="single" w:color="auto" w:sz="4" w:space="0"/>
                    <w:left w:val="nil"/>
                    <w:bottom w:val="single" w:color="auto" w:sz="4" w:space="0"/>
                    <w:right w:val="single" w:color="auto" w:sz="12"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816" w:type="dxa"/>
                  <w:tcBorders>
                    <w:top w:val="single" w:color="auto" w:sz="4" w:space="0"/>
                    <w:left w:val="single" w:color="auto" w:sz="12" w:space="0"/>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w:t>
                  </w:r>
                </w:p>
              </w:tc>
              <w:tc>
                <w:tcPr>
                  <w:tcW w:w="1200"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混凝土输送泵</w:t>
                  </w:r>
                </w:p>
              </w:tc>
              <w:tc>
                <w:tcPr>
                  <w:tcW w:w="623"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88</w:t>
                  </w:r>
                </w:p>
              </w:tc>
              <w:tc>
                <w:tcPr>
                  <w:tcW w:w="581"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86</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82</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76</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70</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65</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62</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58</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56</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48</w:t>
                  </w:r>
                </w:p>
              </w:tc>
              <w:tc>
                <w:tcPr>
                  <w:tcW w:w="638" w:type="dxa"/>
                  <w:tcBorders>
                    <w:top w:val="single" w:color="auto" w:sz="4" w:space="0"/>
                    <w:left w:val="nil"/>
                    <w:bottom w:val="single" w:color="auto" w:sz="4" w:space="0"/>
                    <w:right w:val="single" w:color="auto" w:sz="12"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4" w:hRule="atLeast"/>
              </w:trPr>
              <w:tc>
                <w:tcPr>
                  <w:tcW w:w="816" w:type="dxa"/>
                  <w:tcBorders>
                    <w:top w:val="single" w:color="auto" w:sz="4" w:space="0"/>
                    <w:left w:val="single" w:color="auto" w:sz="12" w:space="0"/>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w:t>
                  </w:r>
                </w:p>
              </w:tc>
              <w:tc>
                <w:tcPr>
                  <w:tcW w:w="1200"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空压机</w:t>
                  </w:r>
                </w:p>
              </w:tc>
              <w:tc>
                <w:tcPr>
                  <w:tcW w:w="623"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88</w:t>
                  </w:r>
                </w:p>
              </w:tc>
              <w:tc>
                <w:tcPr>
                  <w:tcW w:w="581"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86</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82</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76</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70</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65</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62</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58</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56</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48</w:t>
                  </w:r>
                </w:p>
              </w:tc>
              <w:tc>
                <w:tcPr>
                  <w:tcW w:w="638" w:type="dxa"/>
                  <w:tcBorders>
                    <w:top w:val="single" w:color="auto" w:sz="4" w:space="0"/>
                    <w:left w:val="nil"/>
                    <w:bottom w:val="single" w:color="auto" w:sz="4" w:space="0"/>
                    <w:right w:val="single" w:color="auto" w:sz="12"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48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016" w:type="dxa"/>
                  <w:gridSpan w:val="2"/>
                  <w:tcBorders>
                    <w:top w:val="single" w:color="auto" w:sz="4" w:space="0"/>
                    <w:left w:val="single" w:color="auto" w:sz="12" w:space="0"/>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7台叠加</w:t>
                  </w:r>
                </w:p>
              </w:tc>
              <w:tc>
                <w:tcPr>
                  <w:tcW w:w="623"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w:t>
                  </w:r>
                </w:p>
              </w:tc>
              <w:tc>
                <w:tcPr>
                  <w:tcW w:w="581"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94</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90</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84</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78</w:t>
                  </w:r>
                </w:p>
              </w:tc>
              <w:tc>
                <w:tcPr>
                  <w:tcW w:w="45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73</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
                      <w:color w:val="auto"/>
                      <w:sz w:val="18"/>
                      <w:szCs w:val="18"/>
                      <w:highlight w:val="none"/>
                      <w:lang w:eastAsia="zh-CN" w:bidi="ar"/>
                    </w:rPr>
                    <w:t>70</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66</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64</w:t>
                  </w:r>
                </w:p>
              </w:tc>
              <w:tc>
                <w:tcPr>
                  <w:tcW w:w="468" w:type="dxa"/>
                  <w:tcBorders>
                    <w:top w:val="single" w:color="auto" w:sz="4" w:space="0"/>
                    <w:left w:val="nil"/>
                    <w:bottom w:val="single" w:color="auto" w:sz="4"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color w:val="auto"/>
                      <w:sz w:val="18"/>
                      <w:szCs w:val="18"/>
                      <w:highlight w:val="none"/>
                      <w:lang w:eastAsia="zh-CN" w:bidi="ar"/>
                    </w:rPr>
                    <w:t>56</w:t>
                  </w:r>
                </w:p>
              </w:tc>
              <w:tc>
                <w:tcPr>
                  <w:tcW w:w="638" w:type="dxa"/>
                  <w:tcBorders>
                    <w:top w:val="single" w:color="auto" w:sz="4" w:space="0"/>
                    <w:left w:val="nil"/>
                    <w:bottom w:val="single" w:color="auto" w:sz="4" w:space="0"/>
                    <w:right w:val="single" w:color="auto" w:sz="12"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rPr>
                  </w:pPr>
                  <w:r>
                    <w:rPr>
                      <w:rFonts w:hint="default" w:ascii="Times New Roman" w:hAnsi="Times New Roman" w:eastAsia="宋体" w:cs="Times New Roman"/>
                      <w:b/>
                      <w:color w:val="auto"/>
                      <w:sz w:val="18"/>
                      <w:szCs w:val="18"/>
                      <w:highlight w:val="none"/>
                      <w:lang w:eastAsia="zh-CN" w:bidi="ar"/>
                    </w:rPr>
                    <w:t>55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2016" w:type="dxa"/>
                  <w:gridSpan w:val="2"/>
                  <w:tcBorders>
                    <w:top w:val="single" w:color="auto" w:sz="4" w:space="0"/>
                    <w:left w:val="single" w:color="auto" w:sz="12" w:space="0"/>
                    <w:bottom w:val="single" w:color="auto" w:sz="12"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color w:val="auto"/>
                      <w:sz w:val="18"/>
                      <w:szCs w:val="18"/>
                      <w:highlight w:val="none"/>
                      <w:lang w:val="en-US" w:eastAsia="zh-CN" w:bidi="ar"/>
                    </w:rPr>
                  </w:pPr>
                  <w:r>
                    <w:rPr>
                      <w:rFonts w:hint="default" w:ascii="Times New Roman" w:hAnsi="Times New Roman" w:cs="Times New Roman"/>
                      <w:color w:val="auto"/>
                      <w:sz w:val="18"/>
                      <w:szCs w:val="18"/>
                      <w:highlight w:val="none"/>
                      <w:lang w:val="en-US" w:eastAsia="zh-CN" w:bidi="ar"/>
                    </w:rPr>
                    <w:t>施工围挡+设备保养</w:t>
                  </w:r>
                </w:p>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cs="Times New Roman"/>
                      <w:color w:val="auto"/>
                      <w:sz w:val="18"/>
                      <w:szCs w:val="18"/>
                      <w:highlight w:val="none"/>
                      <w:lang w:val="en-US" w:eastAsia="zh-CN" w:bidi="ar"/>
                    </w:rPr>
                  </w:pPr>
                  <w:r>
                    <w:rPr>
                      <w:rFonts w:hint="default" w:ascii="Times New Roman" w:hAnsi="Times New Roman" w:cs="Times New Roman"/>
                      <w:color w:val="auto"/>
                      <w:sz w:val="18"/>
                      <w:szCs w:val="18"/>
                      <w:highlight w:val="none"/>
                      <w:lang w:val="en-US" w:eastAsia="zh-CN" w:bidi="ar"/>
                    </w:rPr>
                    <w:t xml:space="preserve">综合降噪15dB </w:t>
                  </w:r>
                  <w:r>
                    <w:rPr>
                      <w:rFonts w:hint="eastAsia" w:ascii="Times New Roman" w:hAnsi="Times New Roman" w:cs="Times New Roman"/>
                      <w:color w:val="auto"/>
                      <w:sz w:val="18"/>
                      <w:szCs w:val="18"/>
                      <w:highlight w:val="none"/>
                      <w:lang w:val="en-US" w:eastAsia="zh-CN" w:bidi="ar"/>
                    </w:rPr>
                    <w:t>（A）</w:t>
                  </w:r>
                  <w:r>
                    <w:rPr>
                      <w:rFonts w:hint="default" w:ascii="Times New Roman" w:hAnsi="Times New Roman" w:cs="Times New Roman"/>
                      <w:color w:val="auto"/>
                      <w:sz w:val="18"/>
                      <w:szCs w:val="18"/>
                      <w:highlight w:val="none"/>
                      <w:lang w:val="en-US" w:eastAsia="zh-CN" w:bidi="ar"/>
                    </w:rPr>
                    <w:t>。</w:t>
                  </w:r>
                </w:p>
              </w:tc>
              <w:tc>
                <w:tcPr>
                  <w:tcW w:w="623" w:type="dxa"/>
                  <w:tcBorders>
                    <w:top w:val="single" w:color="auto" w:sz="4" w:space="0"/>
                    <w:left w:val="nil"/>
                    <w:bottom w:val="single" w:color="auto" w:sz="12"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lang w:val="en-US" w:eastAsia="zh-CN" w:bidi="ar"/>
                    </w:rPr>
                  </w:pPr>
                  <w:r>
                    <w:rPr>
                      <w:rFonts w:hint="default" w:ascii="Times New Roman" w:hAnsi="Times New Roman" w:cs="Times New Roman"/>
                      <w:color w:val="auto"/>
                      <w:sz w:val="18"/>
                      <w:szCs w:val="18"/>
                      <w:highlight w:val="none"/>
                      <w:lang w:val="en-US" w:eastAsia="zh-CN" w:bidi="ar"/>
                    </w:rPr>
                    <w:t>/</w:t>
                  </w:r>
                </w:p>
              </w:tc>
              <w:tc>
                <w:tcPr>
                  <w:tcW w:w="581" w:type="dxa"/>
                  <w:tcBorders>
                    <w:top w:val="single" w:color="auto" w:sz="4" w:space="0"/>
                    <w:left w:val="nil"/>
                    <w:bottom w:val="single" w:color="auto" w:sz="12"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lang w:val="en-US" w:eastAsia="zh-CN" w:bidi="ar"/>
                    </w:rPr>
                  </w:pPr>
                  <w:r>
                    <w:rPr>
                      <w:rFonts w:hint="default" w:ascii="Times New Roman" w:hAnsi="Times New Roman" w:cs="Times New Roman"/>
                      <w:color w:val="auto"/>
                      <w:sz w:val="18"/>
                      <w:szCs w:val="18"/>
                      <w:highlight w:val="none"/>
                      <w:lang w:val="en-US" w:eastAsia="zh-CN" w:bidi="ar"/>
                    </w:rPr>
                    <w:t>/</w:t>
                  </w:r>
                </w:p>
              </w:tc>
              <w:tc>
                <w:tcPr>
                  <w:tcW w:w="458" w:type="dxa"/>
                  <w:tcBorders>
                    <w:top w:val="single" w:color="auto" w:sz="4" w:space="0"/>
                    <w:left w:val="nil"/>
                    <w:bottom w:val="single" w:color="auto" w:sz="12"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lang w:val="en-US" w:eastAsia="zh-CN" w:bidi="ar"/>
                    </w:rPr>
                  </w:pPr>
                  <w:r>
                    <w:rPr>
                      <w:rFonts w:hint="default" w:ascii="Times New Roman" w:hAnsi="Times New Roman" w:eastAsia="宋体" w:cs="Times New Roman"/>
                      <w:color w:val="auto"/>
                      <w:sz w:val="18"/>
                      <w:szCs w:val="18"/>
                      <w:highlight w:val="none"/>
                      <w:lang w:val="en-US" w:eastAsia="zh-CN" w:bidi="ar"/>
                    </w:rPr>
                    <w:t>79</w:t>
                  </w:r>
                </w:p>
              </w:tc>
              <w:tc>
                <w:tcPr>
                  <w:tcW w:w="458" w:type="dxa"/>
                  <w:tcBorders>
                    <w:top w:val="single" w:color="auto" w:sz="4" w:space="0"/>
                    <w:left w:val="nil"/>
                    <w:bottom w:val="single" w:color="auto" w:sz="12"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lang w:val="en-US" w:eastAsia="zh-CN" w:bidi="ar"/>
                    </w:rPr>
                  </w:pPr>
                  <w:r>
                    <w:rPr>
                      <w:rFonts w:hint="default" w:ascii="Times New Roman" w:hAnsi="Times New Roman" w:eastAsia="宋体" w:cs="Times New Roman"/>
                      <w:color w:val="auto"/>
                      <w:sz w:val="18"/>
                      <w:szCs w:val="18"/>
                      <w:highlight w:val="none"/>
                      <w:lang w:val="en-US" w:eastAsia="zh-CN" w:bidi="ar"/>
                    </w:rPr>
                    <w:t>75</w:t>
                  </w:r>
                </w:p>
              </w:tc>
              <w:tc>
                <w:tcPr>
                  <w:tcW w:w="458" w:type="dxa"/>
                  <w:tcBorders>
                    <w:top w:val="single" w:color="auto" w:sz="4" w:space="0"/>
                    <w:left w:val="nil"/>
                    <w:bottom w:val="single" w:color="auto" w:sz="12"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lang w:val="en-US" w:eastAsia="zh-CN" w:bidi="ar"/>
                    </w:rPr>
                  </w:pPr>
                  <w:r>
                    <w:rPr>
                      <w:rFonts w:hint="default" w:ascii="Times New Roman" w:hAnsi="Times New Roman" w:eastAsia="宋体" w:cs="Times New Roman"/>
                      <w:b/>
                      <w:bCs/>
                      <w:color w:val="auto"/>
                      <w:sz w:val="18"/>
                      <w:szCs w:val="18"/>
                      <w:highlight w:val="none"/>
                      <w:lang w:val="en-US" w:eastAsia="zh-CN" w:bidi="ar"/>
                    </w:rPr>
                    <w:t>69</w:t>
                  </w:r>
                </w:p>
              </w:tc>
              <w:tc>
                <w:tcPr>
                  <w:tcW w:w="458" w:type="dxa"/>
                  <w:tcBorders>
                    <w:top w:val="single" w:color="auto" w:sz="4" w:space="0"/>
                    <w:left w:val="nil"/>
                    <w:bottom w:val="single" w:color="auto" w:sz="12"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lang w:val="en-US" w:eastAsia="zh-CN" w:bidi="ar"/>
                    </w:rPr>
                  </w:pPr>
                  <w:r>
                    <w:rPr>
                      <w:rFonts w:hint="default" w:ascii="Times New Roman" w:hAnsi="Times New Roman" w:eastAsia="宋体" w:cs="Times New Roman"/>
                      <w:color w:val="auto"/>
                      <w:sz w:val="18"/>
                      <w:szCs w:val="18"/>
                      <w:highlight w:val="none"/>
                      <w:lang w:val="en-US" w:eastAsia="zh-CN" w:bidi="ar"/>
                    </w:rPr>
                    <w:t>63</w:t>
                  </w:r>
                </w:p>
              </w:tc>
              <w:tc>
                <w:tcPr>
                  <w:tcW w:w="458" w:type="dxa"/>
                  <w:tcBorders>
                    <w:top w:val="single" w:color="auto" w:sz="4" w:space="0"/>
                    <w:left w:val="nil"/>
                    <w:bottom w:val="single" w:color="auto" w:sz="12"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lang w:val="en-US" w:eastAsia="zh-CN" w:bidi="ar"/>
                    </w:rPr>
                  </w:pPr>
                  <w:r>
                    <w:rPr>
                      <w:rFonts w:hint="default" w:ascii="Times New Roman" w:hAnsi="Times New Roman" w:eastAsia="宋体" w:cs="Times New Roman"/>
                      <w:color w:val="auto"/>
                      <w:sz w:val="18"/>
                      <w:szCs w:val="18"/>
                      <w:highlight w:val="none"/>
                      <w:lang w:val="en-US" w:eastAsia="zh-CN" w:bidi="ar"/>
                    </w:rPr>
                    <w:t>58</w:t>
                  </w:r>
                </w:p>
              </w:tc>
              <w:tc>
                <w:tcPr>
                  <w:tcW w:w="468" w:type="dxa"/>
                  <w:tcBorders>
                    <w:top w:val="single" w:color="auto" w:sz="4" w:space="0"/>
                    <w:left w:val="nil"/>
                    <w:bottom w:val="single" w:color="auto" w:sz="12"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lang w:val="en-US" w:eastAsia="zh-CN" w:bidi="ar"/>
                    </w:rPr>
                  </w:pPr>
                  <w:r>
                    <w:rPr>
                      <w:rFonts w:hint="default" w:ascii="Times New Roman" w:hAnsi="Times New Roman" w:eastAsia="宋体" w:cs="Times New Roman"/>
                      <w:b/>
                      <w:bCs/>
                      <w:color w:val="auto"/>
                      <w:sz w:val="18"/>
                      <w:szCs w:val="18"/>
                      <w:highlight w:val="none"/>
                      <w:lang w:val="en-US" w:eastAsia="zh-CN" w:bidi="ar"/>
                    </w:rPr>
                    <w:t>55</w:t>
                  </w:r>
                </w:p>
              </w:tc>
              <w:tc>
                <w:tcPr>
                  <w:tcW w:w="468" w:type="dxa"/>
                  <w:tcBorders>
                    <w:top w:val="single" w:color="auto" w:sz="4" w:space="0"/>
                    <w:left w:val="nil"/>
                    <w:bottom w:val="single" w:color="auto" w:sz="12"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lang w:val="en-US" w:eastAsia="zh-CN" w:bidi="ar"/>
                    </w:rPr>
                  </w:pPr>
                  <w:r>
                    <w:rPr>
                      <w:rFonts w:hint="default" w:ascii="Times New Roman" w:hAnsi="Times New Roman" w:eastAsia="宋体" w:cs="Times New Roman"/>
                      <w:color w:val="auto"/>
                      <w:sz w:val="18"/>
                      <w:szCs w:val="18"/>
                      <w:highlight w:val="none"/>
                      <w:lang w:val="en-US" w:eastAsia="zh-CN" w:bidi="ar"/>
                    </w:rPr>
                    <w:t>51</w:t>
                  </w:r>
                </w:p>
              </w:tc>
              <w:tc>
                <w:tcPr>
                  <w:tcW w:w="468" w:type="dxa"/>
                  <w:tcBorders>
                    <w:top w:val="single" w:color="auto" w:sz="4" w:space="0"/>
                    <w:left w:val="nil"/>
                    <w:bottom w:val="single" w:color="auto" w:sz="12"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lang w:val="en-US" w:eastAsia="zh-CN" w:bidi="ar"/>
                    </w:rPr>
                  </w:pPr>
                  <w:r>
                    <w:rPr>
                      <w:rFonts w:hint="default" w:ascii="Times New Roman" w:hAnsi="Times New Roman" w:eastAsia="宋体" w:cs="Times New Roman"/>
                      <w:color w:val="auto"/>
                      <w:sz w:val="18"/>
                      <w:szCs w:val="18"/>
                      <w:highlight w:val="none"/>
                      <w:lang w:val="en-US" w:eastAsia="zh-CN" w:bidi="ar"/>
                    </w:rPr>
                    <w:t>49</w:t>
                  </w:r>
                </w:p>
              </w:tc>
              <w:tc>
                <w:tcPr>
                  <w:tcW w:w="468" w:type="dxa"/>
                  <w:tcBorders>
                    <w:top w:val="single" w:color="auto" w:sz="4" w:space="0"/>
                    <w:left w:val="nil"/>
                    <w:bottom w:val="single" w:color="auto" w:sz="12" w:space="0"/>
                    <w:right w:val="single" w:color="auto" w:sz="4"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lang w:val="en-US" w:eastAsia="zh-CN" w:bidi="ar"/>
                    </w:rPr>
                  </w:pPr>
                  <w:r>
                    <w:rPr>
                      <w:rFonts w:hint="default" w:ascii="Times New Roman" w:hAnsi="Times New Roman" w:eastAsia="宋体" w:cs="Times New Roman"/>
                      <w:color w:val="auto"/>
                      <w:sz w:val="18"/>
                      <w:szCs w:val="18"/>
                      <w:highlight w:val="none"/>
                      <w:lang w:val="en-US" w:eastAsia="zh-CN" w:bidi="ar"/>
                    </w:rPr>
                    <w:t>41</w:t>
                  </w:r>
                </w:p>
              </w:tc>
              <w:tc>
                <w:tcPr>
                  <w:tcW w:w="638" w:type="dxa"/>
                  <w:tcBorders>
                    <w:top w:val="single" w:color="auto" w:sz="4" w:space="0"/>
                    <w:left w:val="nil"/>
                    <w:bottom w:val="single" w:color="auto" w:sz="12" w:space="0"/>
                    <w:right w:val="single" w:color="auto" w:sz="12" w:space="0"/>
                    <w:tl2br w:val="nil"/>
                    <w:tr2bl w:val="nil"/>
                  </w:tcBorders>
                  <w:noWrap/>
                  <w:tcMar>
                    <w:left w:w="28" w:type="dxa"/>
                    <w:right w:w="28" w:type="dxa"/>
                  </w:tcMar>
                  <w:vAlign w:val="center"/>
                </w:tcPr>
                <w:p>
                  <w:pPr>
                    <w:pStyle w:val="26"/>
                    <w:keepNext w:val="0"/>
                    <w:keepLines w:val="0"/>
                    <w:widowControl/>
                    <w:suppressLineNumbers w:val="0"/>
                    <w:autoSpaceDE w:val="0"/>
                    <w:autoSpaceDN w:val="0"/>
                    <w:adjustRightInd w:val="0"/>
                    <w:snapToGrid w:val="0"/>
                    <w:spacing w:before="0" w:beforeAutospacing="0" w:after="0" w:afterAutospacing="0"/>
                    <w:ind w:left="0" w:right="0"/>
                    <w:jc w:val="center"/>
                    <w:rPr>
                      <w:rFonts w:hint="default" w:ascii="Times New Roman" w:hAnsi="Times New Roman" w:eastAsia="宋体" w:cs="Times New Roman"/>
                      <w:color w:val="auto"/>
                      <w:sz w:val="18"/>
                      <w:szCs w:val="18"/>
                      <w:highlight w:val="none"/>
                      <w:lang w:val="en-US" w:eastAsia="zh-CN" w:bidi="ar"/>
                    </w:rPr>
                  </w:pPr>
                  <w:r>
                    <w:rPr>
                      <w:rFonts w:hint="default" w:ascii="Times New Roman" w:hAnsi="Times New Roman" w:eastAsia="宋体" w:cs="Times New Roman"/>
                      <w:color w:val="auto"/>
                      <w:sz w:val="18"/>
                      <w:szCs w:val="18"/>
                      <w:highlight w:val="none"/>
                      <w:lang w:val="en-US" w:eastAsia="zh-CN" w:bidi="ar"/>
                    </w:rPr>
                    <w:t>40</w:t>
                  </w:r>
                </w:p>
              </w:tc>
            </w:tr>
          </w:tbl>
          <w:p>
            <w:pPr>
              <w:keepNext w:val="0"/>
              <w:keepLines w:val="0"/>
              <w:widowControl/>
              <w:suppressLineNumbers w:val="0"/>
              <w:spacing w:before="0" w:beforeLines="0" w:beforeAutospacing="0" w:after="0" w:afterLines="0" w:afterAutospacing="0" w:line="240" w:lineRule="auto"/>
              <w:ind w:left="0" w:right="0"/>
              <w:rPr>
                <w:rFonts w:hint="default" w:ascii="Times New Roman" w:hAnsi="Times New Roman" w:eastAsia="宋体" w:cs="Times New Roman"/>
                <w:color w:val="auto"/>
                <w:sz w:val="18"/>
                <w:szCs w:val="18"/>
                <w:highlight w:val="none"/>
                <w:lang w:bidi="ar"/>
              </w:rPr>
            </w:pPr>
            <w:r>
              <w:rPr>
                <w:rFonts w:hint="default" w:ascii="Times New Roman" w:hAnsi="Times New Roman" w:eastAsia="宋体" w:cs="Times New Roman"/>
                <w:color w:val="auto"/>
                <w:sz w:val="18"/>
                <w:szCs w:val="18"/>
                <w:highlight w:val="none"/>
                <w:lang w:bidi="ar"/>
              </w:rPr>
              <w:t>注：按最不利情况假设施工设备距场界 5m 布置，叠加时按不利情况下7种设备各1台，集中紧邻同时施工时考虑。</w:t>
            </w:r>
          </w:p>
          <w:p>
            <w:pPr>
              <w:keepNext w:val="0"/>
              <w:keepLines w:val="0"/>
              <w:widowControl/>
              <w:suppressLineNumbers w:val="0"/>
              <w:spacing w:before="0" w:beforeLines="0" w:beforeAutospacing="0" w:after="0" w:afterLines="0" w:afterAutospacing="0" w:line="360" w:lineRule="auto"/>
              <w:ind w:left="0" w:right="0" w:firstLine="480"/>
              <w:rPr>
                <w:rFonts w:hint="default" w:ascii="Times New Roman" w:hAnsi="Times New Roman" w:eastAsia="宋体" w:cs="Times New Roman"/>
                <w:color w:val="auto"/>
                <w:sz w:val="24"/>
                <w:szCs w:val="24"/>
                <w:highlight w:val="none"/>
                <w:lang w:val="en-US" w:eastAsia="zh-CN" w:bidi="ar"/>
              </w:rPr>
            </w:pPr>
            <w:r>
              <w:rPr>
                <w:rFonts w:hint="default" w:ascii="Times New Roman" w:hAnsi="Times New Roman" w:eastAsia="宋体" w:cs="Times New Roman"/>
                <w:color w:val="auto"/>
                <w:sz w:val="24"/>
                <w:szCs w:val="24"/>
                <w:highlight w:val="none"/>
                <w:lang w:bidi="ar"/>
              </w:rPr>
              <w:t>由预测结果可知：在不采取降噪措施的情况下，昼间施工噪声在距声源100m处达标，夜间施工噪声在距声源520m处达标</w:t>
            </w:r>
            <w:r>
              <w:rPr>
                <w:rFonts w:hint="default" w:ascii="Times New Roman" w:hAnsi="Times New Roman" w:cs="Times New Roman"/>
                <w:color w:val="auto"/>
                <w:sz w:val="24"/>
                <w:szCs w:val="24"/>
                <w:highlight w:val="none"/>
                <w:lang w:eastAsia="zh-CN" w:bidi="ar"/>
              </w:rPr>
              <w:t>。</w:t>
            </w:r>
            <w:r>
              <w:rPr>
                <w:rFonts w:hint="default" w:ascii="Times New Roman" w:hAnsi="Times New Roman" w:cs="Times New Roman"/>
                <w:color w:val="auto"/>
                <w:sz w:val="24"/>
                <w:szCs w:val="24"/>
                <w:highlight w:val="none"/>
                <w:lang w:val="en-US" w:eastAsia="zh-CN" w:bidi="ar"/>
              </w:rPr>
              <w:t>在采取降噪措施的情况下，昼间施工噪声在距声源20m处达标，夜间施工噪声在距声源100m处达标</w:t>
            </w:r>
            <w:r>
              <w:rPr>
                <w:rFonts w:hint="eastAsia" w:ascii="Times New Roman" w:hAnsi="Times New Roman" w:cs="Times New Roman"/>
                <w:color w:val="auto"/>
                <w:sz w:val="24"/>
                <w:szCs w:val="24"/>
                <w:highlight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84" w:lineRule="auto"/>
              <w:ind w:left="0" w:right="0" w:firstLine="480"/>
              <w:textAlignment w:val="auto"/>
              <w:rPr>
                <w:rFonts w:hint="default" w:ascii="Times New Roman" w:hAnsi="Times New Roman" w:eastAsia="宋体" w:cs="Times New Roman"/>
                <w:color w:val="auto"/>
                <w:sz w:val="24"/>
                <w:szCs w:val="24"/>
                <w:highlight w:val="none"/>
                <w:lang w:bidi="ar"/>
              </w:rPr>
            </w:pPr>
            <w:r>
              <w:rPr>
                <w:rFonts w:hint="default" w:ascii="Times New Roman" w:hAnsi="Times New Roman" w:eastAsia="宋体" w:cs="Times New Roman"/>
                <w:color w:val="auto"/>
                <w:sz w:val="24"/>
                <w:szCs w:val="24"/>
                <w:highlight w:val="none"/>
                <w:lang w:val="en-US" w:eastAsia="zh-CN" w:bidi="ar"/>
              </w:rPr>
              <w:t>本项目 110kV 变电站东侧 20m 处分布 1 处声环境保护目标。施工期间</w:t>
            </w:r>
            <w:r>
              <w:rPr>
                <w:rFonts w:hint="eastAsia" w:ascii="Times New Roman" w:hAnsi="Times New Roman" w:cs="Times New Roman"/>
                <w:color w:val="auto"/>
                <w:sz w:val="24"/>
                <w:szCs w:val="24"/>
                <w:highlight w:val="none"/>
                <w:lang w:val="en-US" w:eastAsia="zh-CN" w:bidi="ar"/>
              </w:rPr>
              <w:t>应</w:t>
            </w:r>
            <w:r>
              <w:rPr>
                <w:rFonts w:hint="default" w:ascii="Times New Roman" w:hAnsi="Times New Roman" w:eastAsia="宋体" w:cs="Times New Roman"/>
                <w:color w:val="auto"/>
                <w:sz w:val="24"/>
                <w:szCs w:val="24"/>
                <w:highlight w:val="none"/>
                <w:lang w:val="en-US" w:eastAsia="zh-CN" w:bidi="ar"/>
              </w:rPr>
              <w:t>合理统筹作业时序，</w:t>
            </w:r>
            <w:r>
              <w:rPr>
                <w:rFonts w:hint="eastAsia" w:ascii="Times New Roman" w:hAnsi="Times New Roman" w:cs="Times New Roman"/>
                <w:color w:val="auto"/>
                <w:sz w:val="24"/>
                <w:szCs w:val="24"/>
                <w:highlight w:val="none"/>
                <w:lang w:val="en-US" w:eastAsia="zh-CN" w:bidi="ar"/>
              </w:rPr>
              <w:t>夜间不施工，避免噪声扰民</w:t>
            </w:r>
            <w:r>
              <w:rPr>
                <w:rFonts w:hint="default" w:ascii="Times New Roman" w:hAnsi="Times New Roman" w:eastAsia="宋体" w:cs="Times New Roman"/>
                <w:color w:val="auto"/>
                <w:sz w:val="24"/>
                <w:szCs w:val="24"/>
                <w:highlight w:val="none"/>
                <w:lang w:val="en-US" w:eastAsia="zh-CN" w:bidi="ar"/>
              </w:rPr>
              <w:t>。综合各项噪声防控手段后，施工期噪声向外扩散强度得到有效削减，对周边区域声环境造成的影响较小。</w:t>
            </w:r>
          </w:p>
          <w:p>
            <w:pPr>
              <w:pStyle w:val="14"/>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84" w:lineRule="auto"/>
              <w:ind w:left="0" w:leftChars="0" w:right="0" w:firstLine="0" w:firstLineChars="0"/>
              <w:textAlignment w:val="auto"/>
              <w:rPr>
                <w:rFonts w:hint="default" w:ascii="Times New Roman" w:hAnsi="Times New Roman" w:eastAsia="宋体" w:cs="Times New Roman"/>
                <w:b/>
                <w:color w:val="auto"/>
                <w:sz w:val="24"/>
                <w:szCs w:val="24"/>
                <w:highlight w:val="none"/>
                <w:lang w:eastAsia="zh-CN"/>
              </w:rPr>
            </w:pPr>
            <w:r>
              <w:rPr>
                <w:rFonts w:hint="default" w:ascii="Times New Roman" w:hAnsi="Times New Roman" w:eastAsia="宋体" w:cs="Times New Roman"/>
                <w:b/>
                <w:color w:val="auto"/>
                <w:sz w:val="24"/>
                <w:szCs w:val="24"/>
                <w:highlight w:val="none"/>
              </w:rPr>
              <w:t>3.2 输电线路</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84" w:lineRule="auto"/>
              <w:ind w:left="0" w:right="0" w:firstLine="482"/>
              <w:textAlignment w:val="auto"/>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color w:val="auto"/>
                <w:sz w:val="24"/>
                <w:szCs w:val="24"/>
                <w:highlight w:val="none"/>
              </w:rPr>
              <w:t>输电线路</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电缆</w:t>
            </w:r>
            <w:r>
              <w:rPr>
                <w:rFonts w:hint="default" w:ascii="Times New Roman" w:hAnsi="Times New Roman" w:eastAsia="宋体" w:cs="Times New Roman"/>
                <w:color w:val="auto"/>
                <w:sz w:val="24"/>
                <w:szCs w:val="24"/>
                <w:highlight w:val="none"/>
              </w:rPr>
              <w:t>施工中的主要噪声源有车辆运输、基础开挖、架线施工中各种机具的设备噪声等。</w:t>
            </w:r>
            <w:r>
              <w:rPr>
                <w:rFonts w:hint="default" w:ascii="Times New Roman" w:hAnsi="Times New Roman"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工地运输采用汽车运输，运输线路选择时尽量避开集中居民区，做好车辆保养，同时要求驾驶人员在运输过程中遵守交通规则，施工运输对沿途居民工作及生活没有明显影响。在架线施工过程中，各牵张场内的张力机、牵引机、绞磨机等设备产生一定的机械噪声，其噪声级一般小于70dB（A）。牵张场尽可能靠近路边，减少对地表扰动。线路各段施工时间相对较短，当施工完毕后，施工噪声随之结束，施工产生噪声对周边环境影响相对较小。</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84" w:lineRule="auto"/>
              <w:ind w:left="0" w:right="0"/>
              <w:textAlignment w:val="auto"/>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4 固体废物对环境的影响</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84" w:lineRule="auto"/>
              <w:ind w:left="0" w:right="0" w:firstLine="480" w:firstLineChars="200"/>
              <w:jc w:val="left"/>
              <w:textAlignment w:val="auto"/>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color w:val="auto"/>
                <w:sz w:val="24"/>
                <w:szCs w:val="24"/>
                <w:highlight w:val="none"/>
              </w:rPr>
              <w:t>施工期间将产生固体废物，主要包括施工土石方、生活垃圾、各类建材包装箱袋以及设备安装包装物等。</w:t>
            </w:r>
            <w:r>
              <w:rPr>
                <w:rFonts w:hint="default" w:ascii="Times New Roman" w:hAnsi="Times New Roman" w:eastAsia="宋体" w:cs="Times New Roman"/>
                <w:color w:val="auto"/>
                <w:sz w:val="24"/>
                <w:szCs w:val="24"/>
                <w:highlight w:val="none"/>
                <w:lang w:val="en-US" w:eastAsia="zh-CN"/>
              </w:rPr>
              <w:t>根据土石方平衡，本项目</w:t>
            </w:r>
            <w:r>
              <w:rPr>
                <w:rFonts w:hint="default" w:ascii="Times New Roman" w:hAnsi="Times New Roman" w:eastAsia="宋体" w:cs="Times New Roman"/>
                <w:color w:val="auto"/>
                <w:sz w:val="24"/>
                <w:szCs w:val="24"/>
                <w:highlight w:val="none"/>
              </w:rPr>
              <w:t>总挖方</w:t>
            </w:r>
            <w:r>
              <w:rPr>
                <w:rFonts w:hint="default" w:ascii="Times New Roman" w:hAnsi="Times New Roman" w:cs="Times New Roman"/>
                <w:color w:val="auto"/>
                <w:sz w:val="24"/>
                <w:szCs w:val="24"/>
                <w:highlight w:val="none"/>
                <w:lang w:val="en-US" w:eastAsia="zh-CN"/>
              </w:rPr>
              <w:t>24540</w:t>
            </w:r>
            <w:r>
              <w:rPr>
                <w:rFonts w:hint="default" w:ascii="Times New Roman" w:hAnsi="Times New Roman" w:eastAsia="宋体" w:cs="Times New Roman"/>
                <w:color w:val="auto"/>
                <w:sz w:val="24"/>
                <w:szCs w:val="24"/>
                <w:highlight w:val="none"/>
              </w:rPr>
              <w:t>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rPr>
              <w:t>总填方</w:t>
            </w:r>
            <w:r>
              <w:rPr>
                <w:rFonts w:hint="default" w:ascii="Times New Roman" w:hAnsi="Times New Roman" w:eastAsia="宋体" w:cs="Times New Roman"/>
                <w:color w:val="auto"/>
                <w:sz w:val="24"/>
                <w:szCs w:val="24"/>
                <w:highlight w:val="none"/>
                <w:lang w:val="en-US" w:eastAsia="zh-CN"/>
              </w:rPr>
              <w:t>20065</w:t>
            </w:r>
            <w:r>
              <w:rPr>
                <w:rFonts w:hint="default" w:ascii="Times New Roman" w:hAnsi="Times New Roman" w:eastAsia="宋体" w:cs="Times New Roman"/>
                <w:color w:val="auto"/>
                <w:sz w:val="24"/>
                <w:szCs w:val="24"/>
                <w:highlight w:val="none"/>
              </w:rPr>
              <w:t>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总弃方</w:t>
            </w:r>
            <w:r>
              <w:rPr>
                <w:rFonts w:hint="default" w:ascii="Times New Roman" w:hAnsi="Times New Roman" w:cs="Times New Roman"/>
                <w:color w:val="auto"/>
                <w:sz w:val="24"/>
                <w:szCs w:val="24"/>
                <w:highlight w:val="none"/>
                <w:lang w:val="en-US" w:eastAsia="zh-CN"/>
              </w:rPr>
              <w:t>4475</w:t>
            </w:r>
            <w:r>
              <w:rPr>
                <w:rFonts w:hint="default" w:ascii="Times New Roman" w:hAnsi="Times New Roman" w:eastAsia="宋体" w:cs="Times New Roman"/>
                <w:color w:val="auto"/>
                <w:sz w:val="24"/>
                <w:szCs w:val="24"/>
                <w:highlight w:val="none"/>
              </w:rPr>
              <w:t>m</w:t>
            </w:r>
            <w:r>
              <w:rPr>
                <w:rFonts w:hint="default" w:ascii="Times New Roman" w:hAnsi="Times New Roman" w:eastAsia="宋体" w:cs="Times New Roman"/>
                <w:color w:val="auto"/>
                <w:sz w:val="24"/>
                <w:szCs w:val="24"/>
                <w:highlight w:val="none"/>
                <w:vertAlign w:val="superscript"/>
              </w:rPr>
              <w:t>3</w:t>
            </w:r>
            <w:r>
              <w:rPr>
                <w:rFonts w:hint="default" w:ascii="Times New Roman" w:hAnsi="Times New Roman" w:eastAsia="宋体" w:cs="Times New Roman"/>
                <w:color w:val="auto"/>
                <w:sz w:val="24"/>
                <w:szCs w:val="24"/>
                <w:highlight w:val="none"/>
                <w:vertAlign w:val="baseline"/>
                <w:lang w:eastAsia="zh-CN"/>
              </w:rPr>
              <w:t>。</w:t>
            </w:r>
            <w:r>
              <w:rPr>
                <w:rFonts w:hint="default" w:ascii="Times New Roman" w:hAnsi="Times New Roman" w:eastAsia="宋体" w:cs="Times New Roman"/>
                <w:color w:val="auto"/>
                <w:sz w:val="24"/>
                <w:szCs w:val="24"/>
                <w:highlight w:val="none"/>
                <w:vertAlign w:val="baseline"/>
                <w:lang w:val="en-US" w:eastAsia="zh-CN"/>
              </w:rPr>
              <w:t>多余弃方用于塔基区回填、站内坑洼处回填，弃土全部利用不外运。建筑垃圾运至市政部门指定地点。</w:t>
            </w:r>
            <w:r>
              <w:rPr>
                <w:rFonts w:hint="default" w:ascii="Times New Roman" w:hAnsi="Times New Roman" w:eastAsia="宋体" w:cs="Times New Roman"/>
                <w:color w:val="auto"/>
                <w:sz w:val="24"/>
                <w:szCs w:val="24"/>
                <w:highlight w:val="none"/>
              </w:rPr>
              <w:t>工程施工完毕后及时对扰动地表进行平整，以减少水土流失。</w:t>
            </w:r>
          </w:p>
          <w:p>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384" w:lineRule="auto"/>
              <w:ind w:left="0" w:right="0" w:firstLine="480" w:firstLineChars="200"/>
              <w:jc w:val="left"/>
              <w:textAlignment w:val="auto"/>
              <w:rPr>
                <w:rFonts w:hint="default" w:ascii="Times New Roman" w:hAnsi="Times New Roman" w:eastAsia="宋体" w:cs="Times New Roman"/>
                <w:b/>
                <w:color w:val="auto"/>
                <w:sz w:val="24"/>
                <w:szCs w:val="24"/>
                <w:highlight w:val="none"/>
              </w:rPr>
            </w:pPr>
            <w:r>
              <w:rPr>
                <w:rFonts w:hint="default" w:ascii="Times New Roman" w:hAnsi="Times New Roman"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施工人员约50人，施工期为12个月，</w:t>
            </w:r>
            <w:r>
              <w:rPr>
                <w:rFonts w:hint="default" w:ascii="Times New Roman" w:hAnsi="Times New Roman" w:eastAsia="宋体" w:cs="Times New Roman"/>
                <w:color w:val="auto"/>
                <w:kern w:val="24"/>
                <w:sz w:val="24"/>
                <w:szCs w:val="24"/>
                <w:highlight w:val="none"/>
              </w:rPr>
              <w:t>生活垃圾按</w:t>
            </w:r>
            <w:r>
              <w:rPr>
                <w:rFonts w:hint="default" w:ascii="Times New Roman" w:hAnsi="Times New Roman" w:eastAsia="宋体" w:cs="Times New Roman"/>
                <w:color w:val="auto"/>
                <w:sz w:val="24"/>
                <w:szCs w:val="24"/>
                <w:highlight w:val="none"/>
              </w:rPr>
              <w:t>1kg/人·d计算，则施工期产生的垃圾总量约18.25t。施工前应对施工人员进行宣传和教育，要求施工中产生的生活垃圾，如饭盒，矿泉水瓶等应集中收集放置在施工现场设置的垃圾桶，生活垃圾集中收集，收集后统一运至就近生活垃圾转运站处置。对于各类建材安装或使用后产生的废弃包装箱（袋）统一回收后外卖给废品收购站综合利用。</w:t>
            </w:r>
          </w:p>
          <w:p>
            <w:pPr>
              <w:keepNext w:val="0"/>
              <w:keepLines w:val="0"/>
              <w:widowControl/>
              <w:suppressLineNumbers w:val="0"/>
              <w:spacing w:before="0" w:beforeLines="0" w:beforeAutospacing="0" w:after="0" w:afterLines="0" w:afterAutospacing="0" w:line="360" w:lineRule="auto"/>
              <w:ind w:left="0" w:right="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5 生态环境影响分析</w:t>
            </w:r>
          </w:p>
          <w:p>
            <w:pPr>
              <w:keepNext w:val="0"/>
              <w:keepLines w:val="0"/>
              <w:widowControl/>
              <w:suppressLineNumbers w:val="0"/>
              <w:spacing w:before="0" w:beforeLines="0" w:beforeAutospacing="0" w:after="0" w:afterLines="0" w:afterAutospacing="0" w:line="360" w:lineRule="auto"/>
              <w:ind w:left="0" w:right="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5.1 土地利用的影响</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（1）永久占地对土地利用的影响</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永久占地区施工将使区域内土地利用类型发生改变，植物个体损失，植被生物量减少，上述影响是长期的、不可逆的。</w:t>
            </w:r>
            <w:r>
              <w:rPr>
                <w:rFonts w:hint="default" w:ascii="Times New Roman" w:hAnsi="Times New Roman"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永久占地面积约</w:t>
            </w:r>
            <w:r>
              <w:rPr>
                <w:rFonts w:hint="default" w:ascii="Times New Roman" w:hAnsi="Times New Roman" w:cs="Times New Roman"/>
                <w:color w:val="auto"/>
                <w:sz w:val="24"/>
                <w:szCs w:val="24"/>
                <w:highlight w:val="none"/>
                <w:lang w:val="en-US" w:eastAsia="zh-CN"/>
              </w:rPr>
              <w:t>14840.09</w:t>
            </w:r>
            <w:r>
              <w:rPr>
                <w:rFonts w:hint="default" w:ascii="Times New Roman" w:hAnsi="Times New Roman" w:eastAsia="宋体" w:cs="Times New Roman"/>
                <w:color w:val="auto"/>
                <w:sz w:val="24"/>
                <w:szCs w:val="24"/>
                <w:highlight w:val="none"/>
              </w:rPr>
              <w:t>m</w:t>
            </w:r>
            <w:r>
              <w:rPr>
                <w:rFonts w:hint="default" w:ascii="Times New Roman" w:hAnsi="Times New Roman" w:eastAsia="宋体" w:cs="Times New Roman"/>
                <w:color w:val="auto"/>
                <w:sz w:val="24"/>
                <w:szCs w:val="24"/>
                <w:highlight w:val="none"/>
                <w:vertAlign w:val="superscript"/>
              </w:rPr>
              <w:t>2</w:t>
            </w:r>
            <w:r>
              <w:rPr>
                <w:rFonts w:hint="default" w:ascii="Times New Roman" w:hAnsi="Times New Roman" w:eastAsia="宋体" w:cs="Times New Roman"/>
                <w:color w:val="auto"/>
                <w:sz w:val="24"/>
                <w:szCs w:val="24"/>
                <w:highlight w:val="none"/>
              </w:rPr>
              <w:t>，占地主要为</w:t>
            </w:r>
            <w:r>
              <w:rPr>
                <w:rFonts w:hint="default" w:ascii="Times New Roman" w:hAnsi="Times New Roman" w:cs="Times New Roman"/>
                <w:color w:val="auto"/>
                <w:sz w:val="24"/>
                <w:szCs w:val="24"/>
                <w:highlight w:val="none"/>
                <w:lang w:val="en-US" w:eastAsia="zh-CN"/>
              </w:rPr>
              <w:t>其他草地、盐碱地</w:t>
            </w:r>
            <w:r>
              <w:rPr>
                <w:rFonts w:hint="default" w:ascii="Times New Roman" w:hAnsi="Times New Roman" w:eastAsia="宋体" w:cs="Times New Roman"/>
                <w:color w:val="auto"/>
                <w:sz w:val="24"/>
                <w:szCs w:val="24"/>
                <w:highlight w:val="none"/>
                <w:lang w:val="en-US" w:eastAsia="zh-CN"/>
              </w:rPr>
              <w:t>，同时涉及耕地等农用地、有林地、村庄建设用地</w:t>
            </w:r>
            <w:r>
              <w:rPr>
                <w:rFonts w:hint="eastAsia" w:ascii="Times New Roman" w:hAnsi="Times New Roman" w:cs="Times New Roman"/>
                <w:color w:val="auto"/>
                <w:sz w:val="24"/>
                <w:szCs w:val="24"/>
                <w:highlight w:val="none"/>
                <w:lang w:val="en-US" w:eastAsia="zh-CN"/>
              </w:rPr>
              <w:t>，植被覆盖率在15%~20%之间。</w:t>
            </w:r>
            <w:r>
              <w:rPr>
                <w:rFonts w:hint="default" w:ascii="Times New Roman" w:hAnsi="Times New Roman" w:cs="Times New Roman"/>
                <w:color w:val="auto"/>
                <w:sz w:val="24"/>
                <w:szCs w:val="24"/>
                <w:highlight w:val="none"/>
                <w:lang w:eastAsia="zh-CN"/>
              </w:rPr>
              <w:t>变电站</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塔基</w:t>
            </w:r>
            <w:r>
              <w:rPr>
                <w:rFonts w:hint="default" w:ascii="Times New Roman" w:hAnsi="Times New Roman" w:eastAsia="宋体" w:cs="Times New Roman"/>
                <w:color w:val="auto"/>
                <w:sz w:val="24"/>
                <w:szCs w:val="24"/>
                <w:highlight w:val="none"/>
              </w:rPr>
              <w:t>永久占地</w:t>
            </w:r>
            <w:r>
              <w:rPr>
                <w:rFonts w:hint="default" w:ascii="Times New Roman" w:hAnsi="Times New Roman" w:eastAsia="宋体" w:cs="Times New Roman"/>
                <w:color w:val="auto"/>
                <w:sz w:val="24"/>
                <w:szCs w:val="24"/>
                <w:highlight w:val="none"/>
                <w:lang w:val="en-US" w:eastAsia="zh-CN"/>
              </w:rPr>
              <w:t>施工</w:t>
            </w:r>
            <w:r>
              <w:rPr>
                <w:rFonts w:hint="default" w:ascii="Times New Roman" w:hAnsi="Times New Roman" w:eastAsia="宋体" w:cs="Times New Roman"/>
                <w:color w:val="auto"/>
                <w:sz w:val="24"/>
                <w:szCs w:val="24"/>
                <w:highlight w:val="none"/>
              </w:rPr>
              <w:t>将使地表植被全部破坏，原地表土壤生态系统发生不可逆转变。线路塔基占地属于点位间隔式占地，并非大面积的开挖，占地面积相对较小，对当地的土地利用结构影响也相对较小。</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（2）临时占地对土地利用的影响</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snapToGrid w:val="0"/>
                <w:color w:val="auto"/>
                <w:kern w:val="0"/>
                <w:sz w:val="24"/>
                <w:szCs w:val="24"/>
                <w:highlight w:val="none"/>
              </w:rPr>
            </w:pPr>
            <w:r>
              <w:rPr>
                <w:rFonts w:hint="default" w:ascii="Times New Roman" w:hAnsi="Times New Roman" w:cs="Times New Roman"/>
                <w:snapToGrid w:val="0"/>
                <w:color w:val="auto"/>
                <w:kern w:val="0"/>
                <w:sz w:val="24"/>
                <w:szCs w:val="24"/>
                <w:highlight w:val="none"/>
                <w:lang w:eastAsia="zh-CN"/>
              </w:rPr>
              <w:t>本项目</w:t>
            </w:r>
            <w:r>
              <w:rPr>
                <w:rFonts w:hint="default" w:ascii="Times New Roman" w:hAnsi="Times New Roman" w:eastAsia="宋体" w:cs="Times New Roman"/>
                <w:snapToGrid w:val="0"/>
                <w:color w:val="auto"/>
                <w:kern w:val="0"/>
                <w:sz w:val="24"/>
                <w:szCs w:val="24"/>
                <w:highlight w:val="none"/>
              </w:rPr>
              <w:t>临时占地主要为施工营地、牵张场等，临时占地面积约</w:t>
            </w:r>
            <w:r>
              <w:rPr>
                <w:rFonts w:hint="eastAsia" w:ascii="Times New Roman" w:hAnsi="Times New Roman" w:cs="Times New Roman"/>
                <w:snapToGrid w:val="0"/>
                <w:color w:val="auto"/>
                <w:kern w:val="0"/>
                <w:sz w:val="24"/>
                <w:szCs w:val="24"/>
                <w:highlight w:val="none"/>
                <w:lang w:val="en-US" w:eastAsia="zh-CN"/>
              </w:rPr>
              <w:t>74980</w:t>
            </w:r>
            <w:r>
              <w:rPr>
                <w:rFonts w:hint="default" w:ascii="Times New Roman" w:hAnsi="Times New Roman" w:eastAsia="宋体" w:cs="Times New Roman"/>
                <w:snapToGrid w:val="0"/>
                <w:color w:val="auto"/>
                <w:kern w:val="0"/>
                <w:sz w:val="24"/>
                <w:szCs w:val="24"/>
                <w:highlight w:val="none"/>
              </w:rPr>
              <w:t>m</w:t>
            </w:r>
            <w:r>
              <w:rPr>
                <w:rFonts w:hint="default" w:ascii="Times New Roman" w:hAnsi="Times New Roman" w:eastAsia="宋体" w:cs="Times New Roman"/>
                <w:snapToGrid w:val="0"/>
                <w:color w:val="auto"/>
                <w:kern w:val="0"/>
                <w:sz w:val="24"/>
                <w:szCs w:val="24"/>
                <w:highlight w:val="none"/>
                <w:vertAlign w:val="superscript"/>
              </w:rPr>
              <w:t>2</w:t>
            </w:r>
            <w:r>
              <w:rPr>
                <w:rFonts w:hint="default" w:ascii="Times New Roman" w:hAnsi="Times New Roman" w:eastAsia="宋体" w:cs="Times New Roman"/>
                <w:snapToGrid w:val="0"/>
                <w:color w:val="auto"/>
                <w:kern w:val="0"/>
                <w:sz w:val="24"/>
                <w:szCs w:val="24"/>
                <w:highlight w:val="none"/>
              </w:rPr>
              <w:t>，占地主要为</w:t>
            </w:r>
            <w:r>
              <w:rPr>
                <w:rFonts w:hint="default" w:ascii="Times New Roman" w:hAnsi="Times New Roman" w:eastAsia="宋体" w:cs="Times New Roman"/>
                <w:snapToGrid w:val="0"/>
                <w:color w:val="auto"/>
                <w:kern w:val="0"/>
                <w:sz w:val="24"/>
                <w:szCs w:val="24"/>
                <w:highlight w:val="none"/>
                <w:lang w:val="en-US" w:eastAsia="zh-CN"/>
              </w:rPr>
              <w:t>其他草地、盐碱地</w:t>
            </w:r>
            <w:r>
              <w:rPr>
                <w:rFonts w:hint="default" w:ascii="Times New Roman" w:hAnsi="Times New Roman" w:eastAsia="宋体" w:cs="Times New Roman"/>
                <w:snapToGrid w:val="0"/>
                <w:color w:val="auto"/>
                <w:kern w:val="0"/>
                <w:sz w:val="24"/>
                <w:szCs w:val="24"/>
                <w:highlight w:val="none"/>
              </w:rPr>
              <w:t>。施工结束拆除施工临设，对土地利用的影响较小；塔基施工场地占地为塔基永久占地范围外6～10m，主要放置施工机械及临时堆土，牵张场为架线施工时设置，架线施工结束后即可进行地貌恢复。</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w:t>
            </w:r>
            <w:r>
              <w:rPr>
                <w:rFonts w:hint="eastAsia"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rPr>
              <w:t>）110kV</w:t>
            </w:r>
            <w:r>
              <w:rPr>
                <w:rFonts w:hint="eastAsia" w:ascii="Times New Roman" w:hAnsi="Times New Roman" w:eastAsia="宋体" w:cs="Times New Roman"/>
                <w:color w:val="auto"/>
                <w:sz w:val="24"/>
                <w:szCs w:val="24"/>
                <w:highlight w:val="none"/>
              </w:rPr>
              <w:t>输电线路各类用地环境影响分析</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一、农用地</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rPr>
              <w:t>占地扰动：塔基、临时场地及施工便道占用、碾压农田，破坏耕作层，造成耕地损毁、耕种面积减少，影响农作物生产。</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w:t>
            </w:r>
            <w:r>
              <w:rPr>
                <w:rFonts w:hint="eastAsia" w:ascii="Times New Roman" w:hAnsi="Times New Roman" w:eastAsia="宋体" w:cs="Times New Roman"/>
                <w:color w:val="auto"/>
                <w:sz w:val="24"/>
                <w:szCs w:val="24"/>
                <w:highlight w:val="none"/>
              </w:rPr>
              <w:t>土壤退化：施工碾压、土方回填易造成土壤板结、土层紊乱；施工扬尘、废水、机械油污易污染耕作层，降低土壤肥力。</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w:t>
            </w:r>
            <w:r>
              <w:rPr>
                <w:rFonts w:hint="eastAsia" w:ascii="Times New Roman" w:hAnsi="Times New Roman" w:eastAsia="宋体" w:cs="Times New Roman"/>
                <w:color w:val="auto"/>
                <w:sz w:val="24"/>
                <w:szCs w:val="24"/>
                <w:highlight w:val="none"/>
              </w:rPr>
              <w:t>生产受限：线路廊道限制高秆作物种植，改变种植结构；施工易损毁青苗、灌溉设施，干扰正常农业生产秩序。</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w:t>
            </w:r>
            <w:r>
              <w:rPr>
                <w:rFonts w:hint="eastAsia" w:ascii="Times New Roman" w:hAnsi="Times New Roman" w:eastAsia="宋体" w:cs="Times New Roman"/>
                <w:color w:val="auto"/>
                <w:sz w:val="24"/>
                <w:szCs w:val="24"/>
                <w:highlight w:val="none"/>
              </w:rPr>
              <w:t>水土流失：农田表层土质疏松，施工扰动后地表裸露，雨季易发生坡面冲刷，造成耕作层土壤流失。</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二、盐碱地</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rPr>
              <w:t>次生盐渍化风险：施工开挖、碾压破坏原有盐碱土层平衡，扰动深层盐分，加剧土壤盐渍化。</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w:t>
            </w:r>
            <w:r>
              <w:rPr>
                <w:rFonts w:hint="eastAsia" w:ascii="Times New Roman" w:hAnsi="Times New Roman" w:eastAsia="宋体" w:cs="Times New Roman"/>
                <w:color w:val="auto"/>
                <w:sz w:val="24"/>
                <w:szCs w:val="24"/>
                <w:highlight w:val="none"/>
              </w:rPr>
              <w:t>植被退化沙化：破坏盐碱地原生耐盐植被，加之立地条件差、自然恢复困难，易造成地表裸露、土地沙化。</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w:t>
            </w:r>
            <w:r>
              <w:rPr>
                <w:rFonts w:hint="eastAsia" w:ascii="Times New Roman" w:hAnsi="Times New Roman" w:eastAsia="宋体" w:cs="Times New Roman"/>
                <w:color w:val="auto"/>
                <w:sz w:val="24"/>
                <w:szCs w:val="24"/>
                <w:highlight w:val="none"/>
              </w:rPr>
              <w:t>水土条件恶化：施工堆土、平整场地易堵塞排水通道，导致区域积水积盐，进一步恶化土壤环境。</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w:t>
            </w:r>
            <w:r>
              <w:rPr>
                <w:rFonts w:hint="eastAsia" w:ascii="Times New Roman" w:hAnsi="Times New Roman" w:eastAsia="宋体" w:cs="Times New Roman"/>
                <w:color w:val="auto"/>
                <w:sz w:val="24"/>
                <w:szCs w:val="24"/>
                <w:highlight w:val="none"/>
              </w:rPr>
              <w:t>生态承载力下降：打破区域水土盐平衡，扰动土壤微生物环境，降低盐碱地脆弱生态系统的稳定性和承载力。</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三、其他草地</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rPr>
              <w:t>植被资源损耗：工程施工碾压、铲除天然草本植被，破坏草地群落结构，降低植被覆盖度。</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w:t>
            </w:r>
            <w:r>
              <w:rPr>
                <w:rFonts w:hint="eastAsia" w:ascii="Times New Roman" w:hAnsi="Times New Roman" w:eastAsia="宋体" w:cs="Times New Roman"/>
                <w:color w:val="auto"/>
                <w:sz w:val="24"/>
                <w:szCs w:val="24"/>
                <w:highlight w:val="none"/>
              </w:rPr>
              <w:t>土壤侵蚀加剧：植被根系固土能力受损，裸露地表抗风蚀、水蚀能力下降，易引发水土流失和土地沙化。</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w:t>
            </w:r>
            <w:r>
              <w:rPr>
                <w:rFonts w:hint="eastAsia" w:ascii="Times New Roman" w:hAnsi="Times New Roman" w:eastAsia="宋体" w:cs="Times New Roman"/>
                <w:color w:val="auto"/>
                <w:sz w:val="24"/>
                <w:szCs w:val="24"/>
                <w:highlight w:val="none"/>
              </w:rPr>
              <w:t>生物多样性降低：破坏草地小型动物、昆虫栖息觅食环境，干扰区域生物活动。</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w:t>
            </w:r>
            <w:r>
              <w:rPr>
                <w:rFonts w:hint="eastAsia" w:ascii="Times New Roman" w:hAnsi="Times New Roman" w:eastAsia="宋体" w:cs="Times New Roman"/>
                <w:color w:val="auto"/>
                <w:sz w:val="24"/>
                <w:szCs w:val="24"/>
                <w:highlight w:val="none"/>
              </w:rPr>
              <w:t>生态功能弱化：草地被碎片化分割，破坏自然景观，削弱防风固沙、涵养水源的生态功能。</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四、林地</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rPr>
              <w:t>林业资源损耗：塔基建设、廊道清理砍伐、移栽林木，造成林地面积和林木蓄积量减少。</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w:t>
            </w:r>
            <w:r>
              <w:rPr>
                <w:rFonts w:hint="eastAsia" w:ascii="Times New Roman" w:hAnsi="Times New Roman" w:eastAsia="宋体" w:cs="Times New Roman"/>
                <w:color w:val="auto"/>
                <w:sz w:val="24"/>
                <w:szCs w:val="24"/>
                <w:highlight w:val="none"/>
              </w:rPr>
              <w:t>林地生境破坏：施工扰动破坏林地枯枝落叶层和根系土壤，影响林木生长，削弱林地水土保持功能。</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w:t>
            </w:r>
            <w:r>
              <w:rPr>
                <w:rFonts w:hint="eastAsia" w:ascii="Times New Roman" w:hAnsi="Times New Roman" w:eastAsia="宋体" w:cs="Times New Roman"/>
                <w:color w:val="auto"/>
                <w:sz w:val="24"/>
                <w:szCs w:val="24"/>
                <w:highlight w:val="none"/>
              </w:rPr>
              <w:t>生态系统碎片化：线路分割连片林地，阻隔野生动物迁徙通道，破坏林地生物多样性。</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w:t>
            </w:r>
            <w:r>
              <w:rPr>
                <w:rFonts w:hint="eastAsia" w:ascii="Times New Roman" w:hAnsi="Times New Roman" w:eastAsia="宋体" w:cs="Times New Roman"/>
                <w:color w:val="auto"/>
                <w:sz w:val="24"/>
                <w:szCs w:val="24"/>
                <w:highlight w:val="none"/>
              </w:rPr>
              <w:t>环境安全风险：施工动火、机械作业易引发林地损伤及火灾；施工废弃物、扬尘易污染林地土壤和植被。</w:t>
            </w:r>
          </w:p>
          <w:p>
            <w:pPr>
              <w:keepNext w:val="0"/>
              <w:keepLines w:val="0"/>
              <w:widowControl/>
              <w:suppressLineNumbers w:val="0"/>
              <w:spacing w:before="0" w:beforeLines="0" w:beforeAutospacing="0" w:after="0" w:afterLines="0" w:afterAutospacing="0" w:line="360" w:lineRule="auto"/>
              <w:ind w:left="0" w:right="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5.2 植被影响分析</w:t>
            </w:r>
          </w:p>
          <w:p>
            <w:pPr>
              <w:keepNext w:val="0"/>
              <w:keepLines w:val="0"/>
              <w:widowControl/>
              <w:suppressLineNumbers w:val="0"/>
              <w:spacing w:before="0" w:beforeLines="0" w:beforeAutospacing="0" w:after="0" w:afterLines="0" w:afterAutospacing="0" w:line="360" w:lineRule="auto"/>
              <w:ind w:left="0" w:right="0" w:firstLine="464" w:firstLineChars="200"/>
              <w:rPr>
                <w:rFonts w:hint="default" w:ascii="Times New Roman" w:hAnsi="Times New Roman" w:eastAsia="宋体" w:cs="Times New Roman"/>
                <w:color w:val="auto"/>
                <w:spacing w:val="-4"/>
                <w:sz w:val="24"/>
                <w:szCs w:val="24"/>
                <w:highlight w:val="none"/>
              </w:rPr>
            </w:pPr>
            <w:r>
              <w:rPr>
                <w:rFonts w:hint="default" w:ascii="Times New Roman" w:hAnsi="Times New Roman" w:eastAsia="宋体" w:cs="Times New Roman"/>
                <w:color w:val="auto"/>
                <w:spacing w:val="-4"/>
                <w:sz w:val="24"/>
                <w:szCs w:val="24"/>
                <w:highlight w:val="none"/>
              </w:rPr>
              <w:t>本项目总占地面积</w:t>
            </w:r>
            <w:r>
              <w:rPr>
                <w:rFonts w:hint="eastAsia" w:ascii="Times New Roman" w:hAnsi="Times New Roman" w:cs="Times New Roman"/>
                <w:color w:val="auto"/>
                <w:spacing w:val="-4"/>
                <w:sz w:val="24"/>
                <w:szCs w:val="24"/>
                <w:highlight w:val="none"/>
                <w:lang w:eastAsia="zh-CN"/>
              </w:rPr>
              <w:t>89820.09</w:t>
            </w:r>
            <w:r>
              <w:rPr>
                <w:rFonts w:hint="default" w:ascii="Times New Roman" w:hAnsi="Times New Roman" w:eastAsia="宋体" w:cs="Times New Roman"/>
                <w:color w:val="auto"/>
                <w:spacing w:val="-4"/>
                <w:sz w:val="24"/>
                <w:szCs w:val="24"/>
                <w:highlight w:val="none"/>
              </w:rPr>
              <w:t>m</w:t>
            </w:r>
            <w:r>
              <w:rPr>
                <w:rFonts w:hint="default" w:ascii="Times New Roman" w:hAnsi="Times New Roman" w:eastAsia="宋体" w:cs="Times New Roman"/>
                <w:color w:val="auto"/>
                <w:spacing w:val="-4"/>
                <w:sz w:val="24"/>
                <w:szCs w:val="24"/>
                <w:highlight w:val="none"/>
                <w:vertAlign w:val="superscript"/>
              </w:rPr>
              <w:t>2</w:t>
            </w:r>
            <w:r>
              <w:rPr>
                <w:rFonts w:hint="default" w:ascii="Times New Roman" w:hAnsi="Times New Roman" w:eastAsia="宋体" w:cs="Times New Roman"/>
                <w:color w:val="auto"/>
                <w:spacing w:val="-4"/>
                <w:sz w:val="24"/>
                <w:szCs w:val="24"/>
                <w:highlight w:val="none"/>
              </w:rPr>
              <w:t>，临时占地对生物量的影响为当年完全损失，即施工期破坏的植被当年无法生长。永久占地会造成占地范围内的植被永久性消失，减少植被的覆盖面积，引起植被生物量、净生产量损失。</w:t>
            </w:r>
          </w:p>
          <w:p>
            <w:pPr>
              <w:keepNext w:val="0"/>
              <w:keepLines w:val="0"/>
              <w:widowControl/>
              <w:suppressLineNumbers w:val="0"/>
              <w:spacing w:before="0" w:beforeLines="0" w:beforeAutospacing="0" w:after="0" w:afterLines="0" w:afterAutospacing="0" w:line="360" w:lineRule="auto"/>
              <w:ind w:left="0" w:right="0" w:firstLine="464" w:firstLineChars="200"/>
              <w:rPr>
                <w:rFonts w:hint="default" w:ascii="Times New Roman" w:hAnsi="Times New Roman" w:eastAsia="宋体" w:cs="Times New Roman"/>
                <w:color w:val="auto"/>
                <w:spacing w:val="-4"/>
                <w:sz w:val="24"/>
                <w:szCs w:val="24"/>
                <w:highlight w:val="none"/>
                <w:lang w:val="en-US" w:eastAsia="zh-CN"/>
              </w:rPr>
            </w:pPr>
            <w:r>
              <w:rPr>
                <w:rFonts w:hint="default" w:ascii="Times New Roman" w:hAnsi="Times New Roman" w:eastAsia="宋体" w:cs="Times New Roman"/>
                <w:color w:val="auto"/>
                <w:spacing w:val="-4"/>
                <w:sz w:val="24"/>
                <w:szCs w:val="24"/>
                <w:highlight w:val="none"/>
                <w:lang w:val="en-US" w:eastAsia="zh-CN"/>
              </w:rPr>
              <w:t>本工程位置和乌兰布和沙漠东北缘荒漠同属北半球中纬度（北纬39°～42°），同属温带/暖温带极端干旱荒漠，参照《乌兰布和沙漠东北缘荒漠-绿洲过渡带植被地上生物量估算》（生态学报，第38卷第4期，2018年2月），荒漠植被生物量按154.5g/m</w:t>
            </w:r>
            <w:r>
              <w:rPr>
                <w:rFonts w:hint="default" w:ascii="Times New Roman" w:hAnsi="Times New Roman" w:eastAsia="宋体" w:cs="Times New Roman"/>
                <w:color w:val="auto"/>
                <w:spacing w:val="-4"/>
                <w:sz w:val="24"/>
                <w:szCs w:val="24"/>
                <w:highlight w:val="none"/>
                <w:vertAlign w:val="superscript"/>
                <w:lang w:val="en-US" w:eastAsia="zh-CN"/>
              </w:rPr>
              <w:t>2</w:t>
            </w:r>
            <w:r>
              <w:rPr>
                <w:rFonts w:hint="default" w:ascii="Times New Roman" w:hAnsi="Times New Roman" w:eastAsia="宋体" w:cs="Times New Roman"/>
                <w:color w:val="auto"/>
                <w:spacing w:val="-4"/>
                <w:sz w:val="24"/>
                <w:szCs w:val="24"/>
                <w:highlight w:val="none"/>
                <w:lang w:val="en-US" w:eastAsia="zh-CN"/>
              </w:rPr>
              <w:t>计，则因本工程建设，将会一次性损失</w:t>
            </w:r>
            <w:r>
              <w:rPr>
                <w:rFonts w:hint="eastAsia" w:ascii="Times New Roman" w:hAnsi="Times New Roman" w:cs="Times New Roman"/>
                <w:color w:val="auto"/>
                <w:spacing w:val="-4"/>
                <w:sz w:val="24"/>
                <w:szCs w:val="24"/>
                <w:highlight w:val="none"/>
                <w:lang w:val="en-US" w:eastAsia="zh-CN"/>
              </w:rPr>
              <w:t>13.88</w:t>
            </w:r>
            <w:r>
              <w:rPr>
                <w:rFonts w:hint="default" w:ascii="Times New Roman" w:hAnsi="Times New Roman" w:eastAsia="宋体" w:cs="Times New Roman"/>
                <w:color w:val="auto"/>
                <w:spacing w:val="-4"/>
                <w:sz w:val="24"/>
                <w:szCs w:val="24"/>
                <w:highlight w:val="none"/>
                <w:lang w:val="en-US" w:eastAsia="zh-CN"/>
              </w:rPr>
              <w:t>t地上生物量。</w:t>
            </w:r>
          </w:p>
          <w:p>
            <w:pPr>
              <w:keepNext w:val="0"/>
              <w:keepLines w:val="0"/>
              <w:widowControl/>
              <w:suppressLineNumbers w:val="0"/>
              <w:spacing w:before="0" w:beforeLines="0" w:beforeAutospacing="0" w:after="0" w:afterLines="0" w:afterAutospacing="0" w:line="360" w:lineRule="auto"/>
              <w:ind w:left="0" w:right="0" w:firstLine="464" w:firstLineChars="200"/>
              <w:rPr>
                <w:rFonts w:hint="default" w:ascii="Times New Roman" w:hAnsi="Times New Roman" w:eastAsia="宋体" w:cs="Times New Roman"/>
                <w:color w:val="auto"/>
                <w:spacing w:val="-4"/>
                <w:sz w:val="24"/>
                <w:szCs w:val="24"/>
                <w:highlight w:val="none"/>
                <w:lang w:val="en-US" w:eastAsia="zh-CN"/>
              </w:rPr>
            </w:pPr>
            <w:r>
              <w:rPr>
                <w:rFonts w:hint="eastAsia" w:ascii="Times New Roman" w:hAnsi="Times New Roman" w:cs="Times New Roman"/>
                <w:color w:val="auto"/>
                <w:spacing w:val="-4"/>
                <w:sz w:val="24"/>
                <w:szCs w:val="24"/>
                <w:highlight w:val="none"/>
                <w:lang w:val="en-US" w:eastAsia="zh-CN"/>
              </w:rPr>
              <w:t>根据《使用林地审核同意书》新林资许准（喀）〔2026〕82号，</w:t>
            </w:r>
            <w:r>
              <w:rPr>
                <w:rFonts w:hint="default" w:ascii="Times New Roman" w:hAnsi="Times New Roman" w:eastAsia="宋体" w:cs="Times New Roman"/>
                <w:color w:val="auto"/>
                <w:spacing w:val="-4"/>
                <w:sz w:val="24"/>
                <w:szCs w:val="24"/>
                <w:highlight w:val="none"/>
                <w:lang w:val="en-US" w:eastAsia="zh-CN"/>
              </w:rPr>
              <w:t>本项目长期占用岳普湖县国有林地面积0.8951公顷，占地类型为未成林造林地，属于IV级保护的一般商品林地，林种、用地类型均为其他，林地起源为人工林，优势树种为桃树。项目</w:t>
            </w:r>
            <w:r>
              <w:rPr>
                <w:rFonts w:hint="eastAsia" w:ascii="Times New Roman" w:hAnsi="Times New Roman" w:cs="Times New Roman"/>
                <w:color w:val="auto"/>
                <w:spacing w:val="-4"/>
                <w:sz w:val="24"/>
                <w:szCs w:val="24"/>
                <w:highlight w:val="none"/>
                <w:lang w:val="en-US" w:eastAsia="zh-CN"/>
              </w:rPr>
              <w:t>不占用</w:t>
            </w:r>
            <w:r>
              <w:rPr>
                <w:rFonts w:hint="default" w:ascii="Times New Roman" w:hAnsi="Times New Roman" w:eastAsia="宋体" w:cs="Times New Roman"/>
                <w:color w:val="auto"/>
                <w:spacing w:val="-4"/>
                <w:sz w:val="24"/>
                <w:szCs w:val="24"/>
                <w:highlight w:val="none"/>
                <w:lang w:val="en-US" w:eastAsia="zh-CN"/>
              </w:rPr>
              <w:t>天然林、公益林及重点保护林地，不涉及珍稀野生植物生境，林地生态保护等级较低，生态敏感性偏弱。项目建设将永久占用局部林地，清除区域内桃树人工幼林植被，短期内会造成小范围植被生物量损失，轻微改变局部土地利用结构，对区域原有林地植被连续性造成小幅破坏。项目占地范围狭小，未占用生态保护红线、水源保护区等敏感区域，区域无重点保护野生动植物集中栖息地，对区域生物多样性影响极小。项目通过合规选址、严控占地范围，最大限度缩减林地占用规模，施工及运营期落实水土保持、植被恢复等生态防护措施后，林地生态负面影响可控，不会对区域森林生态系统稳定性及整体生态功能造成显著不利影响。</w:t>
            </w:r>
          </w:p>
          <w:p>
            <w:pPr>
              <w:pStyle w:val="12"/>
              <w:keepNext w:val="0"/>
              <w:keepLines w:val="0"/>
              <w:widowControl/>
              <w:suppressLineNumbers w:val="0"/>
              <w:spacing w:before="0" w:beforeLines="0" w:beforeAutospacing="0" w:after="0" w:afterAutospacing="0" w:line="360" w:lineRule="auto"/>
              <w:ind w:left="0" w:leftChars="0" w:right="0" w:firstLine="0" w:firstLineChars="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5.3 野生动物影响分析</w:t>
            </w:r>
          </w:p>
          <w:p>
            <w:pPr>
              <w:pStyle w:val="12"/>
              <w:keepNext w:val="0"/>
              <w:keepLines w:val="0"/>
              <w:widowControl/>
              <w:suppressLineNumbers w:val="0"/>
              <w:spacing w:before="0" w:beforeLines="0" w:beforeAutospacing="0" w:after="0" w:afterAutospacing="0" w:line="360" w:lineRule="auto"/>
              <w:ind w:left="0" w:leftChars="0" w:right="0" w:firstLine="48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施工机械噪声和人类活动噪声是影响野生动物的主要因素，各种施工机械如运输车辆、推土机等均可能产生较强的噪声。虽然这些施工机械属非连续性间歇排放，但由于噪声源相对集中，且多为裸露声源，故其有一定影响范围。预计在施工期，本区的野生动物都将产生规避反应，迁往附近同类环境，动物迁徙能力强，且同类生境易于在附近找寻，故物种种群与数量不会受到明显影响。根据当地居民反映，</w:t>
            </w:r>
            <w:r>
              <w:rPr>
                <w:rFonts w:hint="default" w:ascii="Times New Roman" w:hAnsi="Times New Roman" w:eastAsia="宋体"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区域内无大型野生动物，哺乳动物主要是鼠、兔等小型动物。因此，施工期对野生动物的影响很小。</w:t>
            </w:r>
          </w:p>
          <w:p>
            <w:pPr>
              <w:pStyle w:val="12"/>
              <w:keepNext w:val="0"/>
              <w:keepLines w:val="0"/>
              <w:widowControl/>
              <w:suppressLineNumbers w:val="0"/>
              <w:spacing w:before="0" w:beforeLines="0" w:beforeAutospacing="0" w:after="0" w:afterAutospacing="0" w:line="360" w:lineRule="auto"/>
              <w:ind w:left="0" w:leftChars="0" w:right="0" w:firstLine="0" w:firstLineChars="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5.4 施工景观影响</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施工期基础开挖、土方临时堆存、道路施工、物料运输造成的扬尘、施工人员生活垃圾等，如果管理不当将会对局部景观造成一定的不良影响。通过采取围挡作业、分段施工、及时回填土石方、采取防尘抑尘措施、集中收集施工人员生活垃圾并及时清运处理等措施，可以使施工区域及时恢复原有自然面貌，将施工期造成的景观影响降至最小。</w:t>
            </w:r>
          </w:p>
          <w:p>
            <w:pPr>
              <w:keepNext w:val="0"/>
              <w:keepLines w:val="0"/>
              <w:widowControl/>
              <w:suppressLineNumbers w:val="0"/>
              <w:spacing w:before="0" w:beforeLines="0" w:beforeAutospacing="0" w:after="0" w:afterLines="0" w:afterAutospacing="0" w:line="360" w:lineRule="auto"/>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rPr>
              <w:t>5.5 水土流失影响分析</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的水土流失产生时段主要集中在施工期，水土流失产生区域为塔基区。在建设过程中由于扰动原地貌、破坏土壤结构、破坏地表植被等情况的发生，可能造成水土流失，破坏周边生态环境，引发一系列的环境问题。</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color w:val="auto"/>
                <w:sz w:val="24"/>
                <w:szCs w:val="24"/>
                <w:highlight w:val="none"/>
              </w:rPr>
              <w:t>为保护项目区水土资源，减少和治理工程建设中的水土流失，</w:t>
            </w:r>
            <w:r>
              <w:rPr>
                <w:rFonts w:hint="default" w:ascii="Times New Roman" w:hAnsi="Times New Roman"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的水土保持工程措施主要有：地基开挖表土堆存采取临时苫盖措施，防止遇风扬尘产生；施工完毕后进行土地整治，返还表土，应做到挖方、填方平衡等，有效治理因工程建设引起的水土流失，不会引起较大的水土流失影响。</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 w:val="24"/>
                <w:szCs w:val="24"/>
                <w:highlight w:val="none"/>
              </w:rPr>
              <w:t>综上分析，</w:t>
            </w:r>
            <w:r>
              <w:rPr>
                <w:rFonts w:hint="default" w:ascii="Times New Roman" w:hAnsi="Times New Roman"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建设不会改变区域内地表植被类型，不影响区域内野生动物的生存环境，不会影响区域生态系统的完整性。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76" w:hRule="atLeast"/>
          <w:jc w:val="center"/>
        </w:trPr>
        <w:tc>
          <w:tcPr>
            <w:tcW w:w="879" w:type="dxa"/>
            <w:noWrap/>
            <w:tcMar>
              <w:left w:w="28" w:type="dxa"/>
              <w:right w:w="28" w:type="dxa"/>
            </w:tcMar>
            <w:vAlign w:val="center"/>
          </w:tcPr>
          <w:p>
            <w:pPr>
              <w:pStyle w:val="26"/>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bCs/>
                <w:color w:val="auto"/>
                <w:kern w:val="2"/>
                <w:sz w:val="21"/>
                <w:szCs w:val="21"/>
                <w:highlight w:val="none"/>
              </w:rPr>
            </w:pPr>
            <w:r>
              <w:rPr>
                <w:rFonts w:hint="default" w:ascii="Times New Roman" w:hAnsi="Times New Roman" w:eastAsia="宋体" w:cs="Times New Roman"/>
                <w:bCs/>
                <w:color w:val="auto"/>
                <w:spacing w:val="10"/>
                <w:kern w:val="2"/>
                <w:szCs w:val="24"/>
                <w:highlight w:val="none"/>
              </w:rPr>
              <w:t>运营期生态环境影响分析</w:t>
            </w:r>
          </w:p>
        </w:tc>
        <w:tc>
          <w:tcPr>
            <w:tcW w:w="8363" w:type="dxa"/>
            <w:noWrap/>
          </w:tcPr>
          <w:p>
            <w:pPr>
              <w:pStyle w:val="14"/>
              <w:keepNext w:val="0"/>
              <w:keepLines w:val="0"/>
              <w:widowControl/>
              <w:suppressLineNumbers w:val="0"/>
              <w:adjustRightInd w:val="0"/>
              <w:snapToGrid w:val="0"/>
              <w:spacing w:before="0" w:beforeAutospacing="0" w:after="0" w:afterAutospacing="0"/>
              <w:ind w:left="0" w:right="0" w:firstLine="0" w:firstLineChars="0"/>
              <w:outlineLvl w:val="9"/>
              <w:rPr>
                <w:rFonts w:hint="default" w:ascii="Times New Roman" w:hAnsi="Times New Roman" w:eastAsia="宋体" w:cs="Times New Roman"/>
                <w:color w:val="auto"/>
                <w:highlight w:val="none"/>
              </w:rPr>
            </w:pPr>
            <w:r>
              <w:rPr>
                <w:rFonts w:hint="default" w:ascii="Times New Roman" w:hAnsi="Times New Roman" w:eastAsia="宋体" w:cs="Times New Roman"/>
                <w:b/>
                <w:color w:val="auto"/>
                <w:highlight w:val="none"/>
              </w:rPr>
              <w:t>1电磁环境影响预测与评价</w:t>
            </w:r>
          </w:p>
          <w:p>
            <w:pPr>
              <w:pStyle w:val="14"/>
              <w:keepNext w:val="0"/>
              <w:keepLines w:val="0"/>
              <w:widowControl/>
              <w:suppressLineNumbers w:val="0"/>
              <w:adjustRightInd w:val="0"/>
              <w:snapToGrid w:val="0"/>
              <w:spacing w:before="0" w:beforeAutospacing="0" w:after="0" w:afterAutospacing="0"/>
              <w:ind w:left="0" w:right="0" w:firstLine="480"/>
              <w:outlineLvl w:val="9"/>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根据电磁环境预测结果分析可知，本项目线路运行时产生的工频电场强度和工频磁感应强度可满足《电磁环境控制限值》</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GB8702-2014</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中的公众曝露控制限值工频电场强度4千伏/米，工频磁感应强度100微特斯拉要求。项目对周边的电磁环境影响较小。电磁环境影响分析详见“附录 电磁环境影响专题评价”。</w:t>
            </w:r>
          </w:p>
          <w:p>
            <w:pPr>
              <w:pStyle w:val="14"/>
              <w:keepNext w:val="0"/>
              <w:keepLines w:val="0"/>
              <w:widowControl/>
              <w:suppressLineNumbers w:val="0"/>
              <w:adjustRightInd w:val="0"/>
              <w:snapToGrid w:val="0"/>
              <w:spacing w:before="0" w:beforeAutospacing="0" w:after="0" w:afterAutospacing="0"/>
              <w:ind w:left="0" w:right="0" w:firstLine="0" w:firstLineChars="0"/>
              <w:outlineLvl w:val="9"/>
              <w:rPr>
                <w:rFonts w:hint="default" w:ascii="Times New Roman" w:hAnsi="Times New Roman" w:eastAsia="宋体" w:cs="Times New Roman"/>
                <w:color w:val="auto"/>
                <w:highlight w:val="none"/>
              </w:rPr>
            </w:pPr>
            <w:bookmarkStart w:id="67" w:name="_Hlk214016244"/>
            <w:r>
              <w:rPr>
                <w:rFonts w:hint="default" w:ascii="Times New Roman" w:hAnsi="Times New Roman" w:eastAsia="宋体" w:cs="Times New Roman"/>
                <w:b/>
                <w:color w:val="auto"/>
                <w:highlight w:val="none"/>
              </w:rPr>
              <w:t>2声环境影响预测与评价</w:t>
            </w:r>
          </w:p>
          <w:p>
            <w:pPr>
              <w:keepNext w:val="0"/>
              <w:keepLines w:val="0"/>
              <w:widowControl w:val="0"/>
              <w:suppressLineNumbers w:val="0"/>
              <w:tabs>
                <w:tab w:val="left" w:pos="8814"/>
              </w:tabs>
              <w:spacing w:before="0" w:beforeAutospacing="0" w:after="0" w:afterAutospacing="0" w:line="360" w:lineRule="auto"/>
              <w:ind w:left="0" w:right="0"/>
              <w:jc w:val="both"/>
              <w:outlineLvl w:val="9"/>
              <w:rPr>
                <w:rFonts w:hint="default" w:ascii="Times New Roman" w:hAnsi="Times New Roman" w:eastAsia="宋体" w:cs="Times New Roman"/>
                <w:b/>
                <w:bCs/>
                <w:color w:val="auto"/>
                <w:kern w:val="2"/>
                <w:highlight w:val="none"/>
              </w:rPr>
            </w:pPr>
            <w:r>
              <w:rPr>
                <w:rFonts w:hint="default" w:ascii="Times New Roman" w:hAnsi="Times New Roman" w:eastAsia="宋体" w:cs="Times New Roman"/>
                <w:b/>
                <w:bCs/>
                <w:color w:val="auto"/>
                <w:kern w:val="2"/>
                <w:highlight w:val="none"/>
              </w:rPr>
              <w:t>2.1输电线路</w:t>
            </w:r>
          </w:p>
          <w:bookmarkEnd w:id="67"/>
          <w:p>
            <w:pPr>
              <w:keepNext w:val="0"/>
              <w:keepLines w:val="0"/>
              <w:widowControl/>
              <w:suppressLineNumbers w:val="0"/>
              <w:tabs>
                <w:tab w:val="left" w:pos="8814"/>
              </w:tabs>
              <w:spacing w:before="0" w:beforeAutospacing="0" w:after="0" w:afterAutospacing="0" w:line="360" w:lineRule="auto"/>
              <w:ind w:left="0" w:right="0"/>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2.1.1单回线路预测与评价</w:t>
            </w:r>
          </w:p>
          <w:p>
            <w:pPr>
              <w:keepNext w:val="0"/>
              <w:keepLines w:val="0"/>
              <w:widowControl/>
              <w:suppressLineNumbers w:val="0"/>
              <w:tabs>
                <w:tab w:val="left" w:pos="8814"/>
              </w:tabs>
              <w:spacing w:before="0" w:beforeLines="0" w:beforeAutospacing="0" w:after="0" w:afterLines="0" w:afterAutospacing="0" w:line="360" w:lineRule="auto"/>
              <w:ind w:left="0" w:right="0" w:firstLine="482" w:firstLineChars="200"/>
              <w:jc w:val="left"/>
              <w:rPr>
                <w:rFonts w:hint="default" w:ascii="Times New Roman" w:hAnsi="Times New Roman" w:cs="Times New Roman"/>
                <w:color w:val="auto"/>
                <w:kern w:val="0"/>
                <w:sz w:val="24"/>
                <w:szCs w:val="24"/>
                <w:highlight w:val="none"/>
              </w:rPr>
            </w:pPr>
            <w:r>
              <w:rPr>
                <w:rFonts w:hint="eastAsia" w:ascii="Times New Roman" w:hAnsi="Times New Roman" w:cs="Times New Roman"/>
                <w:b/>
                <w:color w:val="auto"/>
                <w:kern w:val="0"/>
                <w:sz w:val="24"/>
                <w:szCs w:val="24"/>
                <w:highlight w:val="none"/>
                <w:lang w:eastAsia="zh-CN"/>
              </w:rPr>
              <w:t>（</w:t>
            </w:r>
            <w:r>
              <w:rPr>
                <w:rFonts w:hint="default" w:ascii="Times New Roman" w:hAnsi="Times New Roman" w:cs="Times New Roman"/>
                <w:b/>
                <w:color w:val="auto"/>
                <w:kern w:val="0"/>
                <w:sz w:val="24"/>
                <w:szCs w:val="24"/>
                <w:highlight w:val="none"/>
              </w:rPr>
              <w:t>1</w:t>
            </w:r>
            <w:r>
              <w:rPr>
                <w:rFonts w:hint="eastAsia" w:ascii="Times New Roman" w:hAnsi="Times New Roman" w:cs="Times New Roman"/>
                <w:b/>
                <w:color w:val="auto"/>
                <w:kern w:val="0"/>
                <w:sz w:val="24"/>
                <w:szCs w:val="24"/>
                <w:highlight w:val="none"/>
                <w:lang w:eastAsia="zh-CN"/>
              </w:rPr>
              <w:t>）</w:t>
            </w:r>
            <w:r>
              <w:rPr>
                <w:rFonts w:hint="default" w:ascii="Times New Roman" w:hAnsi="Times New Roman" w:cs="Times New Roman"/>
                <w:b/>
                <w:color w:val="auto"/>
                <w:kern w:val="0"/>
                <w:sz w:val="24"/>
                <w:szCs w:val="24"/>
                <w:highlight w:val="none"/>
              </w:rPr>
              <w:t>类比可行性</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cs="Times New Roman"/>
                <w:b/>
                <w:color w:val="auto"/>
                <w:kern w:val="0"/>
                <w:sz w:val="24"/>
                <w:szCs w:val="24"/>
                <w:highlight w:val="none"/>
              </w:rPr>
            </w:pPr>
            <w:r>
              <w:rPr>
                <w:rFonts w:hint="default" w:ascii="Times New Roman" w:hAnsi="Times New Roman" w:cs="Times New Roman"/>
                <w:color w:val="auto"/>
                <w:kern w:val="0"/>
                <w:sz w:val="24"/>
                <w:szCs w:val="24"/>
                <w:highlight w:val="none"/>
                <w:lang w:bidi="ar"/>
              </w:rPr>
              <w:t>本次评价的单回线路架空线路类比分析采用已运行的110kV 拓兴线进行类比分析，类比线路与本工程线路主要技术参数对照，见表4-3。110kV线路噪声类比监测报告见附件</w:t>
            </w:r>
            <w:r>
              <w:rPr>
                <w:rFonts w:hint="eastAsia" w:ascii="Times New Roman" w:hAnsi="Times New Roman" w:cs="Times New Roman"/>
                <w:color w:val="auto"/>
                <w:kern w:val="0"/>
                <w:sz w:val="24"/>
                <w:szCs w:val="24"/>
                <w:highlight w:val="none"/>
                <w:lang w:val="en-US" w:eastAsia="zh-CN" w:bidi="ar"/>
              </w:rPr>
              <w:t>3</w:t>
            </w:r>
            <w:r>
              <w:rPr>
                <w:rFonts w:hint="default" w:ascii="Times New Roman" w:hAnsi="Times New Roman" w:cs="Times New Roman"/>
                <w:color w:val="auto"/>
                <w:kern w:val="0"/>
                <w:sz w:val="24"/>
                <w:szCs w:val="24"/>
                <w:highlight w:val="none"/>
                <w:lang w:bidi="ar"/>
              </w:rPr>
              <w:t>。</w:t>
            </w:r>
          </w:p>
          <w:p>
            <w:pPr>
              <w:keepNext w:val="0"/>
              <w:keepLines w:val="0"/>
              <w:widowControl/>
              <w:suppressLineNumbers w:val="0"/>
              <w:spacing w:before="0" w:beforeLines="0" w:beforeAutospacing="0" w:after="0" w:afterLines="0" w:afterAutospacing="0"/>
              <w:ind w:left="0" w:right="0" w:firstLine="482" w:firstLineChars="200"/>
              <w:jc w:val="center"/>
              <w:rPr>
                <w:rFonts w:hint="default" w:ascii="Times New Roman" w:hAnsi="Times New Roman" w:cs="Times New Roman"/>
                <w:b/>
                <w:color w:val="auto"/>
                <w:kern w:val="0"/>
                <w:sz w:val="24"/>
                <w:szCs w:val="24"/>
                <w:highlight w:val="none"/>
              </w:rPr>
            </w:pPr>
            <w:r>
              <w:rPr>
                <w:rFonts w:hint="default" w:ascii="Times New Roman" w:hAnsi="Times New Roman" w:cs="Times New Roman"/>
                <w:b/>
                <w:color w:val="auto"/>
                <w:kern w:val="0"/>
                <w:sz w:val="24"/>
                <w:szCs w:val="24"/>
                <w:highlight w:val="none"/>
                <w:lang w:bidi="ar"/>
              </w:rPr>
              <w:t>表4-3 主要技术指标对照表</w:t>
            </w:r>
          </w:p>
          <w:tbl>
            <w:tblPr>
              <w:tblStyle w:val="28"/>
              <w:tblW w:w="817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55"/>
              <w:gridCol w:w="2818"/>
              <w:gridCol w:w="360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3" w:hRule="atLeast"/>
                <w:jc w:val="center"/>
              </w:trPr>
              <w:tc>
                <w:tcPr>
                  <w:tcW w:w="1755" w:type="dxa"/>
                  <w:tcBorders>
                    <w:top w:val="single" w:color="auto" w:sz="12"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b/>
                      <w:color w:val="auto"/>
                      <w:kern w:val="0"/>
                      <w:sz w:val="21"/>
                      <w:szCs w:val="21"/>
                      <w:highlight w:val="none"/>
                    </w:rPr>
                  </w:pPr>
                  <w:r>
                    <w:rPr>
                      <w:rFonts w:hint="default" w:ascii="Times New Roman" w:hAnsi="Times New Roman" w:cs="Times New Roman"/>
                      <w:b/>
                      <w:color w:val="auto"/>
                      <w:kern w:val="0"/>
                      <w:sz w:val="21"/>
                      <w:szCs w:val="21"/>
                      <w:highlight w:val="none"/>
                      <w:lang w:bidi="ar"/>
                    </w:rPr>
                    <w:t>主要指标</w:t>
                  </w:r>
                </w:p>
              </w:tc>
              <w:tc>
                <w:tcPr>
                  <w:tcW w:w="2818" w:type="dxa"/>
                  <w:tcBorders>
                    <w:top w:val="single" w:color="auto" w:sz="12"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b/>
                      <w:color w:val="auto"/>
                      <w:kern w:val="0"/>
                      <w:sz w:val="21"/>
                      <w:szCs w:val="21"/>
                      <w:highlight w:val="none"/>
                    </w:rPr>
                  </w:pPr>
                  <w:r>
                    <w:rPr>
                      <w:rFonts w:hint="default" w:ascii="Times New Roman" w:hAnsi="Times New Roman" w:cs="Times New Roman"/>
                      <w:color w:val="auto"/>
                      <w:kern w:val="0"/>
                      <w:sz w:val="21"/>
                      <w:szCs w:val="21"/>
                      <w:highlight w:val="none"/>
                      <w:lang w:bidi="ar"/>
                    </w:rPr>
                    <w:t>110kV 拓兴线</w:t>
                  </w:r>
                </w:p>
              </w:tc>
              <w:tc>
                <w:tcPr>
                  <w:tcW w:w="3606" w:type="dxa"/>
                  <w:tcBorders>
                    <w:top w:val="single" w:color="auto" w:sz="12"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sz w:val="21"/>
                      <w:szCs w:val="21"/>
                      <w:highlight w:val="none"/>
                      <w:lang w:bidi="ar"/>
                    </w:rPr>
                    <w:t>110kV单回路线路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5"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lang w:bidi="ar"/>
                    </w:rPr>
                    <w:t>电压等级</w:t>
                  </w:r>
                </w:p>
              </w:tc>
              <w:tc>
                <w:tcPr>
                  <w:tcW w:w="2818"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lang w:bidi="ar"/>
                    </w:rPr>
                    <w:t>110kV</w:t>
                  </w:r>
                </w:p>
              </w:tc>
              <w:tc>
                <w:tcPr>
                  <w:tcW w:w="3606"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sz w:val="21"/>
                      <w:szCs w:val="21"/>
                      <w:highlight w:val="none"/>
                      <w:lang w:bidi="ar"/>
                    </w:rPr>
                    <w:t>110kV</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5"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lang w:bidi="ar"/>
                    </w:rPr>
                    <w:t>架设方式及排列方式</w:t>
                  </w:r>
                </w:p>
              </w:tc>
              <w:tc>
                <w:tcPr>
                  <w:tcW w:w="2818"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rPr>
                    <w:t>架空/三角形排列</w:t>
                  </w:r>
                </w:p>
              </w:tc>
              <w:tc>
                <w:tcPr>
                  <w:tcW w:w="3606"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sz w:val="21"/>
                      <w:szCs w:val="21"/>
                      <w:highlight w:val="none"/>
                      <w:lang w:bidi="ar"/>
                    </w:rPr>
                    <w:t>架空/水平排列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5"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lang w:bidi="ar"/>
                    </w:rPr>
                    <w:t>导线型号</w:t>
                  </w:r>
                </w:p>
              </w:tc>
              <w:tc>
                <w:tcPr>
                  <w:tcW w:w="2818"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lang w:bidi="ar"/>
                    </w:rPr>
                    <w:t>JL/G1A-240/30</w:t>
                  </w:r>
                </w:p>
              </w:tc>
              <w:tc>
                <w:tcPr>
                  <w:tcW w:w="3606"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sz w:val="21"/>
                      <w:szCs w:val="21"/>
                      <w:highlight w:val="none"/>
                      <w:lang w:bidi="ar"/>
                    </w:rPr>
                    <w:t>2×JL3/G1A-240/30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5"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分裂方式</w:t>
                  </w:r>
                </w:p>
              </w:tc>
              <w:tc>
                <w:tcPr>
                  <w:tcW w:w="2818"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单分裂</w:t>
                  </w:r>
                </w:p>
              </w:tc>
              <w:tc>
                <w:tcPr>
                  <w:tcW w:w="3606"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lang w:bidi="ar"/>
                    </w:rPr>
                  </w:pPr>
                  <w:r>
                    <w:rPr>
                      <w:rFonts w:hint="default" w:ascii="Times New Roman" w:hAnsi="Times New Roman" w:cs="Times New Roman"/>
                      <w:color w:val="auto"/>
                      <w:sz w:val="21"/>
                      <w:szCs w:val="21"/>
                      <w:highlight w:val="none"/>
                      <w:lang w:bidi="ar"/>
                    </w:rPr>
                    <w:t>二分裂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5"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lang w:bidi="ar"/>
                    </w:rPr>
                    <w:t>导线外径</w:t>
                  </w:r>
                </w:p>
              </w:tc>
              <w:tc>
                <w:tcPr>
                  <w:tcW w:w="2818"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lang w:bidi="ar"/>
                    </w:rPr>
                    <w:t>21.6mm</w:t>
                  </w:r>
                </w:p>
              </w:tc>
              <w:tc>
                <w:tcPr>
                  <w:tcW w:w="3606"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sz w:val="21"/>
                      <w:szCs w:val="21"/>
                      <w:highlight w:val="none"/>
                      <w:lang w:bidi="ar"/>
                    </w:rPr>
                    <w:t>21.6mm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5"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lang w:bidi="ar"/>
                    </w:rPr>
                    <w:t>架设类型</w:t>
                  </w:r>
                </w:p>
              </w:tc>
              <w:tc>
                <w:tcPr>
                  <w:tcW w:w="2818"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lang w:bidi="ar"/>
                    </w:rPr>
                    <w:t>单回架设</w:t>
                  </w:r>
                </w:p>
              </w:tc>
              <w:tc>
                <w:tcPr>
                  <w:tcW w:w="3606"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sz w:val="21"/>
                      <w:szCs w:val="21"/>
                      <w:highlight w:val="none"/>
                    </w:rPr>
                    <w:t>单回架设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5"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架设高度</w:t>
                  </w:r>
                </w:p>
              </w:tc>
              <w:tc>
                <w:tcPr>
                  <w:tcW w:w="2818"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22m</w:t>
                  </w:r>
                </w:p>
              </w:tc>
              <w:tc>
                <w:tcPr>
                  <w:tcW w:w="3606"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杆塔呼高18~36m，设计线高15~30m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5"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lang w:bidi="ar"/>
                    </w:rPr>
                    <w:t>运行工况</w:t>
                  </w:r>
                </w:p>
              </w:tc>
              <w:tc>
                <w:tcPr>
                  <w:tcW w:w="2818"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left"/>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kern w:val="0"/>
                      <w:sz w:val="21"/>
                      <w:szCs w:val="21"/>
                      <w:highlight w:val="none"/>
                      <w:lang w:bidi="ar"/>
                    </w:rPr>
                    <w:t>监测期间线路运行正常，110kV拓兴线运行电流 93A，电压为116kV。</w:t>
                  </w:r>
                </w:p>
              </w:tc>
              <w:tc>
                <w:tcPr>
                  <w:tcW w:w="3606"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highlight w:val="none"/>
                    </w:rPr>
                  </w:pPr>
                  <w:r>
                    <w:rPr>
                      <w:rFonts w:hint="default" w:ascii="Times New Roman" w:hAnsi="Times New Roman" w:cs="Times New Roman"/>
                      <w:color w:val="auto"/>
                      <w:sz w:val="21"/>
                      <w:szCs w:val="21"/>
                      <w:highlight w:val="none"/>
                      <w:lang w:bidi="ar"/>
                    </w:rPr>
                    <w:t>运行电压等级110kV</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5"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地理位置</w:t>
                  </w:r>
                </w:p>
              </w:tc>
              <w:tc>
                <w:tcPr>
                  <w:tcW w:w="2818"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新疆哈密市东南部大泉湾境内、郊区</w:t>
                  </w:r>
                </w:p>
              </w:tc>
              <w:tc>
                <w:tcPr>
                  <w:tcW w:w="3606"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sz w:val="21"/>
                      <w:szCs w:val="21"/>
                      <w:highlight w:val="none"/>
                      <w:lang w:bidi="ar"/>
                    </w:rPr>
                    <w:t>新疆岳普湖县、郊区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755" w:type="dxa"/>
                  <w:tcBorders>
                    <w:top w:val="single" w:color="auto" w:sz="4" w:space="0"/>
                    <w:left w:val="single" w:color="auto" w:sz="12" w:space="0"/>
                    <w:bottom w:val="single" w:color="auto" w:sz="12"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气候条件</w:t>
                  </w:r>
                </w:p>
              </w:tc>
              <w:tc>
                <w:tcPr>
                  <w:tcW w:w="2818" w:type="dxa"/>
                  <w:tcBorders>
                    <w:top w:val="single" w:color="auto" w:sz="4" w:space="0"/>
                    <w:left w:val="single" w:color="auto" w:sz="4" w:space="0"/>
                    <w:bottom w:val="single" w:color="auto" w:sz="12"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温带大陆性气候</w:t>
                  </w:r>
                </w:p>
              </w:tc>
              <w:tc>
                <w:tcPr>
                  <w:tcW w:w="3606" w:type="dxa"/>
                  <w:tcBorders>
                    <w:top w:val="single" w:color="auto" w:sz="4" w:space="0"/>
                    <w:left w:val="single" w:color="auto" w:sz="4" w:space="0"/>
                    <w:bottom w:val="single" w:color="auto" w:sz="12"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sz w:val="21"/>
                      <w:szCs w:val="21"/>
                      <w:highlight w:val="none"/>
                      <w:lang w:bidi="ar"/>
                    </w:rPr>
                    <w:t>温带大陆性气候</w:t>
                  </w:r>
                </w:p>
              </w:tc>
            </w:tr>
          </w:tbl>
          <w:p>
            <w:pPr>
              <w:keepNext w:val="0"/>
              <w:keepLines w:val="0"/>
              <w:widowControl/>
              <w:suppressLineNumbers w:val="0"/>
              <w:tabs>
                <w:tab w:val="left" w:pos="8814"/>
              </w:tabs>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rPr>
              <w:t>由表4-3对比分析，选取的类比线路电压等级、架设方式、导线排列方式、导线直径、运行工况、气候条件等与本工程线路基本一致，声环境背景相近。</w:t>
            </w:r>
          </w:p>
          <w:p>
            <w:pPr>
              <w:keepNext w:val="0"/>
              <w:keepLines w:val="0"/>
              <w:widowControl/>
              <w:suppressLineNumbers w:val="0"/>
              <w:tabs>
                <w:tab w:val="left" w:pos="8814"/>
              </w:tabs>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rPr>
              <w:t>相同条件下，二分裂等效增大导线等效外径，分摊单相电荷，子导线表面电场强度显著低于单分裂导线，电晕放电强度大幅减弱，电晕噪声更低，故具有可比性。监测期间类比线路运行正常，故本次环评将110kV 拓兴线输电线路作为线路类比对象是可行的。</w:t>
            </w:r>
          </w:p>
          <w:p>
            <w:pPr>
              <w:keepNext w:val="0"/>
              <w:keepLines w:val="0"/>
              <w:widowControl/>
              <w:suppressLineNumbers w:val="0"/>
              <w:spacing w:before="0" w:beforeLines="0" w:beforeAutospacing="0" w:after="0" w:afterLines="0" w:afterAutospacing="0" w:line="360" w:lineRule="auto"/>
              <w:ind w:left="0" w:right="0" w:firstLine="482" w:firstLineChars="200"/>
              <w:jc w:val="left"/>
              <w:rPr>
                <w:rFonts w:hint="default" w:ascii="Times New Roman" w:hAnsi="Times New Roman" w:cs="Times New Roman"/>
                <w:b/>
                <w:color w:val="auto"/>
                <w:kern w:val="0"/>
                <w:sz w:val="24"/>
                <w:szCs w:val="24"/>
                <w:highlight w:val="none"/>
              </w:rPr>
            </w:pPr>
            <w:r>
              <w:rPr>
                <w:rFonts w:hint="eastAsia" w:ascii="Times New Roman" w:hAnsi="Times New Roman" w:cs="Times New Roman"/>
                <w:b/>
                <w:color w:val="auto"/>
                <w:kern w:val="0"/>
                <w:sz w:val="24"/>
                <w:szCs w:val="24"/>
                <w:highlight w:val="none"/>
                <w:lang w:eastAsia="zh-CN"/>
              </w:rPr>
              <w:t>（</w:t>
            </w:r>
            <w:r>
              <w:rPr>
                <w:rFonts w:hint="default" w:ascii="Times New Roman" w:hAnsi="Times New Roman" w:cs="Times New Roman"/>
                <w:b/>
                <w:color w:val="auto"/>
                <w:kern w:val="0"/>
                <w:sz w:val="24"/>
                <w:szCs w:val="24"/>
                <w:highlight w:val="none"/>
              </w:rPr>
              <w:t>2</w:t>
            </w:r>
            <w:r>
              <w:rPr>
                <w:rFonts w:hint="eastAsia" w:ascii="Times New Roman" w:hAnsi="Times New Roman" w:cs="Times New Roman"/>
                <w:b/>
                <w:color w:val="auto"/>
                <w:kern w:val="0"/>
                <w:sz w:val="24"/>
                <w:szCs w:val="24"/>
                <w:highlight w:val="none"/>
                <w:lang w:eastAsia="zh-CN"/>
              </w:rPr>
              <w:t>）</w:t>
            </w:r>
            <w:r>
              <w:rPr>
                <w:rFonts w:hint="default" w:ascii="Times New Roman" w:hAnsi="Times New Roman" w:cs="Times New Roman"/>
                <w:b/>
                <w:color w:val="auto"/>
                <w:kern w:val="0"/>
                <w:sz w:val="24"/>
                <w:szCs w:val="24"/>
                <w:highlight w:val="none"/>
              </w:rPr>
              <w:t>类比监测内容</w:t>
            </w:r>
          </w:p>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1</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 xml:space="preserve"> 监测因子</w:t>
            </w:r>
          </w:p>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等效声级，Leq</w:t>
            </w:r>
          </w:p>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2</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 xml:space="preserve"> 监测方法、监测布点</w:t>
            </w:r>
          </w:p>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监测方法：《声环境质量标准》</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GB3096-2008</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w:t>
            </w:r>
          </w:p>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监测布点：以拓兴线110kV输电线路106号塔～107号塔边导线弧垂最低位置对地投影点为起点，沿垂直于线路方向测试。</w:t>
            </w:r>
          </w:p>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3</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 xml:space="preserve"> 监测单位及监测时间</w:t>
            </w:r>
          </w:p>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监测单位：新疆德能辐射环境科技有限公司</w:t>
            </w:r>
          </w:p>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监测时间：2022年6月7日</w:t>
            </w:r>
          </w:p>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4</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 xml:space="preserve"> 监测仪器、监测条件</w:t>
            </w:r>
          </w:p>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监测仪器：AWA6288+多功能声级计</w:t>
            </w:r>
          </w:p>
          <w:p>
            <w:pPr>
              <w:keepNext w:val="0"/>
              <w:keepLines w:val="0"/>
              <w:widowControl/>
              <w:suppressLineNumbers w:val="0"/>
              <w:spacing w:before="0" w:beforeAutospacing="0" w:after="0" w:afterAutospacing="0"/>
              <w:ind w:left="0" w:right="0" w:firstLine="480" w:firstLineChars="200"/>
              <w:jc w:val="left"/>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4"/>
                <w:szCs w:val="24"/>
                <w:highlight w:val="none"/>
                <w:lang w:bidi="ar"/>
              </w:rPr>
              <w:t>监测条件：天气晴，温度28.5～31.5℃，相对湿度21%～22%，风速1.1m/s。</w:t>
            </w:r>
          </w:p>
          <w:p>
            <w:pPr>
              <w:keepNext w:val="0"/>
              <w:keepLines w:val="0"/>
              <w:widowControl/>
              <w:suppressLineNumbers w:val="0"/>
              <w:autoSpaceDE w:val="0"/>
              <w:spacing w:before="0" w:beforeAutospacing="0" w:after="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5</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 xml:space="preserve"> 监测结果</w:t>
            </w:r>
          </w:p>
          <w:p>
            <w:pPr>
              <w:keepNext w:val="0"/>
              <w:keepLines w:val="0"/>
              <w:widowControl/>
              <w:suppressLineNumbers w:val="0"/>
              <w:autoSpaceDE w:val="0"/>
              <w:spacing w:before="0" w:beforeAutospacing="0" w:after="0" w:afterAutospacing="0" w:line="360" w:lineRule="auto"/>
              <w:ind w:left="0" w:right="0" w:firstLine="482" w:firstLineChars="200"/>
              <w:jc w:val="center"/>
              <w:rPr>
                <w:rFonts w:hint="default" w:ascii="Times New Roman" w:hAnsi="Times New Roman" w:cs="Times New Roman"/>
                <w:b/>
                <w:color w:val="auto"/>
                <w:kern w:val="0"/>
                <w:sz w:val="24"/>
                <w:szCs w:val="24"/>
                <w:highlight w:val="none"/>
                <w:lang w:bidi="ar"/>
              </w:rPr>
            </w:pPr>
            <w:r>
              <w:rPr>
                <w:rFonts w:hint="default" w:ascii="Times New Roman" w:hAnsi="Times New Roman" w:cs="Times New Roman"/>
                <w:b/>
                <w:color w:val="auto"/>
                <w:kern w:val="0"/>
                <w:sz w:val="24"/>
                <w:szCs w:val="24"/>
                <w:highlight w:val="none"/>
                <w:lang w:bidi="ar"/>
              </w:rPr>
              <w:t>表4-4 类比项目输电线路噪声测试结果</w:t>
            </w:r>
          </w:p>
          <w:tbl>
            <w:tblPr>
              <w:tblStyle w:val="28"/>
              <w:tblW w:w="785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701"/>
              <w:gridCol w:w="4599"/>
              <w:gridCol w:w="1242"/>
              <w:gridCol w:w="1317"/>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5" w:hRule="atLeast"/>
                <w:jc w:val="center"/>
              </w:trPr>
              <w:tc>
                <w:tcPr>
                  <w:tcW w:w="701" w:type="dxa"/>
                  <w:vMerge w:val="restart"/>
                  <w:tcBorders>
                    <w:top w:val="single" w:color="000000" w:sz="12" w:space="0"/>
                    <w:left w:val="single" w:color="000000" w:sz="12"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序号</w:t>
                  </w:r>
                </w:p>
              </w:tc>
              <w:tc>
                <w:tcPr>
                  <w:tcW w:w="4599" w:type="dxa"/>
                  <w:vMerge w:val="restart"/>
                  <w:tcBorders>
                    <w:top w:val="single" w:color="000000" w:sz="12"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监测点</w:t>
                  </w:r>
                </w:p>
              </w:tc>
              <w:tc>
                <w:tcPr>
                  <w:tcW w:w="2559" w:type="dxa"/>
                  <w:gridSpan w:val="2"/>
                  <w:tcBorders>
                    <w:top w:val="single" w:color="000000" w:sz="12" w:space="0"/>
                    <w:left w:val="single" w:color="000000" w:sz="4" w:space="0"/>
                    <w:bottom w:val="single" w:color="000000" w:sz="4"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eastAsia" w:ascii="Times New Roman" w:hAnsi="Times New Roman" w:eastAsia="宋体" w:cs="Times New Roman"/>
                      <w:color w:val="auto"/>
                      <w:kern w:val="0"/>
                      <w:sz w:val="21"/>
                      <w:szCs w:val="21"/>
                      <w:highlight w:val="none"/>
                      <w:lang w:eastAsia="zh-CN"/>
                    </w:rPr>
                  </w:pPr>
                  <w:r>
                    <w:rPr>
                      <w:rFonts w:hint="default" w:ascii="Times New Roman" w:hAnsi="Times New Roman" w:cs="Times New Roman"/>
                      <w:color w:val="auto"/>
                      <w:kern w:val="0"/>
                      <w:sz w:val="21"/>
                      <w:szCs w:val="21"/>
                      <w:highlight w:val="none"/>
                      <w:lang w:eastAsia="en-US"/>
                    </w:rPr>
                    <w:t>等效声级dB</w:t>
                  </w:r>
                  <w:r>
                    <w:rPr>
                      <w:rFonts w:hint="eastAsia" w:ascii="Times New Roman" w:hAnsi="Times New Roman" w:cs="Times New Roman"/>
                      <w:color w:val="auto"/>
                      <w:kern w:val="0"/>
                      <w:sz w:val="21"/>
                      <w:szCs w:val="21"/>
                      <w:highlight w:val="none"/>
                      <w:lang w:eastAsia="zh-CN"/>
                    </w:rPr>
                    <w:t>（A）</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3" w:hRule="atLeast"/>
                <w:jc w:val="center"/>
              </w:trPr>
              <w:tc>
                <w:tcPr>
                  <w:tcW w:w="701" w:type="dxa"/>
                  <w:vMerge w:val="continue"/>
                  <w:tcBorders>
                    <w:top w:val="single" w:color="000000" w:sz="4" w:space="0"/>
                    <w:left w:val="single" w:color="000000" w:sz="12"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p>
              </w:tc>
              <w:tc>
                <w:tcPr>
                  <w:tcW w:w="4599" w:type="dxa"/>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p>
              </w:tc>
              <w:tc>
                <w:tcPr>
                  <w:tcW w:w="124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昼间</w:t>
                  </w:r>
                </w:p>
              </w:tc>
              <w:tc>
                <w:tcPr>
                  <w:tcW w:w="1317"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夜间</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3" w:hRule="atLeast"/>
                <w:jc w:val="center"/>
              </w:trPr>
              <w:tc>
                <w:tcPr>
                  <w:tcW w:w="701"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1</w:t>
                  </w:r>
                </w:p>
              </w:tc>
              <w:tc>
                <w:tcPr>
                  <w:tcW w:w="459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拓兴110kV线路中相导线对地投影处</w:t>
                  </w:r>
                </w:p>
              </w:tc>
              <w:tc>
                <w:tcPr>
                  <w:tcW w:w="124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41.0</w:t>
                  </w:r>
                </w:p>
              </w:tc>
              <w:tc>
                <w:tcPr>
                  <w:tcW w:w="1317"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38.0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253" w:hRule="atLeast"/>
                <w:jc w:val="center"/>
              </w:trPr>
              <w:tc>
                <w:tcPr>
                  <w:tcW w:w="701"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2</w:t>
                  </w:r>
                </w:p>
              </w:tc>
              <w:tc>
                <w:tcPr>
                  <w:tcW w:w="459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拓兴110kV线路边导线对地投影0m处</w:t>
                  </w:r>
                </w:p>
              </w:tc>
              <w:tc>
                <w:tcPr>
                  <w:tcW w:w="124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40.8</w:t>
                  </w:r>
                </w:p>
              </w:tc>
              <w:tc>
                <w:tcPr>
                  <w:tcW w:w="1317"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38.8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3" w:hRule="atLeast"/>
                <w:jc w:val="center"/>
              </w:trPr>
              <w:tc>
                <w:tcPr>
                  <w:tcW w:w="701"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3</w:t>
                  </w:r>
                </w:p>
              </w:tc>
              <w:tc>
                <w:tcPr>
                  <w:tcW w:w="459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拓兴110kV线路边导线投影点5m处</w:t>
                  </w:r>
                </w:p>
              </w:tc>
              <w:tc>
                <w:tcPr>
                  <w:tcW w:w="124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40.8</w:t>
                  </w:r>
                </w:p>
              </w:tc>
              <w:tc>
                <w:tcPr>
                  <w:tcW w:w="1317"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37.9</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3" w:hRule="atLeast"/>
                <w:jc w:val="center"/>
              </w:trPr>
              <w:tc>
                <w:tcPr>
                  <w:tcW w:w="701"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4</w:t>
                  </w:r>
                </w:p>
              </w:tc>
              <w:tc>
                <w:tcPr>
                  <w:tcW w:w="459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拓兴110kV线路边导线投影点10m处</w:t>
                  </w:r>
                </w:p>
              </w:tc>
              <w:tc>
                <w:tcPr>
                  <w:tcW w:w="124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40.5</w:t>
                  </w:r>
                </w:p>
              </w:tc>
              <w:tc>
                <w:tcPr>
                  <w:tcW w:w="1317"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37.6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3" w:hRule="atLeast"/>
                <w:jc w:val="center"/>
              </w:trPr>
              <w:tc>
                <w:tcPr>
                  <w:tcW w:w="701"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5</w:t>
                  </w:r>
                </w:p>
              </w:tc>
              <w:tc>
                <w:tcPr>
                  <w:tcW w:w="459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拓兴110kV线路边导线投影点15m处</w:t>
                  </w:r>
                </w:p>
              </w:tc>
              <w:tc>
                <w:tcPr>
                  <w:tcW w:w="124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40.9</w:t>
                  </w:r>
                </w:p>
              </w:tc>
              <w:tc>
                <w:tcPr>
                  <w:tcW w:w="1317"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38.6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3" w:hRule="atLeast"/>
                <w:jc w:val="center"/>
              </w:trPr>
              <w:tc>
                <w:tcPr>
                  <w:tcW w:w="701"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6</w:t>
                  </w:r>
                </w:p>
              </w:tc>
              <w:tc>
                <w:tcPr>
                  <w:tcW w:w="459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拓兴110kV线路边导线投影点20m处</w:t>
                  </w:r>
                </w:p>
              </w:tc>
              <w:tc>
                <w:tcPr>
                  <w:tcW w:w="124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40.4</w:t>
                  </w:r>
                </w:p>
              </w:tc>
              <w:tc>
                <w:tcPr>
                  <w:tcW w:w="1317"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38.1</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3" w:hRule="atLeast"/>
                <w:jc w:val="center"/>
              </w:trPr>
              <w:tc>
                <w:tcPr>
                  <w:tcW w:w="701"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7</w:t>
                  </w:r>
                </w:p>
              </w:tc>
              <w:tc>
                <w:tcPr>
                  <w:tcW w:w="459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拓兴110kV线路边导线投影点25m处</w:t>
                  </w:r>
                </w:p>
              </w:tc>
              <w:tc>
                <w:tcPr>
                  <w:tcW w:w="124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40.3</w:t>
                  </w:r>
                </w:p>
              </w:tc>
              <w:tc>
                <w:tcPr>
                  <w:tcW w:w="1317"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37.5</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3" w:hRule="atLeast"/>
                <w:jc w:val="center"/>
              </w:trPr>
              <w:tc>
                <w:tcPr>
                  <w:tcW w:w="701"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8</w:t>
                  </w:r>
                </w:p>
              </w:tc>
              <w:tc>
                <w:tcPr>
                  <w:tcW w:w="459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拓兴110kV线路边导线投影点30m处</w:t>
                  </w:r>
                </w:p>
              </w:tc>
              <w:tc>
                <w:tcPr>
                  <w:tcW w:w="124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40.1</w:t>
                  </w:r>
                </w:p>
              </w:tc>
              <w:tc>
                <w:tcPr>
                  <w:tcW w:w="1317"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37.8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3" w:hRule="atLeast"/>
                <w:jc w:val="center"/>
              </w:trPr>
              <w:tc>
                <w:tcPr>
                  <w:tcW w:w="701"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9</w:t>
                  </w:r>
                </w:p>
              </w:tc>
              <w:tc>
                <w:tcPr>
                  <w:tcW w:w="459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拓兴110kV线路边导线投影点35m处</w:t>
                  </w:r>
                </w:p>
              </w:tc>
              <w:tc>
                <w:tcPr>
                  <w:tcW w:w="124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40.5</w:t>
                  </w:r>
                </w:p>
              </w:tc>
              <w:tc>
                <w:tcPr>
                  <w:tcW w:w="1317"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38.2</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253" w:hRule="atLeast"/>
                <w:jc w:val="center"/>
              </w:trPr>
              <w:tc>
                <w:tcPr>
                  <w:tcW w:w="701"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10</w:t>
                  </w:r>
                </w:p>
              </w:tc>
              <w:tc>
                <w:tcPr>
                  <w:tcW w:w="459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拓兴110kV线路边导线投影点40m处</w:t>
                  </w:r>
                </w:p>
              </w:tc>
              <w:tc>
                <w:tcPr>
                  <w:tcW w:w="124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40.6</w:t>
                  </w:r>
                </w:p>
              </w:tc>
              <w:tc>
                <w:tcPr>
                  <w:tcW w:w="1317"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37.8</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3" w:hRule="atLeast"/>
                <w:jc w:val="center"/>
              </w:trPr>
              <w:tc>
                <w:tcPr>
                  <w:tcW w:w="701" w:type="dxa"/>
                  <w:tcBorders>
                    <w:top w:val="single" w:color="000000" w:sz="4" w:space="0"/>
                    <w:left w:val="single" w:color="000000" w:sz="12"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11</w:t>
                  </w:r>
                </w:p>
              </w:tc>
              <w:tc>
                <w:tcPr>
                  <w:tcW w:w="4599"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拓兴110kV线路边导线投影点45m处</w:t>
                  </w:r>
                </w:p>
              </w:tc>
              <w:tc>
                <w:tcPr>
                  <w:tcW w:w="1242" w:type="dxa"/>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40.6</w:t>
                  </w:r>
                </w:p>
              </w:tc>
              <w:tc>
                <w:tcPr>
                  <w:tcW w:w="1317" w:type="dxa"/>
                  <w:tcBorders>
                    <w:top w:val="single" w:color="000000" w:sz="4" w:space="0"/>
                    <w:left w:val="single" w:color="000000" w:sz="4" w:space="0"/>
                    <w:bottom w:val="single" w:color="000000" w:sz="4"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37.6</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7" w:hRule="atLeast"/>
                <w:jc w:val="center"/>
              </w:trPr>
              <w:tc>
                <w:tcPr>
                  <w:tcW w:w="701" w:type="dxa"/>
                  <w:tcBorders>
                    <w:top w:val="single" w:color="000000" w:sz="4" w:space="0"/>
                    <w:left w:val="single" w:color="000000" w:sz="12" w:space="0"/>
                    <w:bottom w:val="single" w:color="000000" w:sz="12"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12</w:t>
                  </w:r>
                </w:p>
              </w:tc>
              <w:tc>
                <w:tcPr>
                  <w:tcW w:w="4599" w:type="dxa"/>
                  <w:tcBorders>
                    <w:top w:val="single" w:color="000000" w:sz="4" w:space="0"/>
                    <w:left w:val="single" w:color="000000" w:sz="4" w:space="0"/>
                    <w:bottom w:val="single" w:color="000000" w:sz="12"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拓兴110kV线路边导线投影点50m处</w:t>
                  </w:r>
                </w:p>
              </w:tc>
              <w:tc>
                <w:tcPr>
                  <w:tcW w:w="1242" w:type="dxa"/>
                  <w:tcBorders>
                    <w:top w:val="single" w:color="000000" w:sz="4" w:space="0"/>
                    <w:left w:val="single" w:color="000000" w:sz="4" w:space="0"/>
                    <w:bottom w:val="single" w:color="000000" w:sz="12" w:space="0"/>
                    <w:right w:val="single" w:color="000000"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40.5</w:t>
                  </w:r>
                </w:p>
              </w:tc>
              <w:tc>
                <w:tcPr>
                  <w:tcW w:w="1317" w:type="dxa"/>
                  <w:tcBorders>
                    <w:top w:val="single" w:color="000000" w:sz="4" w:space="0"/>
                    <w:left w:val="single" w:color="000000" w:sz="4" w:space="0"/>
                    <w:bottom w:val="single" w:color="000000" w:sz="12" w:space="0"/>
                    <w:right w:val="single" w:color="000000" w:sz="12"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eastAsia="en-US"/>
                    </w:rPr>
                  </w:pPr>
                  <w:r>
                    <w:rPr>
                      <w:rFonts w:hint="default" w:ascii="Times New Roman" w:hAnsi="Times New Roman" w:cs="Times New Roman"/>
                      <w:color w:val="auto"/>
                      <w:kern w:val="0"/>
                      <w:sz w:val="21"/>
                      <w:szCs w:val="21"/>
                      <w:highlight w:val="none"/>
                      <w:lang w:eastAsia="en-US"/>
                    </w:rPr>
                    <w:t>37.4</w:t>
                  </w:r>
                </w:p>
              </w:tc>
            </w:tr>
          </w:tbl>
          <w:p>
            <w:pPr>
              <w:keepNext w:val="0"/>
              <w:keepLines w:val="0"/>
              <w:widowControl/>
              <w:suppressLineNumbers w:val="0"/>
              <w:adjustRightInd w:val="0"/>
              <w:snapToGrid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rPr>
              <w:t>线路声环境影响类比分析：</w:t>
            </w:r>
          </w:p>
          <w:p>
            <w:pPr>
              <w:keepNext w:val="0"/>
              <w:keepLines w:val="0"/>
              <w:widowControl/>
              <w:suppressLineNumbers w:val="0"/>
              <w:adjustRightInd w:val="0"/>
              <w:snapToGrid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lang w:val="en-US" w:eastAsia="zh-CN"/>
              </w:rPr>
            </w:pPr>
            <w:r>
              <w:rPr>
                <w:rFonts w:hint="default" w:ascii="Times New Roman" w:hAnsi="Times New Roman" w:cs="Times New Roman"/>
                <w:color w:val="auto"/>
                <w:kern w:val="0"/>
                <w:sz w:val="24"/>
                <w:szCs w:val="24"/>
                <w:highlight w:val="none"/>
              </w:rPr>
              <w:t>由类比监测结果可知，运行状态下110kV拓兴线线路弧垂中心下方离地面1.2m高度处的昼间噪声在40.1~41dB</w:t>
            </w:r>
            <w:r>
              <w:rPr>
                <w:rFonts w:hint="eastAsia" w:ascii="Times New Roman" w:hAnsi="Times New Roman" w:cs="Times New Roman"/>
                <w:color w:val="auto"/>
                <w:kern w:val="0"/>
                <w:sz w:val="24"/>
                <w:szCs w:val="24"/>
                <w:highlight w:val="none"/>
                <w:lang w:eastAsia="zh-CN"/>
              </w:rPr>
              <w:t>（</w:t>
            </w:r>
            <w:r>
              <w:rPr>
                <w:rFonts w:hint="default" w:ascii="Times New Roman" w:hAnsi="Times New Roman" w:cs="Times New Roman"/>
                <w:color w:val="auto"/>
                <w:kern w:val="0"/>
                <w:sz w:val="24"/>
                <w:szCs w:val="24"/>
                <w:highlight w:val="none"/>
              </w:rPr>
              <w:t>A），夜间在37.4~38.8dB</w:t>
            </w:r>
            <w:r>
              <w:rPr>
                <w:rFonts w:hint="eastAsia" w:ascii="Times New Roman" w:hAnsi="Times New Roman" w:cs="Times New Roman"/>
                <w:color w:val="auto"/>
                <w:kern w:val="0"/>
                <w:sz w:val="24"/>
                <w:szCs w:val="24"/>
                <w:highlight w:val="none"/>
                <w:lang w:eastAsia="zh-CN"/>
              </w:rPr>
              <w:t>（</w:t>
            </w:r>
            <w:r>
              <w:rPr>
                <w:rFonts w:hint="default" w:ascii="Times New Roman" w:hAnsi="Times New Roman" w:cs="Times New Roman"/>
                <w:color w:val="auto"/>
                <w:kern w:val="0"/>
                <w:sz w:val="24"/>
                <w:szCs w:val="24"/>
                <w:highlight w:val="none"/>
              </w:rPr>
              <w:t>A），均满足《声环境质量标准》（GB3096-2008）中2类</w:t>
            </w:r>
            <w:r>
              <w:rPr>
                <w:rFonts w:hint="eastAsia" w:ascii="Times New Roman" w:hAnsi="Times New Roman" w:cs="Times New Roman"/>
                <w:color w:val="auto"/>
                <w:kern w:val="0"/>
                <w:sz w:val="24"/>
                <w:szCs w:val="24"/>
                <w:highlight w:val="none"/>
                <w:lang w:eastAsia="zh-CN"/>
              </w:rPr>
              <w:t>、</w:t>
            </w:r>
            <w:r>
              <w:rPr>
                <w:rFonts w:hint="eastAsia" w:ascii="Times New Roman" w:hAnsi="Times New Roman" w:cs="Times New Roman"/>
                <w:color w:val="auto"/>
                <w:kern w:val="0"/>
                <w:sz w:val="24"/>
                <w:szCs w:val="24"/>
                <w:highlight w:val="none"/>
                <w:lang w:val="en-US" w:eastAsia="zh-CN"/>
              </w:rPr>
              <w:t>3类</w:t>
            </w:r>
            <w:r>
              <w:rPr>
                <w:rFonts w:hint="default" w:ascii="Times New Roman" w:hAnsi="Times New Roman" w:cs="Times New Roman"/>
                <w:color w:val="auto"/>
                <w:kern w:val="0"/>
                <w:sz w:val="24"/>
                <w:szCs w:val="24"/>
                <w:highlight w:val="none"/>
              </w:rPr>
              <w:t>标准（昼间60dB</w:t>
            </w:r>
            <w:r>
              <w:rPr>
                <w:rFonts w:hint="eastAsia" w:ascii="Times New Roman" w:hAnsi="Times New Roman" w:cs="Times New Roman"/>
                <w:color w:val="auto"/>
                <w:kern w:val="0"/>
                <w:sz w:val="24"/>
                <w:szCs w:val="24"/>
                <w:highlight w:val="none"/>
                <w:lang w:eastAsia="zh-CN"/>
              </w:rPr>
              <w:t>（</w:t>
            </w:r>
            <w:r>
              <w:rPr>
                <w:rFonts w:hint="default" w:ascii="Times New Roman" w:hAnsi="Times New Roman" w:cs="Times New Roman"/>
                <w:color w:val="auto"/>
                <w:kern w:val="0"/>
                <w:sz w:val="24"/>
                <w:szCs w:val="24"/>
                <w:highlight w:val="none"/>
              </w:rPr>
              <w:t>A）、夜间50dB</w:t>
            </w:r>
            <w:r>
              <w:rPr>
                <w:rFonts w:hint="eastAsia" w:ascii="Times New Roman" w:hAnsi="Times New Roman" w:cs="Times New Roman"/>
                <w:color w:val="auto"/>
                <w:kern w:val="0"/>
                <w:sz w:val="24"/>
                <w:szCs w:val="24"/>
                <w:highlight w:val="none"/>
                <w:lang w:eastAsia="zh-CN"/>
              </w:rPr>
              <w:t>（</w:t>
            </w:r>
            <w:r>
              <w:rPr>
                <w:rFonts w:hint="default" w:ascii="Times New Roman" w:hAnsi="Times New Roman" w:cs="Times New Roman"/>
                <w:color w:val="auto"/>
                <w:kern w:val="0"/>
                <w:sz w:val="24"/>
                <w:szCs w:val="24"/>
                <w:highlight w:val="none"/>
              </w:rPr>
              <w:t>A））</w:t>
            </w:r>
            <w:r>
              <w:rPr>
                <w:rFonts w:hint="eastAsia" w:ascii="Times New Roman" w:hAnsi="Times New Roman" w:cs="Times New Roman"/>
                <w:color w:val="auto"/>
                <w:kern w:val="0"/>
                <w:sz w:val="24"/>
                <w:szCs w:val="24"/>
                <w:highlight w:val="none"/>
                <w:lang w:eastAsia="zh-CN"/>
              </w:rPr>
              <w:t>、（昼间6</w:t>
            </w:r>
            <w:r>
              <w:rPr>
                <w:rFonts w:hint="eastAsia" w:ascii="Times New Roman" w:hAnsi="Times New Roman" w:cs="Times New Roman"/>
                <w:color w:val="auto"/>
                <w:kern w:val="0"/>
                <w:sz w:val="24"/>
                <w:szCs w:val="24"/>
                <w:highlight w:val="none"/>
                <w:lang w:val="en-US" w:eastAsia="zh-CN"/>
              </w:rPr>
              <w:t>5</w:t>
            </w:r>
            <w:r>
              <w:rPr>
                <w:rFonts w:hint="eastAsia" w:ascii="Times New Roman" w:hAnsi="Times New Roman" w:cs="Times New Roman"/>
                <w:color w:val="auto"/>
                <w:kern w:val="0"/>
                <w:sz w:val="24"/>
                <w:szCs w:val="24"/>
                <w:highlight w:val="none"/>
                <w:lang w:eastAsia="zh-CN"/>
              </w:rPr>
              <w:t>dB（A）、夜间5</w:t>
            </w:r>
            <w:r>
              <w:rPr>
                <w:rFonts w:hint="eastAsia" w:ascii="Times New Roman" w:hAnsi="Times New Roman" w:cs="Times New Roman"/>
                <w:color w:val="auto"/>
                <w:kern w:val="0"/>
                <w:sz w:val="24"/>
                <w:szCs w:val="24"/>
                <w:highlight w:val="none"/>
                <w:lang w:val="en-US" w:eastAsia="zh-CN"/>
              </w:rPr>
              <w:t>5</w:t>
            </w:r>
            <w:r>
              <w:rPr>
                <w:rFonts w:hint="eastAsia" w:ascii="Times New Roman" w:hAnsi="Times New Roman" w:cs="Times New Roman"/>
                <w:color w:val="auto"/>
                <w:kern w:val="0"/>
                <w:sz w:val="24"/>
                <w:szCs w:val="24"/>
                <w:highlight w:val="none"/>
                <w:lang w:eastAsia="zh-CN"/>
              </w:rPr>
              <w:t>dB（A））</w:t>
            </w:r>
            <w:r>
              <w:rPr>
                <w:rFonts w:hint="default" w:ascii="Times New Roman" w:hAnsi="Times New Roman" w:cs="Times New Roman"/>
                <w:color w:val="auto"/>
                <w:kern w:val="0"/>
                <w:sz w:val="24"/>
                <w:szCs w:val="24"/>
                <w:highlight w:val="none"/>
              </w:rPr>
              <w:t>。线路两侧噪声水平与线路的距离变化差异不大，即110kV输电线路电晕噪声很小，对声环境的影响很小</w:t>
            </w:r>
            <w:r>
              <w:rPr>
                <w:rFonts w:hint="eastAsia" w:ascii="Times New Roman" w:hAnsi="Times New Roman" w:cs="Times New Roman"/>
                <w:color w:val="auto"/>
                <w:kern w:val="0"/>
                <w:sz w:val="24"/>
                <w:szCs w:val="24"/>
                <w:highlight w:val="none"/>
                <w:lang w:eastAsia="zh-CN"/>
              </w:rPr>
              <w:t>，</w:t>
            </w:r>
            <w:r>
              <w:rPr>
                <w:rFonts w:hint="default" w:ascii="Times New Roman" w:hAnsi="Times New Roman" w:cs="Times New Roman"/>
                <w:color w:val="auto"/>
                <w:kern w:val="0"/>
                <w:sz w:val="24"/>
                <w:szCs w:val="24"/>
                <w:highlight w:val="none"/>
              </w:rPr>
              <w:t>。另根据以往大量运行线路噪声监测结果</w:t>
            </w:r>
            <w:r>
              <w:rPr>
                <w:rFonts w:hint="eastAsia" w:ascii="Times New Roman" w:hAnsi="Times New Roman" w:cs="Times New Roman"/>
                <w:color w:val="auto"/>
                <w:kern w:val="0"/>
                <w:sz w:val="24"/>
                <w:szCs w:val="24"/>
                <w:highlight w:val="none"/>
                <w:lang w:val="en-US" w:eastAsia="zh-CN"/>
              </w:rPr>
              <w:t>分析</w:t>
            </w:r>
            <w:r>
              <w:rPr>
                <w:rFonts w:hint="default" w:ascii="Times New Roman" w:hAnsi="Times New Roman" w:cs="Times New Roman"/>
                <w:color w:val="auto"/>
                <w:kern w:val="0"/>
                <w:sz w:val="24"/>
                <w:szCs w:val="24"/>
                <w:highlight w:val="none"/>
              </w:rPr>
              <w:t>，110kV线路架空线路产生的电磁噪声比较小，</w:t>
            </w:r>
            <w:r>
              <w:rPr>
                <w:rFonts w:hint="eastAsia" w:ascii="Times New Roman" w:hAnsi="Times New Roman" w:cs="Times New Roman"/>
                <w:color w:val="auto"/>
                <w:kern w:val="0"/>
                <w:sz w:val="24"/>
                <w:szCs w:val="24"/>
                <w:highlight w:val="none"/>
                <w:lang w:val="en-US" w:eastAsia="zh-CN"/>
              </w:rPr>
              <w:t>噪声监测值包含测点处背景值，实际线路噪声实际贡献较小，类比预测结果偏保守。</w:t>
            </w:r>
          </w:p>
          <w:p>
            <w:pPr>
              <w:keepNext w:val="0"/>
              <w:keepLines w:val="0"/>
              <w:widowControl/>
              <w:suppressLineNumbers w:val="0"/>
              <w:adjustRightInd w:val="0"/>
              <w:snapToGrid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rPr>
              <w:t>声环境影响保护目标处分析：</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4"/>
                <w:szCs w:val="24"/>
                <w:highlight w:val="none"/>
              </w:rPr>
              <w:t>评价本项目单回线路沿线有1</w:t>
            </w:r>
            <w:r>
              <w:rPr>
                <w:rFonts w:hint="eastAsia" w:ascii="Times New Roman" w:hAnsi="Times New Roman" w:cs="Times New Roman"/>
                <w:color w:val="auto"/>
                <w:kern w:val="0"/>
                <w:sz w:val="24"/>
                <w:szCs w:val="24"/>
                <w:highlight w:val="none"/>
                <w:lang w:val="en-US" w:eastAsia="zh-CN"/>
              </w:rPr>
              <w:t>1</w:t>
            </w:r>
            <w:r>
              <w:rPr>
                <w:rFonts w:hint="default" w:ascii="Times New Roman" w:hAnsi="Times New Roman" w:cs="Times New Roman"/>
                <w:color w:val="auto"/>
                <w:kern w:val="0"/>
                <w:sz w:val="24"/>
                <w:szCs w:val="24"/>
                <w:highlight w:val="none"/>
              </w:rPr>
              <w:t>处声环境保护目标，根据上表的类比监测结果</w:t>
            </w:r>
            <w:r>
              <w:rPr>
                <w:rFonts w:hint="eastAsia" w:ascii="Times New Roman" w:hAnsi="Times New Roman" w:cs="Times New Roman"/>
                <w:color w:val="auto"/>
                <w:kern w:val="0"/>
                <w:sz w:val="24"/>
                <w:szCs w:val="24"/>
                <w:highlight w:val="none"/>
                <w:lang w:val="en-US" w:eastAsia="zh-CN"/>
              </w:rPr>
              <w:t>可知</w:t>
            </w:r>
            <w:r>
              <w:rPr>
                <w:rFonts w:hint="default" w:ascii="Times New Roman" w:hAnsi="Times New Roman" w:cs="Times New Roman"/>
                <w:color w:val="auto"/>
                <w:kern w:val="0"/>
                <w:sz w:val="24"/>
                <w:szCs w:val="24"/>
                <w:highlight w:val="none"/>
              </w:rPr>
              <w:t>，沿线声环境可满足《声环境质量标准》（GB3096-2008）中相应的2类标准。</w:t>
            </w:r>
          </w:p>
          <w:p>
            <w:pPr>
              <w:keepNext w:val="0"/>
              <w:keepLines w:val="0"/>
              <w:widowControl/>
              <w:suppressLineNumbers w:val="0"/>
              <w:tabs>
                <w:tab w:val="left" w:pos="8814"/>
              </w:tabs>
              <w:spacing w:before="0" w:beforeLines="0" w:beforeAutospacing="0" w:after="0" w:afterLines="0" w:afterAutospacing="0" w:line="360" w:lineRule="auto"/>
              <w:ind w:left="0" w:right="0"/>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rPr>
              <w:t>2.1.2双回线路预测与评价</w:t>
            </w:r>
          </w:p>
          <w:p>
            <w:pPr>
              <w:keepNext w:val="0"/>
              <w:keepLines w:val="0"/>
              <w:widowControl/>
              <w:suppressLineNumbers w:val="0"/>
              <w:tabs>
                <w:tab w:val="left" w:pos="8814"/>
              </w:tabs>
              <w:spacing w:before="0" w:beforeAutospacing="0" w:after="0" w:afterAutospacing="0" w:line="360" w:lineRule="auto"/>
              <w:ind w:left="0" w:right="0"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本项目设有双回路挂线塔，为了考虑最不利条件，选择110kV双回线路</w:t>
            </w:r>
            <w:r>
              <w:rPr>
                <w:rFonts w:hint="eastAsia" w:ascii="Times New Roman" w:hAnsi="Times New Roman" w:cs="Times New Roman"/>
                <w:color w:val="auto"/>
                <w:sz w:val="24"/>
                <w:szCs w:val="24"/>
                <w:highlight w:val="none"/>
                <w:lang w:eastAsia="zh-CN"/>
              </w:rPr>
              <w:t>110kV 思马Ⅰ回、Ⅱ回线路</w:t>
            </w:r>
            <w:r>
              <w:rPr>
                <w:rFonts w:hint="default" w:ascii="Times New Roman" w:hAnsi="Times New Roman" w:cs="Times New Roman"/>
                <w:color w:val="auto"/>
                <w:sz w:val="24"/>
                <w:szCs w:val="24"/>
                <w:highlight w:val="none"/>
              </w:rPr>
              <w:t>进行类比分析。</w:t>
            </w:r>
          </w:p>
          <w:p>
            <w:pPr>
              <w:keepNext w:val="0"/>
              <w:keepLines w:val="0"/>
              <w:widowControl/>
              <w:suppressLineNumbers w:val="0"/>
              <w:tabs>
                <w:tab w:val="left" w:pos="8814"/>
              </w:tabs>
              <w:spacing w:before="0" w:beforeAutospacing="0" w:after="0" w:afterAutospacing="0" w:line="360" w:lineRule="auto"/>
              <w:ind w:left="0" w:right="0" w:firstLine="482" w:firstLineChars="200"/>
              <w:rPr>
                <w:rFonts w:hint="default" w:ascii="Times New Roman" w:hAnsi="Times New Roman" w:cs="Times New Roman"/>
                <w:color w:val="auto"/>
                <w:sz w:val="24"/>
                <w:szCs w:val="24"/>
                <w:highlight w:val="none"/>
              </w:rPr>
            </w:pPr>
            <w:r>
              <w:rPr>
                <w:rFonts w:hint="eastAsia" w:ascii="Times New Roman" w:hAnsi="Times New Roman" w:cs="Times New Roman"/>
                <w:b/>
                <w:color w:val="auto"/>
                <w:sz w:val="24"/>
                <w:szCs w:val="24"/>
                <w:highlight w:val="none"/>
                <w:lang w:eastAsia="zh-CN"/>
              </w:rPr>
              <w:t>（</w:t>
            </w:r>
            <w:r>
              <w:rPr>
                <w:rFonts w:hint="default" w:ascii="Times New Roman" w:hAnsi="Times New Roman" w:cs="Times New Roman"/>
                <w:b/>
                <w:color w:val="auto"/>
                <w:sz w:val="24"/>
                <w:szCs w:val="24"/>
                <w:highlight w:val="none"/>
              </w:rPr>
              <w:t>1</w:t>
            </w:r>
            <w:r>
              <w:rPr>
                <w:rFonts w:hint="eastAsia" w:ascii="Times New Roman" w:hAnsi="Times New Roman" w:cs="Times New Roman"/>
                <w:b/>
                <w:color w:val="auto"/>
                <w:sz w:val="24"/>
                <w:szCs w:val="24"/>
                <w:highlight w:val="none"/>
                <w:lang w:eastAsia="zh-CN"/>
              </w:rPr>
              <w:t>）</w:t>
            </w:r>
            <w:r>
              <w:rPr>
                <w:rFonts w:hint="default" w:ascii="Times New Roman" w:hAnsi="Times New Roman" w:cs="Times New Roman"/>
                <w:b/>
                <w:color w:val="auto"/>
                <w:sz w:val="24"/>
                <w:szCs w:val="24"/>
                <w:highlight w:val="none"/>
              </w:rPr>
              <w:t>类比可行性</w:t>
            </w:r>
          </w:p>
          <w:p>
            <w:pPr>
              <w:keepNext w:val="0"/>
              <w:keepLines w:val="0"/>
              <w:widowControl/>
              <w:suppressLineNumbers w:val="0"/>
              <w:spacing w:before="0" w:beforeAutospacing="0" w:after="0" w:afterAutospacing="0" w:line="360" w:lineRule="auto"/>
              <w:ind w:left="0" w:right="0" w:firstLine="480" w:firstLineChars="200"/>
              <w:rPr>
                <w:rFonts w:hint="default" w:ascii="Times New Roman" w:hAnsi="Times New Roman" w:cs="Times New Roman"/>
                <w:b/>
                <w:color w:val="auto"/>
                <w:sz w:val="24"/>
                <w:szCs w:val="24"/>
                <w:highlight w:val="none"/>
              </w:rPr>
            </w:pPr>
            <w:r>
              <w:rPr>
                <w:rFonts w:hint="default" w:ascii="Times New Roman" w:hAnsi="Times New Roman" w:cs="Times New Roman"/>
                <w:color w:val="auto"/>
                <w:sz w:val="24"/>
                <w:szCs w:val="24"/>
                <w:highlight w:val="none"/>
                <w:lang w:bidi="ar"/>
              </w:rPr>
              <w:t xml:space="preserve">本次评价的双回线路架空线路类比分析采用已运行的110kV </w:t>
            </w:r>
            <w:r>
              <w:rPr>
                <w:rFonts w:hint="eastAsia" w:ascii="Times New Roman" w:hAnsi="Times New Roman" w:cs="Times New Roman"/>
                <w:color w:val="auto"/>
                <w:sz w:val="24"/>
                <w:szCs w:val="24"/>
                <w:highlight w:val="none"/>
                <w:lang w:eastAsia="zh-CN" w:bidi="ar"/>
              </w:rPr>
              <w:t>110kV 思马Ⅰ回、Ⅱ回线路</w:t>
            </w:r>
            <w:r>
              <w:rPr>
                <w:rFonts w:hint="default" w:ascii="Times New Roman" w:hAnsi="Times New Roman" w:cs="Times New Roman"/>
                <w:color w:val="auto"/>
                <w:sz w:val="24"/>
                <w:szCs w:val="24"/>
                <w:highlight w:val="none"/>
                <w:lang w:bidi="ar"/>
              </w:rPr>
              <w:t>进行类比分析，类比线路与本工程线路主要技术参数对照，类比线路与本工程线路主要技术参数对照，见表4-</w:t>
            </w:r>
            <w:r>
              <w:rPr>
                <w:rFonts w:hint="eastAsia" w:ascii="Times New Roman" w:hAnsi="Times New Roman" w:cs="Times New Roman"/>
                <w:color w:val="auto"/>
                <w:sz w:val="24"/>
                <w:szCs w:val="24"/>
                <w:highlight w:val="none"/>
                <w:lang w:val="en-US" w:eastAsia="zh-CN" w:bidi="ar"/>
              </w:rPr>
              <w:t>6</w:t>
            </w:r>
            <w:r>
              <w:rPr>
                <w:rFonts w:hint="default" w:ascii="Times New Roman" w:hAnsi="Times New Roman" w:cs="Times New Roman"/>
                <w:color w:val="auto"/>
                <w:sz w:val="24"/>
                <w:szCs w:val="24"/>
                <w:highlight w:val="none"/>
                <w:lang w:bidi="ar"/>
              </w:rPr>
              <w:t>。110kV线路噪声类比监测报告见附件</w:t>
            </w:r>
            <w:r>
              <w:rPr>
                <w:rFonts w:hint="eastAsia" w:ascii="Times New Roman" w:hAnsi="Times New Roman" w:cs="Times New Roman"/>
                <w:color w:val="auto"/>
                <w:sz w:val="24"/>
                <w:szCs w:val="24"/>
                <w:highlight w:val="none"/>
                <w:lang w:val="en-US" w:eastAsia="zh-CN" w:bidi="ar"/>
              </w:rPr>
              <w:t>3</w:t>
            </w:r>
            <w:r>
              <w:rPr>
                <w:rFonts w:hint="default" w:ascii="Times New Roman" w:hAnsi="Times New Roman" w:cs="Times New Roman"/>
                <w:color w:val="auto"/>
                <w:sz w:val="24"/>
                <w:szCs w:val="24"/>
                <w:highlight w:val="none"/>
                <w:lang w:bidi="ar"/>
              </w:rPr>
              <w:t>。</w:t>
            </w:r>
          </w:p>
          <w:p>
            <w:pPr>
              <w:keepNext w:val="0"/>
              <w:keepLines w:val="0"/>
              <w:widowControl/>
              <w:suppressLineNumbers w:val="0"/>
              <w:spacing w:before="0" w:beforeAutospacing="0" w:after="0" w:afterAutospacing="0"/>
              <w:ind w:left="0" w:right="0" w:firstLine="482" w:firstLineChars="200"/>
              <w:jc w:val="center"/>
              <w:rPr>
                <w:rFonts w:hint="default" w:ascii="Times New Roman" w:hAnsi="Times New Roman" w:cs="Times New Roman"/>
                <w:b/>
                <w:color w:val="auto"/>
                <w:sz w:val="24"/>
                <w:szCs w:val="24"/>
                <w:highlight w:val="none"/>
              </w:rPr>
            </w:pPr>
            <w:r>
              <w:rPr>
                <w:rFonts w:hint="default" w:ascii="Times New Roman" w:hAnsi="Times New Roman" w:cs="Times New Roman"/>
                <w:b/>
                <w:color w:val="auto"/>
                <w:sz w:val="24"/>
                <w:szCs w:val="24"/>
                <w:highlight w:val="none"/>
                <w:lang w:bidi="ar"/>
              </w:rPr>
              <w:t>表4-</w:t>
            </w:r>
            <w:r>
              <w:rPr>
                <w:rFonts w:hint="eastAsia" w:ascii="Times New Roman" w:hAnsi="Times New Roman" w:cs="Times New Roman"/>
                <w:b/>
                <w:color w:val="auto"/>
                <w:sz w:val="24"/>
                <w:szCs w:val="24"/>
                <w:highlight w:val="none"/>
                <w:lang w:val="en-US" w:eastAsia="zh-CN" w:bidi="ar"/>
              </w:rPr>
              <w:t>6</w:t>
            </w:r>
            <w:r>
              <w:rPr>
                <w:rFonts w:hint="default" w:ascii="Times New Roman" w:hAnsi="Times New Roman" w:cs="Times New Roman"/>
                <w:b/>
                <w:color w:val="auto"/>
                <w:sz w:val="24"/>
                <w:szCs w:val="24"/>
                <w:highlight w:val="none"/>
                <w:lang w:bidi="ar"/>
              </w:rPr>
              <w:t xml:space="preserve"> 主要技术指标对照表</w:t>
            </w:r>
          </w:p>
          <w:tbl>
            <w:tblPr>
              <w:tblStyle w:val="28"/>
              <w:tblW w:w="817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3285"/>
              <w:gridCol w:w="337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3" w:type="dxa"/>
                  <w:tcBorders>
                    <w:top w:val="single" w:color="auto" w:sz="12"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b/>
                      <w:color w:val="auto"/>
                      <w:sz w:val="21"/>
                      <w:szCs w:val="21"/>
                      <w:highlight w:val="none"/>
                    </w:rPr>
                  </w:pPr>
                  <w:r>
                    <w:rPr>
                      <w:rFonts w:hint="default" w:ascii="Times New Roman" w:hAnsi="Times New Roman" w:cs="Times New Roman"/>
                      <w:b/>
                      <w:color w:val="auto"/>
                      <w:sz w:val="21"/>
                      <w:szCs w:val="21"/>
                      <w:highlight w:val="none"/>
                      <w:lang w:bidi="ar"/>
                    </w:rPr>
                    <w:t>主要指标</w:t>
                  </w:r>
                </w:p>
              </w:tc>
              <w:tc>
                <w:tcPr>
                  <w:tcW w:w="3285" w:type="dxa"/>
                  <w:tcBorders>
                    <w:top w:val="single" w:color="auto" w:sz="12"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b/>
                      <w:color w:val="auto"/>
                      <w:sz w:val="21"/>
                      <w:szCs w:val="21"/>
                      <w:highlight w:val="none"/>
                    </w:rPr>
                  </w:pPr>
                  <w:r>
                    <w:rPr>
                      <w:rFonts w:hint="default" w:ascii="Times New Roman" w:hAnsi="Times New Roman" w:cs="Times New Roman"/>
                      <w:color w:val="auto"/>
                      <w:sz w:val="21"/>
                      <w:szCs w:val="21"/>
                      <w:highlight w:val="none"/>
                      <w:lang w:val="en-US" w:eastAsia="zh-CN" w:bidi="ar"/>
                    </w:rPr>
                    <w:t>110kV 思马Ⅰ回、Ⅱ回线路</w:t>
                  </w:r>
                </w:p>
              </w:tc>
              <w:tc>
                <w:tcPr>
                  <w:tcW w:w="3371" w:type="dxa"/>
                  <w:tcBorders>
                    <w:top w:val="single" w:color="auto" w:sz="12"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110kV</w:t>
                  </w:r>
                  <w:r>
                    <w:rPr>
                      <w:rFonts w:hint="default" w:ascii="Times New Roman" w:hAnsi="Times New Roman" w:cs="Times New Roman"/>
                      <w:color w:val="auto"/>
                      <w:sz w:val="21"/>
                      <w:szCs w:val="21"/>
                      <w:highlight w:val="none"/>
                    </w:rPr>
                    <w:t>双回</w:t>
                  </w:r>
                  <w:r>
                    <w:rPr>
                      <w:rFonts w:hint="default" w:ascii="Times New Roman" w:hAnsi="Times New Roman" w:cs="Times New Roman"/>
                      <w:color w:val="auto"/>
                      <w:sz w:val="21"/>
                      <w:szCs w:val="21"/>
                      <w:highlight w:val="none"/>
                      <w:lang w:bidi="ar"/>
                    </w:rPr>
                    <w:t>路线路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3"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电压等级</w:t>
                  </w:r>
                </w:p>
              </w:tc>
              <w:tc>
                <w:tcPr>
                  <w:tcW w:w="32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110kV</w:t>
                  </w:r>
                </w:p>
              </w:tc>
              <w:tc>
                <w:tcPr>
                  <w:tcW w:w="3371"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110kV</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3"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架设方式及排列方式</w:t>
                  </w:r>
                </w:p>
              </w:tc>
              <w:tc>
                <w:tcPr>
                  <w:tcW w:w="32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架空/</w:t>
                  </w:r>
                  <w:r>
                    <w:rPr>
                      <w:rFonts w:hint="default" w:ascii="Times New Roman" w:hAnsi="Times New Roman" w:cs="Times New Roman"/>
                      <w:color w:val="auto"/>
                      <w:kern w:val="0"/>
                      <w:sz w:val="21"/>
                      <w:szCs w:val="21"/>
                      <w:highlight w:val="none"/>
                      <w:lang w:bidi="ar"/>
                    </w:rPr>
                    <w:t>上中下排列</w:t>
                  </w:r>
                </w:p>
              </w:tc>
              <w:tc>
                <w:tcPr>
                  <w:tcW w:w="3371"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架空/上中下排列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3"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导线型号</w:t>
                  </w:r>
                </w:p>
              </w:tc>
              <w:tc>
                <w:tcPr>
                  <w:tcW w:w="32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bidi="ar"/>
                    </w:rPr>
                    <w:t>JL/G1A-240/30</w:t>
                  </w:r>
                </w:p>
              </w:tc>
              <w:tc>
                <w:tcPr>
                  <w:tcW w:w="3371"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2×JL3/G1A-240/30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3"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eastAsia="宋体" w:cs="Times New Roman"/>
                      <w:color w:val="auto"/>
                      <w:sz w:val="21"/>
                      <w:szCs w:val="21"/>
                      <w:highlight w:val="none"/>
                      <w:lang w:val="en-US" w:eastAsia="zh-CN" w:bidi="ar"/>
                    </w:rPr>
                  </w:pPr>
                  <w:r>
                    <w:rPr>
                      <w:rFonts w:hint="eastAsia" w:ascii="Times New Roman" w:hAnsi="Times New Roman" w:cs="Times New Roman"/>
                      <w:color w:val="auto"/>
                      <w:sz w:val="21"/>
                      <w:szCs w:val="21"/>
                      <w:highlight w:val="none"/>
                      <w:lang w:eastAsia="zh-CN" w:bidi="ar"/>
                    </w:rPr>
                    <w:t>分裂</w:t>
                  </w:r>
                  <w:r>
                    <w:rPr>
                      <w:rFonts w:hint="eastAsia" w:ascii="Times New Roman" w:hAnsi="Times New Roman" w:cs="Times New Roman"/>
                      <w:color w:val="auto"/>
                      <w:sz w:val="21"/>
                      <w:szCs w:val="21"/>
                      <w:highlight w:val="none"/>
                      <w:lang w:val="en-US" w:eastAsia="zh-CN" w:bidi="ar"/>
                    </w:rPr>
                    <w:t>数</w:t>
                  </w:r>
                </w:p>
              </w:tc>
              <w:tc>
                <w:tcPr>
                  <w:tcW w:w="32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bidi="ar"/>
                    </w:rPr>
                  </w:pPr>
                  <w:r>
                    <w:rPr>
                      <w:rFonts w:hint="eastAsia" w:ascii="Times New Roman" w:hAnsi="Times New Roman" w:cs="Times New Roman"/>
                      <w:color w:val="auto"/>
                      <w:sz w:val="21"/>
                      <w:szCs w:val="21"/>
                      <w:highlight w:val="none"/>
                      <w:lang w:val="en-US" w:eastAsia="zh-CN" w:bidi="ar"/>
                    </w:rPr>
                    <w:t>1</w:t>
                  </w:r>
                </w:p>
              </w:tc>
              <w:tc>
                <w:tcPr>
                  <w:tcW w:w="3371"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eastAsia" w:ascii="Times New Roman" w:hAnsi="Times New Roman" w:eastAsia="宋体" w:cs="Times New Roman"/>
                      <w:color w:val="auto"/>
                      <w:sz w:val="21"/>
                      <w:szCs w:val="21"/>
                      <w:highlight w:val="none"/>
                      <w:lang w:val="en-US" w:eastAsia="zh-CN" w:bidi="ar"/>
                    </w:rPr>
                  </w:pPr>
                  <w:r>
                    <w:rPr>
                      <w:rFonts w:hint="eastAsia" w:ascii="Times New Roman" w:hAnsi="Times New Roman" w:cs="Times New Roman"/>
                      <w:color w:val="auto"/>
                      <w:sz w:val="21"/>
                      <w:szCs w:val="21"/>
                      <w:highlight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3"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导线外径</w:t>
                  </w:r>
                </w:p>
              </w:tc>
              <w:tc>
                <w:tcPr>
                  <w:tcW w:w="32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21.6mm</w:t>
                  </w:r>
                </w:p>
              </w:tc>
              <w:tc>
                <w:tcPr>
                  <w:tcW w:w="3371"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21.6mm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3"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架设类型</w:t>
                  </w:r>
                </w:p>
              </w:tc>
              <w:tc>
                <w:tcPr>
                  <w:tcW w:w="32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双回路架设</w:t>
                  </w:r>
                </w:p>
              </w:tc>
              <w:tc>
                <w:tcPr>
                  <w:tcW w:w="3371"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rPr>
                    <w:t>双回架设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3"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leftChars="0" w:right="0" w:rightChars="0"/>
                    <w:jc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架设高度</w:t>
                  </w:r>
                </w:p>
              </w:tc>
              <w:tc>
                <w:tcPr>
                  <w:tcW w:w="32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leftChars="0" w:right="0" w:rightChars="0"/>
                    <w:jc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9.5</w:t>
                  </w:r>
                </w:p>
              </w:tc>
              <w:tc>
                <w:tcPr>
                  <w:tcW w:w="3371"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lang w:val="en-US" w:eastAsia="zh-CN" w:bidi="ar-SA"/>
                    </w:rPr>
                  </w:pPr>
                  <w:r>
                    <w:rPr>
                      <w:rFonts w:hint="eastAsia" w:ascii="Times New Roman" w:hAnsi="Times New Roman" w:cs="Times New Roman"/>
                      <w:color w:val="auto"/>
                      <w:sz w:val="21"/>
                      <w:szCs w:val="21"/>
                      <w:highlight w:val="none"/>
                      <w:lang w:val="en-US" w:eastAsia="zh-CN"/>
                    </w:rPr>
                    <w:t>杆塔呼高18~36m，设计线高15~30m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3"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运行工况</w:t>
                  </w:r>
                </w:p>
              </w:tc>
              <w:tc>
                <w:tcPr>
                  <w:tcW w:w="32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val="en-US" w:eastAsia="zh-CN" w:bidi="ar"/>
                    </w:rPr>
                    <w:t>110kV思马Ⅰ线</w:t>
                  </w:r>
                  <w:r>
                    <w:rPr>
                      <w:rFonts w:hint="eastAsia" w:ascii="Times New Roman" w:hAnsi="Times New Roman" w:cs="Times New Roman"/>
                      <w:color w:val="auto"/>
                      <w:sz w:val="21"/>
                      <w:szCs w:val="21"/>
                      <w:highlight w:val="none"/>
                      <w:lang w:val="en-US" w:eastAsia="zh-CN" w:bidi="ar"/>
                    </w:rPr>
                    <w:t>运行工况：</w:t>
                  </w:r>
                  <w:r>
                    <w:rPr>
                      <w:rFonts w:hint="default" w:ascii="Times New Roman" w:hAnsi="Times New Roman" w:cs="Times New Roman"/>
                      <w:color w:val="auto"/>
                      <w:sz w:val="21"/>
                      <w:szCs w:val="21"/>
                      <w:highlight w:val="none"/>
                      <w:lang w:val="en-US" w:eastAsia="zh-CN" w:bidi="ar"/>
                    </w:rPr>
                    <w:t>116.9~117.5电压（kV）、6.8~7.4电流（A）、1.2~2.9有功功率（MW）、0.4~1.1无功功率（MVar）</w:t>
                  </w:r>
                  <w:r>
                    <w:rPr>
                      <w:rFonts w:hint="eastAsia" w:ascii="Times New Roman" w:hAnsi="Times New Roman" w:cs="Times New Roman"/>
                      <w:color w:val="auto"/>
                      <w:sz w:val="21"/>
                      <w:szCs w:val="21"/>
                      <w:highlight w:val="none"/>
                      <w:lang w:val="en-US" w:eastAsia="zh-CN" w:bidi="ar"/>
                    </w:rPr>
                    <w:t>；</w:t>
                  </w:r>
                  <w:r>
                    <w:rPr>
                      <w:rFonts w:hint="default" w:ascii="Times New Roman" w:hAnsi="Times New Roman" w:cs="Times New Roman"/>
                      <w:color w:val="auto"/>
                      <w:sz w:val="21"/>
                      <w:szCs w:val="21"/>
                      <w:highlight w:val="none"/>
                      <w:lang w:val="en-US" w:eastAsia="zh-CN" w:bidi="ar"/>
                    </w:rPr>
                    <w:t>110kV思马Ⅱ线运行工况</w:t>
                  </w:r>
                  <w:r>
                    <w:rPr>
                      <w:rFonts w:hint="eastAsia" w:ascii="Times New Roman" w:hAnsi="Times New Roman" w:cs="Times New Roman"/>
                      <w:color w:val="auto"/>
                      <w:sz w:val="21"/>
                      <w:szCs w:val="21"/>
                      <w:highlight w:val="none"/>
                      <w:lang w:val="en-US" w:eastAsia="zh-CN" w:bidi="ar"/>
                    </w:rPr>
                    <w:t>：</w:t>
                  </w:r>
                  <w:r>
                    <w:rPr>
                      <w:rFonts w:hint="default" w:ascii="Times New Roman" w:hAnsi="Times New Roman" w:cs="Times New Roman"/>
                      <w:color w:val="auto"/>
                      <w:sz w:val="21"/>
                      <w:szCs w:val="21"/>
                      <w:highlight w:val="none"/>
                      <w:lang w:val="en-US" w:eastAsia="zh-CN" w:bidi="ar"/>
                    </w:rPr>
                    <w:t>116.8~117.3电压（kV）、7.8~8.2电流（A）、1.5~2.7有功功率（MW）、0.6~1.5无功功率（MVar）</w:t>
                  </w:r>
                </w:p>
              </w:tc>
              <w:tc>
                <w:tcPr>
                  <w:tcW w:w="3371"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sz w:val="21"/>
                      <w:szCs w:val="21"/>
                      <w:highlight w:val="none"/>
                    </w:rPr>
                  </w:pPr>
                  <w:r>
                    <w:rPr>
                      <w:rFonts w:hint="default" w:ascii="Times New Roman" w:hAnsi="Times New Roman" w:cs="Times New Roman"/>
                      <w:color w:val="auto"/>
                      <w:sz w:val="21"/>
                      <w:szCs w:val="21"/>
                      <w:highlight w:val="none"/>
                      <w:lang w:bidi="ar"/>
                    </w:rPr>
                    <w:t>运行电压等级110kV</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3" w:type="dxa"/>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地理位置</w:t>
                  </w:r>
                </w:p>
              </w:tc>
              <w:tc>
                <w:tcPr>
                  <w:tcW w:w="3285"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青海省海南藏族自治州共和县、郊区</w:t>
                  </w:r>
                </w:p>
              </w:tc>
              <w:tc>
                <w:tcPr>
                  <w:tcW w:w="3371" w:type="dxa"/>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sz w:val="21"/>
                      <w:szCs w:val="21"/>
                      <w:highlight w:val="none"/>
                      <w:lang w:bidi="ar"/>
                    </w:rPr>
                    <w:t>新疆岳普湖县、郊区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523" w:type="dxa"/>
                  <w:tcBorders>
                    <w:top w:val="single" w:color="auto" w:sz="4" w:space="0"/>
                    <w:left w:val="single" w:color="auto" w:sz="12" w:space="0"/>
                    <w:bottom w:val="single" w:color="auto" w:sz="12" w:space="0"/>
                    <w:right w:val="single" w:color="auto" w:sz="4" w:space="0"/>
                    <w:tl2br w:val="nil"/>
                    <w:tr2bl w:val="nil"/>
                  </w:tcBorders>
                  <w:noWrap w:val="0"/>
                  <w:vAlign w:val="center"/>
                </w:tcPr>
                <w:p>
                  <w:pPr>
                    <w:keepNext w:val="0"/>
                    <w:keepLines w:val="0"/>
                    <w:widowControl/>
                    <w:suppressLineNumbers w:val="0"/>
                    <w:spacing w:before="48" w:beforeLines="20" w:beforeAutospacing="0" w:after="48" w:afterLines="2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气候条件</w:t>
                  </w:r>
                </w:p>
              </w:tc>
              <w:tc>
                <w:tcPr>
                  <w:tcW w:w="3285" w:type="dxa"/>
                  <w:tcBorders>
                    <w:top w:val="single" w:color="auto" w:sz="4" w:space="0"/>
                    <w:left w:val="single" w:color="auto" w:sz="4" w:space="0"/>
                    <w:bottom w:val="single" w:color="auto" w:sz="12"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kern w:val="0"/>
                      <w:sz w:val="21"/>
                      <w:szCs w:val="21"/>
                      <w:highlight w:val="none"/>
                      <w:lang w:bidi="ar"/>
                    </w:rPr>
                    <w:t>温带大陆性气候</w:t>
                  </w:r>
                </w:p>
              </w:tc>
              <w:tc>
                <w:tcPr>
                  <w:tcW w:w="3371" w:type="dxa"/>
                  <w:tcBorders>
                    <w:top w:val="single" w:color="auto" w:sz="4" w:space="0"/>
                    <w:left w:val="single" w:color="auto" w:sz="4" w:space="0"/>
                    <w:bottom w:val="single" w:color="auto" w:sz="12"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highlight w:val="none"/>
                      <w:lang w:bidi="ar"/>
                    </w:rPr>
                  </w:pPr>
                  <w:r>
                    <w:rPr>
                      <w:rFonts w:hint="default" w:ascii="Times New Roman" w:hAnsi="Times New Roman" w:cs="Times New Roman"/>
                      <w:color w:val="auto"/>
                      <w:sz w:val="21"/>
                      <w:szCs w:val="21"/>
                      <w:highlight w:val="none"/>
                      <w:lang w:bidi="ar"/>
                    </w:rPr>
                    <w:t>温带大陆性气候</w:t>
                  </w:r>
                </w:p>
              </w:tc>
            </w:tr>
          </w:tbl>
          <w:p>
            <w:pPr>
              <w:keepNext w:val="0"/>
              <w:keepLines w:val="0"/>
              <w:widowControl/>
              <w:suppressLineNumbers w:val="0"/>
              <w:tabs>
                <w:tab w:val="left" w:pos="8814"/>
              </w:tabs>
              <w:spacing w:before="0" w:beforeAutospacing="0" w:after="0" w:afterAutospacing="0" w:line="360" w:lineRule="auto"/>
              <w:ind w:left="0" w:right="0" w:firstLine="480" w:firstLineChars="200"/>
              <w:rPr>
                <w:rFonts w:hint="eastAsia" w:ascii="Times New Roman" w:hAnsi="Times New Roman" w:cs="Times New Roman"/>
                <w:color w:val="auto"/>
                <w:sz w:val="24"/>
                <w:szCs w:val="24"/>
                <w:highlight w:val="none"/>
                <w:lang w:val="en-US" w:eastAsia="zh-CN"/>
              </w:rPr>
            </w:pPr>
            <w:r>
              <w:rPr>
                <w:rFonts w:hint="default" w:ascii="Times New Roman" w:hAnsi="Times New Roman" w:cs="Times New Roman"/>
                <w:color w:val="auto"/>
                <w:sz w:val="24"/>
                <w:szCs w:val="24"/>
                <w:highlight w:val="none"/>
              </w:rPr>
              <w:t>由表4-</w:t>
            </w:r>
            <w:r>
              <w:rPr>
                <w:rFonts w:hint="eastAsia" w:ascii="Times New Roman" w:hAnsi="Times New Roman" w:cs="Times New Roman"/>
                <w:color w:val="auto"/>
                <w:sz w:val="24"/>
                <w:szCs w:val="24"/>
                <w:highlight w:val="none"/>
                <w:lang w:val="en-US" w:eastAsia="zh-CN"/>
              </w:rPr>
              <w:t>6</w:t>
            </w:r>
            <w:r>
              <w:rPr>
                <w:rFonts w:hint="default" w:ascii="Times New Roman" w:hAnsi="Times New Roman" w:cs="Times New Roman"/>
                <w:color w:val="auto"/>
                <w:sz w:val="24"/>
                <w:szCs w:val="24"/>
                <w:highlight w:val="none"/>
              </w:rPr>
              <w:t>对比分析，选取的类比线路电压等级、架设方式、导线排列方式、运行工况等与本工程线路基本一致。</w:t>
            </w:r>
            <w:r>
              <w:rPr>
                <w:rFonts w:hint="eastAsia" w:ascii="Times New Roman" w:hAnsi="Times New Roman" w:cs="Times New Roman"/>
                <w:color w:val="auto"/>
                <w:sz w:val="24"/>
                <w:szCs w:val="24"/>
                <w:highlight w:val="none"/>
                <w:lang w:val="en-US" w:eastAsia="zh-CN"/>
              </w:rPr>
              <w:t>类</w:t>
            </w:r>
            <w:r>
              <w:rPr>
                <w:rFonts w:hint="default" w:ascii="Times New Roman" w:hAnsi="Times New Roman" w:cs="Times New Roman"/>
                <w:color w:val="auto"/>
                <w:sz w:val="24"/>
                <w:szCs w:val="24"/>
                <w:highlight w:val="none"/>
              </w:rPr>
              <w:t>比项目</w:t>
            </w:r>
            <w:r>
              <w:rPr>
                <w:rFonts w:hint="eastAsia" w:ascii="Times New Roman" w:hAnsi="Times New Roman" w:cs="Times New Roman"/>
                <w:color w:val="auto"/>
                <w:sz w:val="24"/>
                <w:szCs w:val="24"/>
                <w:highlight w:val="none"/>
                <w:lang w:val="en-US" w:eastAsia="zh-CN"/>
              </w:rPr>
              <w:t>架设高度低于本项目，类比结果偏保守；类比项目单分裂导线，全部电荷集中于单根导体，电晕放电剧烈，噪声显著更高。双分裂等效半径更大，同电压、同总载流截面下，子导线表面场强更低，电晕更弱、噪声更小。</w:t>
            </w:r>
          </w:p>
          <w:p>
            <w:pPr>
              <w:keepNext w:val="0"/>
              <w:keepLines w:val="0"/>
              <w:widowControl/>
              <w:suppressLineNumbers w:val="0"/>
              <w:tabs>
                <w:tab w:val="left" w:pos="8814"/>
              </w:tabs>
              <w:spacing w:before="0" w:beforeAutospacing="0" w:after="0" w:afterAutospacing="0" w:line="360" w:lineRule="auto"/>
              <w:ind w:left="0" w:right="0" w:firstLine="480" w:firstLineChars="200"/>
              <w:rPr>
                <w:rFonts w:hint="default" w:ascii="Times New Roman" w:hAnsi="Times New Roman" w:cs="Times New Roman"/>
                <w:color w:val="auto"/>
                <w:sz w:val="24"/>
                <w:szCs w:val="24"/>
                <w:highlight w:val="none"/>
              </w:rPr>
            </w:pPr>
            <w:r>
              <w:rPr>
                <w:rFonts w:hint="default" w:ascii="Times New Roman" w:hAnsi="Times New Roman" w:cs="Times New Roman"/>
                <w:color w:val="auto"/>
                <w:sz w:val="24"/>
                <w:szCs w:val="24"/>
                <w:highlight w:val="none"/>
              </w:rPr>
              <w:t>故本次环评将</w:t>
            </w:r>
            <w:r>
              <w:rPr>
                <w:rFonts w:hint="eastAsia" w:ascii="Times New Roman" w:hAnsi="Times New Roman" w:cs="Times New Roman"/>
                <w:color w:val="auto"/>
                <w:sz w:val="24"/>
                <w:szCs w:val="24"/>
                <w:highlight w:val="none"/>
                <w:lang w:eastAsia="zh-CN"/>
              </w:rPr>
              <w:t>110kV 思马Ⅰ回、Ⅱ回线路</w:t>
            </w:r>
            <w:r>
              <w:rPr>
                <w:rFonts w:hint="default" w:ascii="Times New Roman" w:hAnsi="Times New Roman" w:cs="Times New Roman"/>
                <w:color w:val="auto"/>
                <w:sz w:val="24"/>
                <w:szCs w:val="24"/>
                <w:highlight w:val="none"/>
              </w:rPr>
              <w:t>输电线路作为线路类比对象是可行的。</w:t>
            </w:r>
          </w:p>
          <w:p>
            <w:pPr>
              <w:keepNext w:val="0"/>
              <w:keepLines w:val="0"/>
              <w:widowControl/>
              <w:suppressLineNumbers w:val="0"/>
              <w:spacing w:before="0" w:beforeAutospacing="0" w:after="0" w:afterAutospacing="0" w:line="360" w:lineRule="auto"/>
              <w:ind w:left="0" w:right="0" w:firstLine="482" w:firstLineChars="200"/>
              <w:rPr>
                <w:rFonts w:hint="default" w:ascii="Times New Roman" w:hAnsi="Times New Roman" w:cs="Times New Roman"/>
                <w:b/>
                <w:color w:val="auto"/>
                <w:sz w:val="24"/>
                <w:szCs w:val="24"/>
                <w:highlight w:val="none"/>
              </w:rPr>
            </w:pPr>
            <w:r>
              <w:rPr>
                <w:rFonts w:hint="eastAsia" w:ascii="Times New Roman" w:hAnsi="Times New Roman" w:cs="Times New Roman"/>
                <w:b/>
                <w:color w:val="auto"/>
                <w:sz w:val="24"/>
                <w:szCs w:val="24"/>
                <w:highlight w:val="none"/>
                <w:lang w:eastAsia="zh-CN"/>
              </w:rPr>
              <w:t>（</w:t>
            </w:r>
            <w:r>
              <w:rPr>
                <w:rFonts w:hint="default" w:ascii="Times New Roman" w:hAnsi="Times New Roman" w:cs="Times New Roman"/>
                <w:b/>
                <w:color w:val="auto"/>
                <w:sz w:val="24"/>
                <w:szCs w:val="24"/>
                <w:highlight w:val="none"/>
              </w:rPr>
              <w:t>2</w:t>
            </w:r>
            <w:r>
              <w:rPr>
                <w:rFonts w:hint="eastAsia" w:ascii="Times New Roman" w:hAnsi="Times New Roman" w:cs="Times New Roman"/>
                <w:b/>
                <w:color w:val="auto"/>
                <w:sz w:val="24"/>
                <w:szCs w:val="24"/>
                <w:highlight w:val="none"/>
                <w:lang w:eastAsia="zh-CN"/>
              </w:rPr>
              <w:t>）</w:t>
            </w:r>
            <w:r>
              <w:rPr>
                <w:rFonts w:hint="default" w:ascii="Times New Roman" w:hAnsi="Times New Roman" w:cs="Times New Roman"/>
                <w:b/>
                <w:color w:val="auto"/>
                <w:sz w:val="24"/>
                <w:szCs w:val="24"/>
                <w:highlight w:val="none"/>
              </w:rPr>
              <w:t>类比监测内容</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1</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 xml:space="preserve"> 监测因子</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等效声级，Leq</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2</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 xml:space="preserve"> 监测方法、监测布点</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监测方法：《声环境质量标准》</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GB3096-2008</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监测布点：以</w:t>
            </w:r>
            <w:r>
              <w:rPr>
                <w:rFonts w:hint="eastAsia" w:ascii="Times New Roman" w:hAnsi="Times New Roman" w:cs="Times New Roman"/>
                <w:color w:val="auto"/>
                <w:kern w:val="0"/>
                <w:sz w:val="24"/>
                <w:szCs w:val="24"/>
                <w:highlight w:val="none"/>
                <w:lang w:eastAsia="zh-CN" w:bidi="ar"/>
              </w:rPr>
              <w:t>110kV 思马Ⅰ回、Ⅱ回线路</w:t>
            </w:r>
            <w:r>
              <w:rPr>
                <w:rFonts w:hint="eastAsia" w:ascii="Times New Roman" w:hAnsi="Times New Roman" w:cs="Times New Roman"/>
                <w:color w:val="auto"/>
                <w:kern w:val="0"/>
                <w:sz w:val="24"/>
                <w:szCs w:val="24"/>
                <w:highlight w:val="none"/>
                <w:lang w:val="en-US" w:eastAsia="zh-CN" w:bidi="ar"/>
              </w:rPr>
              <w:t>8</w:t>
            </w:r>
            <w:r>
              <w:rPr>
                <w:rFonts w:hint="default" w:ascii="Times New Roman" w:hAnsi="Times New Roman" w:cs="Times New Roman"/>
                <w:color w:val="auto"/>
                <w:kern w:val="0"/>
                <w:sz w:val="24"/>
                <w:szCs w:val="24"/>
                <w:highlight w:val="none"/>
                <w:lang w:bidi="ar"/>
              </w:rPr>
              <w:t>#～</w:t>
            </w:r>
            <w:r>
              <w:rPr>
                <w:rFonts w:hint="eastAsia" w:ascii="Times New Roman" w:hAnsi="Times New Roman" w:cs="Times New Roman"/>
                <w:color w:val="auto"/>
                <w:kern w:val="0"/>
                <w:sz w:val="24"/>
                <w:szCs w:val="24"/>
                <w:highlight w:val="none"/>
                <w:lang w:val="en-US" w:eastAsia="zh-CN" w:bidi="ar"/>
              </w:rPr>
              <w:t>9</w:t>
            </w:r>
            <w:r>
              <w:rPr>
                <w:rFonts w:hint="default" w:ascii="Times New Roman" w:hAnsi="Times New Roman" w:cs="Times New Roman"/>
                <w:color w:val="auto"/>
                <w:kern w:val="0"/>
                <w:sz w:val="24"/>
                <w:szCs w:val="24"/>
                <w:highlight w:val="none"/>
                <w:lang w:bidi="ar"/>
              </w:rPr>
              <w:t>#杆塔导线下弧垂最大处线路中心的地面投影为监测原点，沿垂直于线路方向监测。</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3</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 xml:space="preserve"> 监测单位及监测时间</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lang w:bidi="ar"/>
              </w:rPr>
            </w:pPr>
            <w:r>
              <w:rPr>
                <w:rFonts w:hint="default" w:ascii="Times New Roman" w:hAnsi="Times New Roman" w:cs="Times New Roman"/>
                <w:color w:val="auto"/>
                <w:kern w:val="0"/>
                <w:sz w:val="24"/>
                <w:szCs w:val="24"/>
                <w:highlight w:val="none"/>
                <w:lang w:bidi="ar"/>
              </w:rPr>
              <w:t>监测单位：</w:t>
            </w:r>
            <w:r>
              <w:rPr>
                <w:rFonts w:hint="default" w:ascii="Times New Roman" w:hAnsi="Times New Roman" w:cs="Times New Roman"/>
                <w:color w:val="auto"/>
                <w:kern w:val="0"/>
                <w:sz w:val="24"/>
                <w:szCs w:val="24"/>
                <w:highlight w:val="none"/>
                <w:lang w:val="en-US" w:eastAsia="zh-CN" w:bidi="ar"/>
              </w:rPr>
              <w:t>武汉中电工程检测有限公司。</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监测时间：</w:t>
            </w:r>
            <w:r>
              <w:rPr>
                <w:rFonts w:hint="default" w:ascii="Times New Roman" w:hAnsi="Times New Roman" w:cs="Times New Roman"/>
                <w:color w:val="auto"/>
                <w:kern w:val="0"/>
                <w:sz w:val="24"/>
                <w:szCs w:val="24"/>
                <w:highlight w:val="none"/>
                <w:lang w:val="en-US" w:eastAsia="zh-CN" w:bidi="ar"/>
              </w:rPr>
              <w:t>2023年9月5日</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4</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 xml:space="preserve"> 监测仪器、监测条件</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lang w:bidi="ar"/>
              </w:rPr>
              <w:t>监测仪器：多功能声级计</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lang w:val="en-US" w:eastAsia="zh-CN" w:bidi="ar"/>
              </w:rPr>
            </w:pPr>
            <w:r>
              <w:rPr>
                <w:rFonts w:hint="default" w:ascii="Times New Roman" w:hAnsi="Times New Roman" w:cs="Times New Roman"/>
                <w:color w:val="auto"/>
                <w:kern w:val="0"/>
                <w:sz w:val="24"/>
                <w:szCs w:val="24"/>
                <w:highlight w:val="none"/>
                <w:lang w:bidi="ar"/>
              </w:rPr>
              <w:t>监测条件：晴，温度</w:t>
            </w:r>
            <w:r>
              <w:rPr>
                <w:rFonts w:hint="eastAsia" w:ascii="Times New Roman" w:hAnsi="Times New Roman" w:cs="Times New Roman"/>
                <w:color w:val="auto"/>
                <w:kern w:val="0"/>
                <w:sz w:val="24"/>
                <w:szCs w:val="24"/>
                <w:highlight w:val="none"/>
                <w:lang w:val="en-US" w:eastAsia="zh-CN" w:bidi="ar"/>
              </w:rPr>
              <w:t>21.3</w:t>
            </w:r>
            <w:r>
              <w:rPr>
                <w:rFonts w:hint="default" w:ascii="Times New Roman" w:hAnsi="Times New Roman" w:cs="Times New Roman"/>
                <w:color w:val="auto"/>
                <w:kern w:val="0"/>
                <w:sz w:val="24"/>
                <w:szCs w:val="24"/>
                <w:highlight w:val="none"/>
                <w:lang w:bidi="ar"/>
              </w:rPr>
              <w:t>℃，湿度</w:t>
            </w:r>
            <w:r>
              <w:rPr>
                <w:rFonts w:hint="eastAsia" w:ascii="Times New Roman" w:hAnsi="Times New Roman" w:cs="Times New Roman"/>
                <w:color w:val="auto"/>
                <w:kern w:val="0"/>
                <w:sz w:val="24"/>
                <w:szCs w:val="24"/>
                <w:highlight w:val="none"/>
                <w:lang w:val="en-US" w:eastAsia="zh-CN" w:bidi="ar"/>
              </w:rPr>
              <w:t>42.1</w:t>
            </w:r>
            <w:r>
              <w:rPr>
                <w:rFonts w:hint="default" w:ascii="Times New Roman" w:hAnsi="Times New Roman" w:cs="Times New Roman"/>
                <w:color w:val="auto"/>
                <w:kern w:val="0"/>
                <w:sz w:val="24"/>
                <w:szCs w:val="24"/>
                <w:highlight w:val="none"/>
                <w:lang w:bidi="ar"/>
              </w:rPr>
              <w:t>%</w:t>
            </w:r>
            <w:r>
              <w:rPr>
                <w:rFonts w:hint="eastAsia" w:ascii="Times New Roman" w:hAnsi="Times New Roman" w:cs="Times New Roman"/>
                <w:color w:val="auto"/>
                <w:kern w:val="0"/>
                <w:sz w:val="24"/>
                <w:szCs w:val="24"/>
                <w:highlight w:val="none"/>
                <w:lang w:eastAsia="zh-CN" w:bidi="ar"/>
              </w:rPr>
              <w:t>，</w:t>
            </w:r>
            <w:r>
              <w:rPr>
                <w:rFonts w:hint="eastAsia" w:ascii="Times New Roman" w:hAnsi="Times New Roman" w:cs="Times New Roman"/>
                <w:color w:val="auto"/>
                <w:kern w:val="0"/>
                <w:sz w:val="24"/>
                <w:szCs w:val="24"/>
                <w:highlight w:val="none"/>
                <w:lang w:val="en-US" w:eastAsia="zh-CN" w:bidi="ar"/>
              </w:rPr>
              <w:t>风速0.5~0.6m/s。</w:t>
            </w:r>
          </w:p>
          <w:p>
            <w:pPr>
              <w:keepNext w:val="0"/>
              <w:keepLines w:val="0"/>
              <w:widowControl/>
              <w:suppressLineNumbers w:val="0"/>
              <w:autoSpaceDE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lang w:bidi="ar"/>
              </w:rPr>
            </w:pPr>
            <w:r>
              <w:rPr>
                <w:rFonts w:hint="default" w:ascii="Times New Roman" w:hAnsi="Times New Roman" w:cs="Times New Roman"/>
                <w:color w:val="auto"/>
                <w:kern w:val="0"/>
                <w:sz w:val="24"/>
                <w:szCs w:val="24"/>
                <w:highlight w:val="none"/>
                <w:lang w:bidi="ar"/>
              </w:rPr>
              <w:t>5</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bidi="ar"/>
              </w:rPr>
              <w:t xml:space="preserve"> 监测结果</w:t>
            </w:r>
          </w:p>
          <w:p>
            <w:pPr>
              <w:keepNext w:val="0"/>
              <w:keepLines w:val="0"/>
              <w:widowControl/>
              <w:suppressLineNumbers w:val="0"/>
              <w:autoSpaceDE w:val="0"/>
              <w:spacing w:before="0" w:beforeLines="0" w:beforeAutospacing="0" w:after="0" w:afterLines="0" w:afterAutospacing="0" w:line="360" w:lineRule="auto"/>
              <w:ind w:left="0" w:right="0" w:firstLine="480" w:firstLineChars="200"/>
              <w:jc w:val="left"/>
              <w:rPr>
                <w:rFonts w:hint="default" w:ascii="Times New Roman" w:hAnsi="Times New Roman" w:cs="Times New Roman"/>
                <w:color w:val="auto"/>
                <w:kern w:val="0"/>
                <w:sz w:val="24"/>
                <w:szCs w:val="24"/>
                <w:highlight w:val="none"/>
                <w:lang w:bidi="ar"/>
              </w:rPr>
            </w:pPr>
            <w:r>
              <w:rPr>
                <w:rFonts w:hint="default" w:ascii="Times New Roman" w:hAnsi="Times New Roman" w:cs="Times New Roman"/>
                <w:color w:val="auto"/>
                <w:kern w:val="0"/>
                <w:sz w:val="24"/>
                <w:szCs w:val="24"/>
                <w:highlight w:val="none"/>
                <w:lang w:val="en-US" w:eastAsia="zh-CN" w:bidi="ar"/>
              </w:rPr>
              <w:t>监测结果来自《思马Ⅰ回、思马Ⅱ回线路电磁及声环境断面监测》（编号：WHZD-WH2023082O-P2201-01）。</w:t>
            </w:r>
          </w:p>
          <w:p>
            <w:pPr>
              <w:keepNext w:val="0"/>
              <w:keepLines w:val="0"/>
              <w:widowControl/>
              <w:suppressLineNumbers w:val="0"/>
              <w:autoSpaceDE w:val="0"/>
              <w:spacing w:before="0" w:beforeLines="0" w:beforeAutospacing="0" w:after="0" w:afterLines="0" w:afterAutospacing="0" w:line="360" w:lineRule="auto"/>
              <w:ind w:left="0" w:right="0" w:firstLine="482" w:firstLineChars="200"/>
              <w:jc w:val="center"/>
              <w:rPr>
                <w:rFonts w:hint="default" w:ascii="Times New Roman" w:hAnsi="Times New Roman" w:cs="Times New Roman"/>
                <w:b/>
                <w:color w:val="auto"/>
                <w:spacing w:val="-2"/>
                <w:kern w:val="0"/>
                <w:sz w:val="24"/>
                <w:szCs w:val="24"/>
                <w:highlight w:val="none"/>
              </w:rPr>
            </w:pPr>
            <w:r>
              <w:rPr>
                <w:rFonts w:hint="default" w:ascii="Times New Roman" w:hAnsi="Times New Roman" w:cs="Times New Roman"/>
                <w:b/>
                <w:color w:val="auto"/>
                <w:kern w:val="0"/>
                <w:sz w:val="24"/>
                <w:szCs w:val="24"/>
                <w:highlight w:val="none"/>
                <w:lang w:bidi="ar"/>
              </w:rPr>
              <w:t>表4-</w:t>
            </w:r>
            <w:r>
              <w:rPr>
                <w:rFonts w:hint="eastAsia" w:ascii="Times New Roman" w:hAnsi="Times New Roman" w:cs="Times New Roman"/>
                <w:b/>
                <w:color w:val="auto"/>
                <w:kern w:val="0"/>
                <w:sz w:val="24"/>
                <w:szCs w:val="24"/>
                <w:highlight w:val="none"/>
                <w:lang w:val="en-US" w:eastAsia="zh-CN" w:bidi="ar"/>
              </w:rPr>
              <w:t>7</w:t>
            </w:r>
            <w:r>
              <w:rPr>
                <w:rFonts w:hint="default" w:ascii="Times New Roman" w:hAnsi="Times New Roman" w:cs="Times New Roman"/>
                <w:b/>
                <w:color w:val="auto"/>
                <w:kern w:val="0"/>
                <w:sz w:val="24"/>
                <w:szCs w:val="24"/>
                <w:highlight w:val="none"/>
                <w:lang w:bidi="ar"/>
              </w:rPr>
              <w:t xml:space="preserve"> 类比项目输电线路噪声测试结果</w:t>
            </w:r>
          </w:p>
          <w:tbl>
            <w:tblPr>
              <w:tblStyle w:val="28"/>
              <w:tblW w:w="82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894"/>
              <w:gridCol w:w="2290"/>
              <w:gridCol w:w="206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988"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序号</w:t>
                  </w:r>
                </w:p>
              </w:tc>
              <w:tc>
                <w:tcPr>
                  <w:tcW w:w="2894"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监测点位描述</w:t>
                  </w:r>
                </w:p>
              </w:tc>
              <w:tc>
                <w:tcPr>
                  <w:tcW w:w="2290"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eastAsia" w:ascii="Times New Roman" w:hAnsi="Times New Roman" w:eastAsia="宋体" w:cs="Times New Roman"/>
                      <w:color w:val="auto"/>
                      <w:kern w:val="0"/>
                      <w:sz w:val="21"/>
                      <w:szCs w:val="24"/>
                      <w:highlight w:val="none"/>
                      <w:lang w:eastAsia="zh-CN"/>
                    </w:rPr>
                  </w:pPr>
                  <w:r>
                    <w:rPr>
                      <w:rFonts w:hint="default" w:ascii="Times New Roman" w:hAnsi="Times New Roman" w:cs="Times New Roman"/>
                      <w:color w:val="auto"/>
                      <w:kern w:val="0"/>
                      <w:sz w:val="21"/>
                      <w:szCs w:val="24"/>
                      <w:highlight w:val="none"/>
                      <w:lang w:bidi="ar"/>
                    </w:rPr>
                    <w:t>昼间dB</w:t>
                  </w:r>
                  <w:r>
                    <w:rPr>
                      <w:rFonts w:hint="eastAsia" w:ascii="Times New Roman" w:hAnsi="Times New Roman" w:cs="Times New Roman"/>
                      <w:color w:val="auto"/>
                      <w:kern w:val="0"/>
                      <w:sz w:val="21"/>
                      <w:szCs w:val="24"/>
                      <w:highlight w:val="none"/>
                      <w:lang w:eastAsia="zh-CN" w:bidi="ar"/>
                    </w:rPr>
                    <w:t>（A）</w:t>
                  </w:r>
                </w:p>
              </w:tc>
              <w:tc>
                <w:tcPr>
                  <w:tcW w:w="2066"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eastAsia" w:ascii="Times New Roman" w:hAnsi="Times New Roman" w:eastAsia="宋体" w:cs="Times New Roman"/>
                      <w:color w:val="auto"/>
                      <w:sz w:val="21"/>
                      <w:szCs w:val="24"/>
                      <w:highlight w:val="none"/>
                      <w:lang w:eastAsia="zh-CN"/>
                    </w:rPr>
                  </w:pPr>
                  <w:r>
                    <w:rPr>
                      <w:rFonts w:hint="default" w:ascii="Times New Roman" w:hAnsi="Times New Roman" w:cs="Times New Roman"/>
                      <w:color w:val="auto"/>
                      <w:sz w:val="21"/>
                      <w:szCs w:val="24"/>
                      <w:highlight w:val="none"/>
                      <w:lang w:bidi="ar"/>
                    </w:rPr>
                    <w:t>夜间dB</w:t>
                  </w:r>
                  <w:r>
                    <w:rPr>
                      <w:rFonts w:hint="eastAsia" w:ascii="Times New Roman" w:hAnsi="Times New Roman" w:cs="Times New Roman"/>
                      <w:color w:val="auto"/>
                      <w:sz w:val="21"/>
                      <w:szCs w:val="24"/>
                      <w:highlight w:val="none"/>
                      <w:lang w:eastAsia="zh-CN" w:bidi="ar"/>
                    </w:rPr>
                    <w:t>（A）</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988"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1</w:t>
                  </w:r>
                </w:p>
              </w:tc>
              <w:tc>
                <w:tcPr>
                  <w:tcW w:w="2894"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线路中心</w:t>
                  </w:r>
                </w:p>
              </w:tc>
              <w:tc>
                <w:tcPr>
                  <w:tcW w:w="2290"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41.3</w:t>
                  </w:r>
                </w:p>
              </w:tc>
              <w:tc>
                <w:tcPr>
                  <w:tcW w:w="2066"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39.8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988"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2</w:t>
                  </w:r>
                </w:p>
              </w:tc>
              <w:tc>
                <w:tcPr>
                  <w:tcW w:w="2894"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线路中心外4m(边导线下)</w:t>
                  </w:r>
                </w:p>
              </w:tc>
              <w:tc>
                <w:tcPr>
                  <w:tcW w:w="2290"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40.2</w:t>
                  </w:r>
                </w:p>
              </w:tc>
              <w:tc>
                <w:tcPr>
                  <w:tcW w:w="2066"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39.3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4" w:hRule="atLeast"/>
                <w:jc w:val="center"/>
              </w:trPr>
              <w:tc>
                <w:tcPr>
                  <w:tcW w:w="988"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3</w:t>
                  </w:r>
                </w:p>
              </w:tc>
              <w:tc>
                <w:tcPr>
                  <w:tcW w:w="2894"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线路中心外5m</w:t>
                  </w:r>
                </w:p>
              </w:tc>
              <w:tc>
                <w:tcPr>
                  <w:tcW w:w="2290"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41.2</w:t>
                  </w:r>
                </w:p>
              </w:tc>
              <w:tc>
                <w:tcPr>
                  <w:tcW w:w="2066"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40.2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988"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4</w:t>
                  </w:r>
                </w:p>
              </w:tc>
              <w:tc>
                <w:tcPr>
                  <w:tcW w:w="2894"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线路中心外10m</w:t>
                  </w:r>
                </w:p>
              </w:tc>
              <w:tc>
                <w:tcPr>
                  <w:tcW w:w="2290"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39.8</w:t>
                  </w:r>
                </w:p>
              </w:tc>
              <w:tc>
                <w:tcPr>
                  <w:tcW w:w="2066"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37.9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4" w:hRule="atLeast"/>
                <w:jc w:val="center"/>
              </w:trPr>
              <w:tc>
                <w:tcPr>
                  <w:tcW w:w="988"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5</w:t>
                  </w:r>
                </w:p>
              </w:tc>
              <w:tc>
                <w:tcPr>
                  <w:tcW w:w="2894"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线路中心外15m</w:t>
                  </w:r>
                </w:p>
              </w:tc>
              <w:tc>
                <w:tcPr>
                  <w:tcW w:w="2290"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40.3</w:t>
                  </w:r>
                </w:p>
              </w:tc>
              <w:tc>
                <w:tcPr>
                  <w:tcW w:w="2066"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38.3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988"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6</w:t>
                  </w:r>
                </w:p>
              </w:tc>
              <w:tc>
                <w:tcPr>
                  <w:tcW w:w="2894"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线路中心外20m</w:t>
                  </w:r>
                </w:p>
              </w:tc>
              <w:tc>
                <w:tcPr>
                  <w:tcW w:w="2290"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39.2</w:t>
                  </w:r>
                </w:p>
              </w:tc>
              <w:tc>
                <w:tcPr>
                  <w:tcW w:w="2066"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39. 1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4" w:hRule="atLeast"/>
                <w:jc w:val="center"/>
              </w:trPr>
              <w:tc>
                <w:tcPr>
                  <w:tcW w:w="988"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7</w:t>
                  </w:r>
                </w:p>
              </w:tc>
              <w:tc>
                <w:tcPr>
                  <w:tcW w:w="2894"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线路中心外25m</w:t>
                  </w:r>
                </w:p>
              </w:tc>
              <w:tc>
                <w:tcPr>
                  <w:tcW w:w="2290"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38.7</w:t>
                  </w:r>
                </w:p>
              </w:tc>
              <w:tc>
                <w:tcPr>
                  <w:tcW w:w="2066"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38.6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988"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8</w:t>
                  </w:r>
                </w:p>
              </w:tc>
              <w:tc>
                <w:tcPr>
                  <w:tcW w:w="2894"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线路中心外30m</w:t>
                  </w:r>
                </w:p>
              </w:tc>
              <w:tc>
                <w:tcPr>
                  <w:tcW w:w="2290"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40.5</w:t>
                  </w:r>
                </w:p>
              </w:tc>
              <w:tc>
                <w:tcPr>
                  <w:tcW w:w="2066"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37.6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988"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9</w:t>
                  </w:r>
                </w:p>
              </w:tc>
              <w:tc>
                <w:tcPr>
                  <w:tcW w:w="2894"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线路中心外35m</w:t>
                  </w:r>
                </w:p>
              </w:tc>
              <w:tc>
                <w:tcPr>
                  <w:tcW w:w="2290"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39.4</w:t>
                  </w:r>
                </w:p>
              </w:tc>
              <w:tc>
                <w:tcPr>
                  <w:tcW w:w="2066"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4" w:hRule="atLeast"/>
                <w:jc w:val="center"/>
              </w:trPr>
              <w:tc>
                <w:tcPr>
                  <w:tcW w:w="988"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10</w:t>
                  </w:r>
                </w:p>
              </w:tc>
              <w:tc>
                <w:tcPr>
                  <w:tcW w:w="2894"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线路中心外40m</w:t>
                  </w:r>
                </w:p>
              </w:tc>
              <w:tc>
                <w:tcPr>
                  <w:tcW w:w="2290"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39.6</w:t>
                  </w:r>
                </w:p>
              </w:tc>
              <w:tc>
                <w:tcPr>
                  <w:tcW w:w="2066"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37. 1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988"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11</w:t>
                  </w:r>
                </w:p>
              </w:tc>
              <w:tc>
                <w:tcPr>
                  <w:tcW w:w="2894"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线路中心外45m</w:t>
                  </w:r>
                </w:p>
              </w:tc>
              <w:tc>
                <w:tcPr>
                  <w:tcW w:w="2290"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38.9</w:t>
                  </w:r>
                </w:p>
              </w:tc>
              <w:tc>
                <w:tcPr>
                  <w:tcW w:w="2066"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36.5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988" w:type="dxa"/>
                  <w:tcBorders>
                    <w:tl2br w:val="nil"/>
                    <w:tr2bl w:val="nil"/>
                  </w:tcBorders>
                  <w:noWrap w:val="0"/>
                  <w:vAlign w:val="center"/>
                </w:tcPr>
                <w:p>
                  <w:pPr>
                    <w:keepNext w:val="0"/>
                    <w:keepLines w:val="0"/>
                    <w:widowControl/>
                    <w:suppressLineNumbers w:val="0"/>
                    <w:snapToGrid w:val="0"/>
                    <w:spacing w:before="0" w:beforeLines="0" w:beforeAutospacing="0" w:after="0" w:afterLines="0" w:afterAutospacing="0"/>
                    <w:ind w:left="0" w:right="0"/>
                    <w:jc w:val="center"/>
                    <w:rPr>
                      <w:rFonts w:hint="default" w:ascii="Times New Roman" w:hAnsi="Times New Roman" w:cs="Times New Roman"/>
                      <w:color w:val="auto"/>
                      <w:kern w:val="0"/>
                      <w:sz w:val="21"/>
                      <w:szCs w:val="24"/>
                      <w:highlight w:val="none"/>
                    </w:rPr>
                  </w:pPr>
                  <w:r>
                    <w:rPr>
                      <w:rFonts w:hint="default" w:ascii="Times New Roman" w:hAnsi="Times New Roman" w:cs="Times New Roman"/>
                      <w:color w:val="auto"/>
                      <w:kern w:val="0"/>
                      <w:sz w:val="21"/>
                      <w:szCs w:val="24"/>
                      <w:highlight w:val="none"/>
                      <w:lang w:bidi="ar"/>
                    </w:rPr>
                    <w:t>12</w:t>
                  </w:r>
                </w:p>
              </w:tc>
              <w:tc>
                <w:tcPr>
                  <w:tcW w:w="2894"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线路中心外50m</w:t>
                  </w:r>
                </w:p>
              </w:tc>
              <w:tc>
                <w:tcPr>
                  <w:tcW w:w="2290"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39. 1</w:t>
                  </w:r>
                </w:p>
              </w:tc>
              <w:tc>
                <w:tcPr>
                  <w:tcW w:w="2066" w:type="dxa"/>
                  <w:tcBorders>
                    <w:tl2br w:val="nil"/>
                    <w:tr2bl w:val="nil"/>
                  </w:tcBorders>
                  <w:noWrap w:val="0"/>
                  <w:vAlign w:val="top"/>
                </w:tcPr>
                <w:p>
                  <w:pPr>
                    <w:keepNext w:val="0"/>
                    <w:keepLines w:val="0"/>
                    <w:widowControl/>
                    <w:suppressLineNumbers w:val="0"/>
                    <w:bidi w:val="0"/>
                    <w:spacing w:before="0" w:beforeAutospacing="0" w:after="0" w:afterAutospacing="0"/>
                    <w:ind w:left="0" w:right="0"/>
                    <w:jc w:val="center"/>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rPr>
                    <w:t>37.3</w:t>
                  </w:r>
                </w:p>
              </w:tc>
            </w:tr>
          </w:tbl>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rPr>
              <w:t>线路声环境影响类比分析：</w:t>
            </w:r>
          </w:p>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b/>
                <w:bCs/>
                <w:color w:val="auto"/>
                <w:kern w:val="0"/>
                <w:sz w:val="24"/>
                <w:szCs w:val="24"/>
                <w:highlight w:val="none"/>
              </w:rPr>
            </w:pPr>
            <w:r>
              <w:rPr>
                <w:rFonts w:hint="default" w:ascii="Times New Roman" w:hAnsi="Times New Roman" w:cs="Times New Roman"/>
                <w:color w:val="auto"/>
                <w:kern w:val="0"/>
                <w:sz w:val="24"/>
                <w:szCs w:val="24"/>
                <w:highlight w:val="none"/>
              </w:rPr>
              <w:t>由上表可知：110kV同塔双回输电线路下方昼间的噪声值为38.7~41.3dB(A)，夜间的噪声值为36.5~40.2dB(A)，说明线路噪声实际贡献值很小。由类比110kV输电线路产生的噪声可知，本工程110kV线路运行时产生噪声不会对周边声环境造成明显影响，沿线声环境可满足《声环境质量标准》</w:t>
            </w:r>
            <w:r>
              <w:rPr>
                <w:rFonts w:hint="eastAsia" w:ascii="Times New Roman" w:hAnsi="Times New Roman" w:cs="Times New Roman"/>
                <w:color w:val="auto"/>
                <w:kern w:val="0"/>
                <w:sz w:val="24"/>
                <w:szCs w:val="24"/>
                <w:highlight w:val="none"/>
                <w:lang w:eastAsia="zh-CN"/>
              </w:rPr>
              <w:t>（</w:t>
            </w:r>
            <w:r>
              <w:rPr>
                <w:rFonts w:hint="default" w:ascii="Times New Roman" w:hAnsi="Times New Roman" w:cs="Times New Roman"/>
                <w:color w:val="auto"/>
                <w:kern w:val="0"/>
                <w:sz w:val="24"/>
                <w:szCs w:val="24"/>
                <w:highlight w:val="none"/>
              </w:rPr>
              <w:t>GB3096－2008</w:t>
            </w:r>
            <w:r>
              <w:rPr>
                <w:rFonts w:hint="eastAsia" w:ascii="Times New Roman" w:hAnsi="Times New Roman" w:cs="Times New Roman"/>
                <w:color w:val="auto"/>
                <w:kern w:val="0"/>
                <w:sz w:val="24"/>
                <w:szCs w:val="24"/>
                <w:highlight w:val="none"/>
                <w:lang w:eastAsia="zh-CN"/>
              </w:rPr>
              <w:t>）</w:t>
            </w:r>
            <w:r>
              <w:rPr>
                <w:rFonts w:hint="default" w:ascii="Times New Roman" w:hAnsi="Times New Roman" w:cs="Times New Roman"/>
                <w:color w:val="auto"/>
                <w:kern w:val="0"/>
                <w:sz w:val="24"/>
                <w:szCs w:val="24"/>
                <w:highlight w:val="none"/>
              </w:rPr>
              <w:t>中相应的2类标准要求。</w:t>
            </w:r>
          </w:p>
          <w:p>
            <w:pPr>
              <w:keepNext w:val="0"/>
              <w:keepLines w:val="0"/>
              <w:widowControl/>
              <w:suppressLineNumbers w:val="0"/>
              <w:spacing w:before="0" w:beforeAutospacing="0" w:after="0" w:afterAutospacing="0" w:line="360" w:lineRule="auto"/>
              <w:ind w:left="0" w:right="0" w:firstLine="482" w:firstLineChars="200"/>
              <w:jc w:val="center"/>
              <w:rPr>
                <w:rFonts w:hint="eastAsia" w:ascii="Times New Roman" w:hAnsi="Times New Roman" w:eastAsia="宋体" w:cs="Times New Roman"/>
                <w:b/>
                <w:bCs/>
                <w:color w:val="auto"/>
                <w:kern w:val="0"/>
                <w:sz w:val="24"/>
                <w:szCs w:val="24"/>
                <w:highlight w:val="none"/>
                <w:lang w:eastAsia="zh-CN"/>
              </w:rPr>
            </w:pPr>
            <w:r>
              <w:rPr>
                <w:rFonts w:hint="default" w:ascii="Times New Roman" w:hAnsi="Times New Roman" w:cs="Times New Roman"/>
                <w:b/>
                <w:bCs/>
                <w:color w:val="auto"/>
                <w:kern w:val="0"/>
                <w:sz w:val="24"/>
                <w:szCs w:val="24"/>
                <w:highlight w:val="none"/>
              </w:rPr>
              <w:t>表4-</w:t>
            </w:r>
            <w:r>
              <w:rPr>
                <w:rFonts w:hint="eastAsia" w:ascii="Times New Roman" w:hAnsi="Times New Roman" w:cs="Times New Roman"/>
                <w:b/>
                <w:bCs/>
                <w:color w:val="auto"/>
                <w:kern w:val="0"/>
                <w:sz w:val="24"/>
                <w:szCs w:val="24"/>
                <w:highlight w:val="none"/>
                <w:lang w:val="en-US" w:eastAsia="zh-CN"/>
              </w:rPr>
              <w:t>8</w:t>
            </w:r>
            <w:r>
              <w:rPr>
                <w:rFonts w:hint="default" w:ascii="Times New Roman" w:hAnsi="Times New Roman" w:cs="Times New Roman"/>
                <w:b/>
                <w:bCs/>
                <w:color w:val="auto"/>
                <w:kern w:val="0"/>
                <w:sz w:val="24"/>
                <w:szCs w:val="24"/>
                <w:highlight w:val="none"/>
              </w:rPr>
              <w:t xml:space="preserve"> </w:t>
            </w:r>
            <w:r>
              <w:rPr>
                <w:rFonts w:hint="eastAsia" w:ascii="Times New Roman" w:hAnsi="Times New Roman" w:cs="Times New Roman"/>
                <w:b/>
                <w:bCs/>
                <w:color w:val="auto"/>
                <w:kern w:val="0"/>
                <w:sz w:val="24"/>
                <w:szCs w:val="24"/>
                <w:highlight w:val="none"/>
                <w:lang w:val="en-US" w:eastAsia="zh-CN"/>
              </w:rPr>
              <w:t xml:space="preserve"> </w:t>
            </w:r>
            <w:r>
              <w:rPr>
                <w:rFonts w:hint="default" w:ascii="Times New Roman" w:hAnsi="Times New Roman" w:cs="Times New Roman"/>
                <w:b/>
                <w:bCs/>
                <w:color w:val="auto"/>
                <w:kern w:val="0"/>
                <w:sz w:val="24"/>
                <w:szCs w:val="24"/>
                <w:highlight w:val="none"/>
              </w:rPr>
              <w:t>声环境影响保护目标处</w:t>
            </w:r>
            <w:r>
              <w:rPr>
                <w:rFonts w:hint="eastAsia" w:ascii="Times New Roman" w:hAnsi="Times New Roman" w:cs="Times New Roman"/>
                <w:b/>
                <w:bCs/>
                <w:color w:val="auto"/>
                <w:kern w:val="0"/>
                <w:sz w:val="24"/>
                <w:szCs w:val="24"/>
                <w:highlight w:val="none"/>
                <w:lang w:val="en-US" w:eastAsia="zh-CN"/>
              </w:rPr>
              <w:t>噪声</w:t>
            </w:r>
            <w:r>
              <w:rPr>
                <w:rFonts w:hint="eastAsia" w:ascii="Times New Roman" w:hAnsi="Times New Roman" w:cs="Times New Roman"/>
                <w:b/>
                <w:bCs/>
                <w:color w:val="auto"/>
                <w:kern w:val="0"/>
                <w:sz w:val="24"/>
                <w:szCs w:val="24"/>
                <w:highlight w:val="none"/>
                <w:lang w:eastAsia="zh-CN"/>
              </w:rPr>
              <w:t>预测情况</w:t>
            </w:r>
          </w:p>
          <w:tbl>
            <w:tblPr>
              <w:tblStyle w:val="28"/>
              <w:tblW w:w="7916" w:type="dxa"/>
              <w:tblInd w:w="98"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743"/>
              <w:gridCol w:w="1385"/>
              <w:gridCol w:w="786"/>
              <w:gridCol w:w="774"/>
              <w:gridCol w:w="722"/>
              <w:gridCol w:w="852"/>
              <w:gridCol w:w="822"/>
              <w:gridCol w:w="980"/>
              <w:gridCol w:w="852"/>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52" w:hRule="atLeast"/>
              </w:trPr>
              <w:tc>
                <w:tcPr>
                  <w:tcW w:w="743"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auto"/>
                      <w:sz w:val="18"/>
                      <w:szCs w:val="18"/>
                      <w:highlight w:val="none"/>
                      <w:u w:val="none"/>
                      <w:lang w:val="en-US" w:eastAsia="zh-CN"/>
                    </w:rPr>
                  </w:pPr>
                  <w:r>
                    <w:rPr>
                      <w:rFonts w:hint="default" w:ascii="Times New Roman" w:hAnsi="Times New Roman" w:eastAsia="宋体" w:cs="Times New Roman"/>
                      <w:i w:val="0"/>
                      <w:iCs w:val="0"/>
                      <w:color w:val="auto"/>
                      <w:sz w:val="18"/>
                      <w:szCs w:val="18"/>
                      <w:highlight w:val="none"/>
                      <w:u w:val="none"/>
                      <w:lang w:val="en-US" w:eastAsia="zh-CN"/>
                    </w:rPr>
                    <w:t>序号</w:t>
                  </w:r>
                </w:p>
              </w:tc>
              <w:tc>
                <w:tcPr>
                  <w:tcW w:w="1385"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i w:val="0"/>
                      <w:iCs w:val="0"/>
                      <w:color w:val="auto"/>
                      <w:sz w:val="18"/>
                      <w:szCs w:val="18"/>
                      <w:highlight w:val="none"/>
                      <w:u w:val="none"/>
                      <w:lang w:eastAsia="zh-CN"/>
                    </w:rPr>
                  </w:pPr>
                  <w:r>
                    <w:rPr>
                      <w:rFonts w:hint="default" w:ascii="Times New Roman" w:hAnsi="Times New Roman" w:eastAsia="宋体" w:cs="Times New Roman"/>
                      <w:i w:val="0"/>
                      <w:iCs w:val="0"/>
                      <w:color w:val="auto"/>
                      <w:sz w:val="18"/>
                      <w:szCs w:val="18"/>
                      <w:highlight w:val="none"/>
                      <w:u w:val="none"/>
                      <w:lang w:eastAsia="zh-CN"/>
                    </w:rPr>
                    <w:t>敏感目标情况</w:t>
                  </w:r>
                </w:p>
              </w:tc>
              <w:tc>
                <w:tcPr>
                  <w:tcW w:w="786"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位置</w:t>
                  </w:r>
                </w:p>
              </w:tc>
              <w:tc>
                <w:tcPr>
                  <w:tcW w:w="774"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本底昼间dB（A）</w:t>
                  </w:r>
                </w:p>
              </w:tc>
              <w:tc>
                <w:tcPr>
                  <w:tcW w:w="722"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本底夜间dB（A）</w:t>
                  </w:r>
                </w:p>
              </w:tc>
              <w:tc>
                <w:tcPr>
                  <w:tcW w:w="852"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线路贡献值昼间dB（A）</w:t>
                  </w:r>
                </w:p>
              </w:tc>
              <w:tc>
                <w:tcPr>
                  <w:tcW w:w="822"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线路贡夜间dB（A）</w:t>
                  </w:r>
                </w:p>
              </w:tc>
              <w:tc>
                <w:tcPr>
                  <w:tcW w:w="980"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叠加值昼间dB（A）</w:t>
                  </w:r>
                </w:p>
              </w:tc>
              <w:tc>
                <w:tcPr>
                  <w:tcW w:w="852"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sz w:val="18"/>
                      <w:szCs w:val="18"/>
                      <w:highlight w:val="none"/>
                      <w:u w:val="none"/>
                    </w:rPr>
                  </w:pPr>
                  <w:r>
                    <w:rPr>
                      <w:rFonts w:hint="default" w:ascii="Times New Roman" w:hAnsi="Times New Roman" w:eastAsia="宋体" w:cs="Times New Roman"/>
                      <w:i w:val="0"/>
                      <w:iCs w:val="0"/>
                      <w:color w:val="auto"/>
                      <w:kern w:val="0"/>
                      <w:sz w:val="18"/>
                      <w:szCs w:val="18"/>
                      <w:highlight w:val="none"/>
                      <w:u w:val="none"/>
                      <w:lang w:val="en-US" w:eastAsia="zh-CN" w:bidi="ar"/>
                    </w:rPr>
                    <w:t>叠加值夜间dB（A）</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21" w:hRule="atLeast"/>
              </w:trPr>
              <w:tc>
                <w:tcPr>
                  <w:tcW w:w="743"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1</w:t>
                  </w:r>
                </w:p>
              </w:tc>
              <w:tc>
                <w:tcPr>
                  <w:tcW w:w="1385"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保护目标1-伽师县江巴孜乡喀热村1组农户家</w:t>
                  </w:r>
                </w:p>
              </w:tc>
              <w:tc>
                <w:tcPr>
                  <w:tcW w:w="786"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线路正下方</w:t>
                  </w:r>
                </w:p>
              </w:tc>
              <w:tc>
                <w:tcPr>
                  <w:tcW w:w="774"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42</w:t>
                  </w:r>
                </w:p>
              </w:tc>
              <w:tc>
                <w:tcPr>
                  <w:tcW w:w="722"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39</w:t>
                  </w:r>
                </w:p>
              </w:tc>
              <w:tc>
                <w:tcPr>
                  <w:tcW w:w="852"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41.3</w:t>
                  </w:r>
                </w:p>
              </w:tc>
              <w:tc>
                <w:tcPr>
                  <w:tcW w:w="822"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39.8</w:t>
                  </w:r>
                </w:p>
              </w:tc>
              <w:tc>
                <w:tcPr>
                  <w:tcW w:w="980"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47.7</w:t>
                  </w:r>
                </w:p>
              </w:tc>
              <w:tc>
                <w:tcPr>
                  <w:tcW w:w="852" w:type="dxa"/>
                  <w:tcBorders>
                    <w:tl2br w:val="nil"/>
                    <w:tr2bl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i w:val="0"/>
                      <w:iCs w:val="0"/>
                      <w:color w:val="auto"/>
                      <w:kern w:val="0"/>
                      <w:sz w:val="18"/>
                      <w:szCs w:val="18"/>
                      <w:highlight w:val="none"/>
                      <w:u w:val="none"/>
                      <w:lang w:val="en-US" w:eastAsia="zh-CN" w:bidi="ar"/>
                    </w:rPr>
                  </w:pPr>
                  <w:r>
                    <w:rPr>
                      <w:rFonts w:hint="default" w:ascii="Times New Roman" w:hAnsi="Times New Roman" w:eastAsia="宋体" w:cs="Times New Roman"/>
                      <w:i w:val="0"/>
                      <w:iCs w:val="0"/>
                      <w:color w:val="auto"/>
                      <w:kern w:val="0"/>
                      <w:sz w:val="18"/>
                      <w:szCs w:val="18"/>
                      <w:highlight w:val="none"/>
                      <w:u w:val="none"/>
                      <w:lang w:val="en-US" w:eastAsia="zh-CN" w:bidi="ar"/>
                    </w:rPr>
                    <w:t>42.</w:t>
                  </w:r>
                  <w:r>
                    <w:rPr>
                      <w:rFonts w:hint="eastAsia" w:ascii="Times New Roman" w:hAnsi="Times New Roman" w:eastAsia="宋体" w:cs="Times New Roman"/>
                      <w:i w:val="0"/>
                      <w:iCs w:val="0"/>
                      <w:color w:val="auto"/>
                      <w:kern w:val="0"/>
                      <w:sz w:val="18"/>
                      <w:szCs w:val="18"/>
                      <w:highlight w:val="none"/>
                      <w:u w:val="none"/>
                      <w:lang w:val="en-US" w:eastAsia="zh-CN" w:bidi="ar"/>
                    </w:rPr>
                    <w:t>4</w:t>
                  </w:r>
                </w:p>
              </w:tc>
            </w:tr>
          </w:tbl>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color w:val="auto"/>
                <w:kern w:val="0"/>
                <w:sz w:val="24"/>
                <w:szCs w:val="24"/>
                <w:highlight w:val="none"/>
              </w:rPr>
            </w:pPr>
            <w:r>
              <w:rPr>
                <w:rFonts w:hint="default" w:ascii="Times New Roman" w:hAnsi="Times New Roman" w:cs="Times New Roman"/>
                <w:color w:val="auto"/>
                <w:kern w:val="0"/>
                <w:sz w:val="24"/>
                <w:szCs w:val="24"/>
                <w:highlight w:val="none"/>
              </w:rPr>
              <w:t>声环境影响保护目标处分析：</w:t>
            </w:r>
          </w:p>
          <w:p>
            <w:pPr>
              <w:keepNext w:val="0"/>
              <w:keepLines w:val="0"/>
              <w:widowControl/>
              <w:suppressLineNumbers w:val="0"/>
              <w:spacing w:before="0" w:beforeLines="0" w:beforeAutospacing="0" w:after="0" w:afterLines="0" w:afterAutospacing="0" w:line="360" w:lineRule="auto"/>
              <w:ind w:left="0" w:right="0" w:firstLine="720" w:firstLineChars="300"/>
              <w:rPr>
                <w:rFonts w:hint="default" w:ascii="Times New Roman" w:hAnsi="Times New Roman" w:eastAsia="宋体" w:cs="Times New Roman"/>
                <w:b/>
                <w:bCs/>
                <w:color w:val="auto"/>
                <w:kern w:val="2"/>
                <w:highlight w:val="none"/>
                <w:lang w:val="en-US" w:eastAsia="zh-CN"/>
              </w:rPr>
            </w:pPr>
            <w:r>
              <w:rPr>
                <w:rFonts w:hint="default" w:ascii="Times New Roman" w:hAnsi="Times New Roman" w:cs="Times New Roman"/>
                <w:color w:val="auto"/>
                <w:kern w:val="0"/>
                <w:sz w:val="24"/>
                <w:szCs w:val="24"/>
                <w:highlight w:val="none"/>
              </w:rPr>
              <w:t>本项目双回线路沿线有1处声环境保护目标，距边导线投影最小距离为线路正下方。根据上表的</w:t>
            </w:r>
            <w:r>
              <w:rPr>
                <w:rFonts w:hint="eastAsia" w:ascii="Times New Roman" w:hAnsi="Times New Roman" w:cs="Times New Roman"/>
                <w:color w:val="auto"/>
                <w:kern w:val="0"/>
                <w:sz w:val="24"/>
                <w:szCs w:val="24"/>
                <w:highlight w:val="none"/>
                <w:lang w:val="en-US" w:eastAsia="zh-CN"/>
              </w:rPr>
              <w:t>预测</w:t>
            </w:r>
            <w:r>
              <w:rPr>
                <w:rFonts w:hint="default" w:ascii="Times New Roman" w:hAnsi="Times New Roman" w:cs="Times New Roman"/>
                <w:color w:val="auto"/>
                <w:kern w:val="0"/>
                <w:sz w:val="24"/>
                <w:szCs w:val="24"/>
                <w:highlight w:val="none"/>
              </w:rPr>
              <w:t>监测结果</w:t>
            </w:r>
            <w:r>
              <w:rPr>
                <w:rFonts w:hint="eastAsia" w:ascii="Times New Roman" w:hAnsi="Times New Roman" w:cs="Times New Roman"/>
                <w:color w:val="auto"/>
                <w:kern w:val="0"/>
                <w:sz w:val="24"/>
                <w:szCs w:val="24"/>
                <w:highlight w:val="none"/>
                <w:lang w:val="en-US" w:eastAsia="zh-CN"/>
              </w:rPr>
              <w:t>可知，</w:t>
            </w:r>
            <w:r>
              <w:rPr>
                <w:rFonts w:hint="default" w:ascii="Times New Roman" w:hAnsi="Times New Roman" w:cs="Times New Roman"/>
                <w:color w:val="auto"/>
                <w:kern w:val="0"/>
                <w:sz w:val="24"/>
                <w:szCs w:val="24"/>
                <w:highlight w:val="none"/>
              </w:rPr>
              <w:t>沿线声环境可满足《声环境质量标准》（GB3096-2008）中相应的2类标准。</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8" w:lineRule="auto"/>
              <w:ind w:left="0" w:right="0"/>
              <w:jc w:val="both"/>
              <w:textAlignment w:val="auto"/>
              <w:outlineLvl w:val="9"/>
              <w:rPr>
                <w:rFonts w:hint="default" w:ascii="Times New Roman" w:hAnsi="Times New Roman" w:eastAsia="宋体" w:cs="Times New Roman"/>
                <w:b/>
                <w:bCs/>
                <w:color w:val="auto"/>
                <w:kern w:val="2"/>
                <w:highlight w:val="none"/>
                <w:lang w:val="en-US" w:eastAsia="zh-CN"/>
              </w:rPr>
            </w:pPr>
            <w:r>
              <w:rPr>
                <w:rFonts w:hint="default" w:ascii="Times New Roman" w:hAnsi="Times New Roman" w:eastAsia="宋体" w:cs="Times New Roman"/>
                <w:b/>
                <w:bCs/>
                <w:color w:val="auto"/>
                <w:kern w:val="2"/>
                <w:highlight w:val="none"/>
                <w:lang w:val="en-US" w:eastAsia="zh-CN"/>
              </w:rPr>
              <w:t>2.</w:t>
            </w:r>
            <w:r>
              <w:rPr>
                <w:rFonts w:hint="default" w:ascii="Times New Roman" w:hAnsi="Times New Roman" w:cs="Times New Roman"/>
                <w:b/>
                <w:bCs/>
                <w:color w:val="auto"/>
                <w:kern w:val="2"/>
                <w:highlight w:val="none"/>
                <w:lang w:val="en-US" w:eastAsia="zh-CN"/>
              </w:rPr>
              <w:t>3</w:t>
            </w:r>
            <w:r>
              <w:rPr>
                <w:rFonts w:hint="default" w:ascii="Times New Roman" w:hAnsi="Times New Roman" w:eastAsia="宋体" w:cs="Times New Roman"/>
                <w:b/>
                <w:bCs/>
                <w:color w:val="auto"/>
                <w:kern w:val="2"/>
                <w:highlight w:val="none"/>
                <w:lang w:val="en-US" w:eastAsia="zh-CN"/>
              </w:rPr>
              <w:t>变电站</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jc w:val="both"/>
              <w:textAlignment w:val="auto"/>
              <w:outlineLvl w:val="9"/>
              <w:rPr>
                <w:rFonts w:hint="default" w:ascii="Times New Roman" w:hAnsi="Times New Roman" w:eastAsia="宋体" w:cs="Times New Roman"/>
                <w:color w:val="auto"/>
                <w:kern w:val="2"/>
                <w:highlight w:val="none"/>
                <w:lang w:val="en-US" w:eastAsia="zh-CN"/>
              </w:rPr>
            </w:pPr>
            <w:r>
              <w:rPr>
                <w:rFonts w:hint="default" w:ascii="Times New Roman" w:hAnsi="Times New Roman" w:eastAsia="宋体" w:cs="Times New Roman"/>
                <w:color w:val="auto"/>
                <w:kern w:val="2"/>
                <w:highlight w:val="none"/>
                <w:lang w:val="en-US" w:eastAsia="zh-CN"/>
              </w:rPr>
              <w:t>本项目根据《环境影响评价技术导则 声环境》</w:t>
            </w:r>
            <w:r>
              <w:rPr>
                <w:rFonts w:hint="eastAsia" w:ascii="Times New Roman" w:hAnsi="Times New Roman" w:cs="Times New Roman"/>
                <w:color w:val="auto"/>
                <w:kern w:val="2"/>
                <w:highlight w:val="none"/>
                <w:lang w:val="en-US" w:eastAsia="zh-CN"/>
              </w:rPr>
              <w:t>（</w:t>
            </w:r>
            <w:r>
              <w:rPr>
                <w:rFonts w:hint="default" w:ascii="Times New Roman" w:hAnsi="Times New Roman" w:eastAsia="宋体" w:cs="Times New Roman"/>
                <w:color w:val="auto"/>
                <w:kern w:val="2"/>
                <w:highlight w:val="none"/>
                <w:lang w:val="en-US" w:eastAsia="zh-CN"/>
              </w:rPr>
              <w:t>HJ2.4-2021</w:t>
            </w:r>
            <w:r>
              <w:rPr>
                <w:rFonts w:hint="eastAsia" w:ascii="Times New Roman" w:hAnsi="Times New Roman" w:cs="Times New Roman"/>
                <w:color w:val="auto"/>
                <w:kern w:val="2"/>
                <w:highlight w:val="none"/>
                <w:lang w:val="en-US" w:eastAsia="zh-CN"/>
              </w:rPr>
              <w:t>）</w:t>
            </w:r>
            <w:r>
              <w:rPr>
                <w:rFonts w:hint="default" w:ascii="Times New Roman" w:hAnsi="Times New Roman" w:eastAsia="宋体" w:cs="Times New Roman"/>
                <w:color w:val="auto"/>
                <w:kern w:val="2"/>
                <w:highlight w:val="none"/>
                <w:lang w:val="en-US" w:eastAsia="zh-CN"/>
              </w:rPr>
              <w:t>中规定的工业噪声预测模式，采用环安噪声环境影响评价系统环境噪声模拟软件，预测变电站主要噪声源的噪声贡献值，并按5dB</w:t>
            </w:r>
            <w:r>
              <w:rPr>
                <w:rFonts w:hint="eastAsia" w:ascii="Times New Roman" w:hAnsi="Times New Roman" w:cs="Times New Roman"/>
                <w:color w:val="auto"/>
                <w:kern w:val="2"/>
                <w:highlight w:val="none"/>
                <w:lang w:val="en-US" w:eastAsia="zh-CN"/>
              </w:rPr>
              <w:t>（A）</w:t>
            </w:r>
            <w:r>
              <w:rPr>
                <w:rFonts w:hint="default" w:ascii="Times New Roman" w:hAnsi="Times New Roman" w:eastAsia="宋体" w:cs="Times New Roman"/>
                <w:color w:val="auto"/>
                <w:kern w:val="2"/>
                <w:highlight w:val="none"/>
                <w:lang w:val="en-US" w:eastAsia="zh-CN"/>
              </w:rPr>
              <w:t>的等声级线间隔绘制地面1.2m高度处的等声级线图，然后与环境标准对比进行评价。</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jc w:val="both"/>
              <w:textAlignment w:val="auto"/>
              <w:outlineLvl w:val="9"/>
              <w:rPr>
                <w:rFonts w:hint="default" w:ascii="Times New Roman" w:hAnsi="Times New Roman" w:eastAsia="宋体" w:cs="Times New Roman"/>
                <w:color w:val="auto"/>
                <w:kern w:val="2"/>
                <w:highlight w:val="none"/>
                <w:lang w:val="en-US" w:eastAsia="zh-CN"/>
              </w:rPr>
            </w:pPr>
            <w:r>
              <w:rPr>
                <w:rFonts w:hint="default" w:ascii="Times New Roman" w:hAnsi="Times New Roman" w:eastAsia="宋体" w:cs="Times New Roman"/>
                <w:color w:val="auto"/>
                <w:kern w:val="2"/>
                <w:highlight w:val="none"/>
                <w:lang w:val="en-US" w:eastAsia="zh-CN"/>
              </w:rPr>
              <w:t>（1）预测时段</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jc w:val="both"/>
              <w:textAlignment w:val="auto"/>
              <w:outlineLvl w:val="9"/>
              <w:rPr>
                <w:rFonts w:hint="default" w:ascii="Times New Roman" w:hAnsi="Times New Roman" w:eastAsia="宋体" w:cs="Times New Roman"/>
                <w:color w:val="auto"/>
                <w:kern w:val="2"/>
                <w:highlight w:val="none"/>
                <w:lang w:val="en-US" w:eastAsia="zh-CN"/>
              </w:rPr>
            </w:pPr>
            <w:r>
              <w:rPr>
                <w:rFonts w:hint="default" w:ascii="Times New Roman" w:hAnsi="Times New Roman" w:eastAsia="宋体" w:cs="Times New Roman"/>
                <w:color w:val="auto"/>
                <w:kern w:val="2"/>
                <w:highlight w:val="none"/>
                <w:lang w:val="en-US" w:eastAsia="zh-CN"/>
              </w:rPr>
              <w:t>变电站一般为24h连续运行，噪声源稳定，对周围声环境的贡献值昼夜基本相同。故本次评价重点对变电站运行期的噪声进行预测。</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jc w:val="both"/>
              <w:textAlignment w:val="auto"/>
              <w:outlineLvl w:val="9"/>
              <w:rPr>
                <w:rFonts w:hint="default" w:ascii="Times New Roman" w:hAnsi="Times New Roman" w:eastAsia="宋体" w:cs="Times New Roman"/>
                <w:color w:val="auto"/>
                <w:kern w:val="2"/>
                <w:highlight w:val="none"/>
                <w:lang w:val="en-US" w:eastAsia="zh-CN"/>
              </w:rPr>
            </w:pPr>
            <w:r>
              <w:rPr>
                <w:rFonts w:hint="default" w:ascii="Times New Roman" w:hAnsi="Times New Roman" w:eastAsia="宋体" w:cs="Times New Roman"/>
                <w:color w:val="auto"/>
                <w:kern w:val="2"/>
                <w:highlight w:val="none"/>
                <w:lang w:val="en-US" w:eastAsia="zh-CN"/>
              </w:rPr>
              <w:t>（2）衰减因素选取</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jc w:val="both"/>
              <w:textAlignment w:val="auto"/>
              <w:outlineLvl w:val="9"/>
              <w:rPr>
                <w:rFonts w:hint="default" w:ascii="Times New Roman" w:hAnsi="Times New Roman" w:eastAsia="宋体" w:cs="Times New Roman"/>
                <w:color w:val="auto"/>
                <w:kern w:val="2"/>
                <w:highlight w:val="none"/>
                <w:lang w:val="en-US" w:eastAsia="zh-CN"/>
              </w:rPr>
            </w:pPr>
            <w:r>
              <w:rPr>
                <w:rFonts w:hint="default" w:ascii="Times New Roman" w:hAnsi="Times New Roman" w:eastAsia="宋体" w:cs="Times New Roman"/>
                <w:color w:val="auto"/>
                <w:kern w:val="2"/>
                <w:highlight w:val="none"/>
                <w:lang w:val="en-US" w:eastAsia="zh-CN"/>
              </w:rPr>
              <w:t>预测计算时，在满足工程所需精度的前提下，采用了较为保守的考虑，在噪声衰减时考虑了站内建筑物及围墙的遮挡屏蔽效应。</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jc w:val="both"/>
              <w:textAlignment w:val="auto"/>
              <w:outlineLvl w:val="9"/>
              <w:rPr>
                <w:rFonts w:hint="default" w:ascii="Times New Roman" w:hAnsi="Times New Roman" w:eastAsia="宋体" w:cs="Times New Roman"/>
                <w:color w:val="auto"/>
                <w:kern w:val="2"/>
                <w:highlight w:val="none"/>
                <w:lang w:val="en-US" w:eastAsia="zh-CN"/>
              </w:rPr>
            </w:pPr>
            <w:r>
              <w:rPr>
                <w:rFonts w:hint="default" w:ascii="Times New Roman" w:hAnsi="Times New Roman" w:eastAsia="宋体" w:cs="Times New Roman"/>
                <w:color w:val="auto"/>
                <w:kern w:val="2"/>
                <w:highlight w:val="none"/>
                <w:lang w:val="en-US" w:eastAsia="zh-CN"/>
              </w:rPr>
              <w:t>（3）预测软件及参数</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jc w:val="both"/>
              <w:textAlignment w:val="auto"/>
              <w:outlineLvl w:val="9"/>
              <w:rPr>
                <w:rFonts w:hint="default" w:ascii="Times New Roman" w:hAnsi="Times New Roman" w:eastAsia="宋体" w:cs="Times New Roman"/>
                <w:color w:val="auto"/>
                <w:kern w:val="2"/>
                <w:highlight w:val="none"/>
                <w:lang w:val="en-US" w:eastAsia="zh-CN"/>
              </w:rPr>
            </w:pPr>
            <w:r>
              <w:rPr>
                <w:rFonts w:hint="default" w:ascii="Times New Roman" w:hAnsi="Times New Roman" w:eastAsia="宋体" w:cs="Times New Roman"/>
                <w:color w:val="auto"/>
                <w:kern w:val="2"/>
                <w:highlight w:val="none"/>
                <w:lang w:val="en-US" w:eastAsia="zh-CN"/>
              </w:rPr>
              <w:t>根据对</w:t>
            </w:r>
            <w:r>
              <w:rPr>
                <w:rFonts w:hint="default" w:ascii="Times New Roman" w:hAnsi="Times New Roman" w:cs="Times New Roman"/>
                <w:color w:val="auto"/>
                <w:kern w:val="2"/>
                <w:highlight w:val="none"/>
                <w:lang w:val="en-US" w:eastAsia="zh-CN"/>
              </w:rPr>
              <w:t>本项目</w:t>
            </w:r>
            <w:r>
              <w:rPr>
                <w:rFonts w:hint="default" w:ascii="Times New Roman" w:hAnsi="Times New Roman" w:eastAsia="宋体" w:cs="Times New Roman"/>
                <w:color w:val="auto"/>
                <w:kern w:val="2"/>
                <w:highlight w:val="none"/>
                <w:lang w:val="en-US" w:eastAsia="zh-CN"/>
              </w:rPr>
              <w:t>运行期的噪声源分析，变电站运行期间的噪声主要是由主变产生。参照《变电站噪声控制技术导则》（DL/T 1518-2016），110kV油浸自冷主变单台噪声源强按照63.7dB</w:t>
            </w:r>
            <w:r>
              <w:rPr>
                <w:rFonts w:hint="eastAsia" w:ascii="Times New Roman" w:hAnsi="Times New Roman" w:cs="Times New Roman"/>
                <w:color w:val="auto"/>
                <w:kern w:val="2"/>
                <w:highlight w:val="none"/>
                <w:lang w:val="en-US" w:eastAsia="zh-CN"/>
              </w:rPr>
              <w:t>（A）</w:t>
            </w:r>
            <w:r>
              <w:rPr>
                <w:rFonts w:hint="default" w:ascii="Times New Roman" w:hAnsi="Times New Roman" w:eastAsia="宋体" w:cs="Times New Roman"/>
                <w:color w:val="auto"/>
                <w:kern w:val="2"/>
                <w:highlight w:val="none"/>
                <w:lang w:val="en-US" w:eastAsia="zh-CN"/>
              </w:rPr>
              <w:t>；主变压器为户外布置。新建工程站界噪声以噪声贡献值作为评价量。本项目运行后变电站噪声等声级线图见下图4-1，预测对象参数见下表4-</w:t>
            </w:r>
            <w:r>
              <w:rPr>
                <w:rFonts w:hint="eastAsia" w:ascii="Times New Roman" w:hAnsi="Times New Roman" w:cs="Times New Roman"/>
                <w:color w:val="auto"/>
                <w:kern w:val="2"/>
                <w:highlight w:val="none"/>
                <w:lang w:val="en-US" w:eastAsia="zh-CN"/>
              </w:rPr>
              <w:t>9</w:t>
            </w:r>
            <w:r>
              <w:rPr>
                <w:rFonts w:hint="default" w:ascii="Times New Roman" w:hAnsi="Times New Roman" w:eastAsia="宋体" w:cs="Times New Roman"/>
                <w:color w:val="auto"/>
                <w:kern w:val="2"/>
                <w:highlight w:val="none"/>
                <w:lang w:val="en-US" w:eastAsia="zh-CN"/>
              </w:rPr>
              <w:t>，预测结果见下表4-10</w:t>
            </w:r>
            <w:r>
              <w:rPr>
                <w:rFonts w:hint="eastAsia" w:ascii="Times New Roman" w:hAnsi="Times New Roman" w:cs="Times New Roman"/>
                <w:color w:val="auto"/>
                <w:kern w:val="2"/>
                <w:highlight w:val="none"/>
                <w:lang w:val="en-US" w:eastAsia="zh-CN"/>
              </w:rPr>
              <w:t>、表4-11</w:t>
            </w:r>
            <w:r>
              <w:rPr>
                <w:rFonts w:hint="default" w:ascii="Times New Roman" w:hAnsi="Times New Roman" w:eastAsia="宋体" w:cs="Times New Roman"/>
                <w:color w:val="auto"/>
                <w:kern w:val="2"/>
                <w:highlight w:val="none"/>
                <w:lang w:val="en-US" w:eastAsia="zh-CN"/>
              </w:rPr>
              <w:t>。</w:t>
            </w:r>
          </w:p>
          <w:p>
            <w:pPr>
              <w:pStyle w:val="47"/>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4"/>
                <w:szCs w:val="24"/>
                <w:highlight w:val="none"/>
              </w:rPr>
            </w:pPr>
          </w:p>
          <w:p>
            <w:pPr>
              <w:pStyle w:val="47"/>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表4-</w:t>
            </w:r>
            <w:r>
              <w:rPr>
                <w:rFonts w:hint="eastAsia" w:ascii="Times New Roman" w:hAnsi="Times New Roman" w:eastAsia="宋体" w:cs="Times New Roman"/>
                <w:color w:val="auto"/>
                <w:sz w:val="24"/>
                <w:szCs w:val="24"/>
                <w:highlight w:val="none"/>
                <w:lang w:val="en-US" w:eastAsia="zh-CN"/>
              </w:rPr>
              <w:t>9</w:t>
            </w:r>
            <w:r>
              <w:rPr>
                <w:rFonts w:hint="default" w:ascii="Times New Roman" w:hAnsi="Times New Roman" w:eastAsia="宋体" w:cs="Times New Roman"/>
                <w:color w:val="auto"/>
                <w:sz w:val="24"/>
                <w:szCs w:val="24"/>
                <w:highlight w:val="none"/>
              </w:rPr>
              <w:t xml:space="preserve">  </w:t>
            </w:r>
            <w:r>
              <w:rPr>
                <w:rFonts w:hint="default" w:ascii="Times New Roman" w:hAnsi="Times New Roman" w:eastAsia="宋体" w:cs="Times New Roman"/>
                <w:color w:val="auto"/>
                <w:sz w:val="24"/>
                <w:szCs w:val="24"/>
                <w:highlight w:val="none"/>
                <w:lang w:val="en-US" w:eastAsia="zh-CN"/>
              </w:rPr>
              <w:t>11</w:t>
            </w:r>
            <w:r>
              <w:rPr>
                <w:rFonts w:hint="default" w:ascii="Times New Roman" w:hAnsi="Times New Roman" w:eastAsia="宋体" w:cs="Times New Roman"/>
                <w:color w:val="auto"/>
                <w:sz w:val="24"/>
                <w:szCs w:val="24"/>
                <w:highlight w:val="none"/>
              </w:rPr>
              <w:t>0kV变电站噪声源强调查清单（室外声源）</w:t>
            </w:r>
          </w:p>
          <w:tbl>
            <w:tblPr>
              <w:tblStyle w:val="28"/>
              <w:tblW w:w="4765" w:type="pct"/>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0" w:type="dxa"/>
                <w:bottom w:w="0" w:type="dxa"/>
                <w:right w:w="0" w:type="dxa"/>
              </w:tblCellMar>
            </w:tblPr>
            <w:tblGrid>
              <w:gridCol w:w="654"/>
              <w:gridCol w:w="1015"/>
              <w:gridCol w:w="1133"/>
              <w:gridCol w:w="634"/>
              <w:gridCol w:w="608"/>
              <w:gridCol w:w="540"/>
              <w:gridCol w:w="1394"/>
              <w:gridCol w:w="978"/>
              <w:gridCol w:w="780"/>
            </w:tblGrid>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56" w:hRule="atLeast"/>
                <w:jc w:val="center"/>
              </w:trPr>
              <w:tc>
                <w:tcPr>
                  <w:tcW w:w="422" w:type="pct"/>
                  <w:vMerge w:val="restart"/>
                  <w:tcBorders>
                    <w:top w:val="single" w:color="000000" w:sz="12" w:space="0"/>
                    <w:left w:val="single" w:color="000000" w:sz="12"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序号</w:t>
                  </w:r>
                </w:p>
              </w:tc>
              <w:tc>
                <w:tcPr>
                  <w:tcW w:w="656" w:type="pct"/>
                  <w:vMerge w:val="restart"/>
                  <w:tcBorders>
                    <w:top w:val="single" w:color="000000" w:sz="12"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声源设备</w:t>
                  </w:r>
                </w:p>
              </w:tc>
              <w:tc>
                <w:tcPr>
                  <w:tcW w:w="732" w:type="pct"/>
                  <w:vMerge w:val="restart"/>
                  <w:tcBorders>
                    <w:top w:val="single" w:color="000000" w:sz="12"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型号</w:t>
                  </w:r>
                </w:p>
              </w:tc>
              <w:tc>
                <w:tcPr>
                  <w:tcW w:w="1151" w:type="pct"/>
                  <w:gridSpan w:val="3"/>
                  <w:tcBorders>
                    <w:top w:val="single" w:color="000000" w:sz="12"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空间相对位置 m</w:t>
                  </w:r>
                </w:p>
              </w:tc>
              <w:tc>
                <w:tcPr>
                  <w:tcW w:w="900" w:type="pct"/>
                  <w:vMerge w:val="restart"/>
                  <w:tcBorders>
                    <w:top w:val="single" w:color="000000" w:sz="12"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距设备外壳1m处A声压级（dB）</w:t>
                  </w:r>
                </w:p>
              </w:tc>
              <w:tc>
                <w:tcPr>
                  <w:tcW w:w="632" w:type="pct"/>
                  <w:vMerge w:val="restart"/>
                  <w:tcBorders>
                    <w:top w:val="single" w:color="000000" w:sz="12"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声源控制措施</w:t>
                  </w:r>
                </w:p>
              </w:tc>
              <w:tc>
                <w:tcPr>
                  <w:tcW w:w="504" w:type="pct"/>
                  <w:vMerge w:val="restart"/>
                  <w:tcBorders>
                    <w:top w:val="single" w:color="000000" w:sz="12" w:space="0"/>
                    <w:left w:val="single" w:color="000000" w:sz="4" w:space="0"/>
                    <w:bottom w:val="single" w:color="000000" w:sz="4" w:space="0"/>
                    <w:right w:val="single" w:color="000000" w:sz="12"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运行时段</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267" w:hRule="atLeast"/>
                <w:jc w:val="center"/>
              </w:trPr>
              <w:tc>
                <w:tcPr>
                  <w:tcW w:w="422" w:type="pct"/>
                  <w:vMerge w:val="continue"/>
                  <w:tcBorders>
                    <w:top w:val="single" w:color="000000" w:sz="4" w:space="0"/>
                    <w:left w:val="single" w:color="000000" w:sz="12" w:space="0"/>
                    <w:bottom w:val="single" w:color="000000" w:sz="4" w:space="0"/>
                    <w:right w:val="single" w:color="000000" w:sz="4" w:space="0"/>
                    <w:tl2br w:val="nil"/>
                    <w:tr2bl w:val="nil"/>
                  </w:tcBorders>
                  <w:noWrap w:val="0"/>
                  <w:textDirection w:val="tbRlV"/>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p>
              </w:tc>
              <w:tc>
                <w:tcPr>
                  <w:tcW w:w="656"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p>
              </w:tc>
              <w:tc>
                <w:tcPr>
                  <w:tcW w:w="73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X</w:t>
                  </w:r>
                </w:p>
              </w:tc>
              <w:tc>
                <w:tcPr>
                  <w:tcW w:w="3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Y</w:t>
                  </w:r>
                </w:p>
              </w:tc>
              <w:tc>
                <w:tcPr>
                  <w:tcW w:w="3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Z</w:t>
                  </w:r>
                </w:p>
              </w:tc>
              <w:tc>
                <w:tcPr>
                  <w:tcW w:w="900"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p>
              </w:tc>
              <w:tc>
                <w:tcPr>
                  <w:tcW w:w="632" w:type="pct"/>
                  <w:vMerge w:val="continue"/>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lang w:val="en-US" w:eastAsia="zh-CN"/>
                    </w:rPr>
                  </w:pPr>
                </w:p>
              </w:tc>
              <w:tc>
                <w:tcPr>
                  <w:tcW w:w="504" w:type="pct"/>
                  <w:vMerge w:val="continue"/>
                  <w:tcBorders>
                    <w:top w:val="single" w:color="000000" w:sz="4" w:space="0"/>
                    <w:left w:val="single" w:color="000000" w:sz="4" w:space="0"/>
                    <w:bottom w:val="single" w:color="000000" w:sz="4" w:space="0"/>
                    <w:right w:val="single" w:color="000000" w:sz="12"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lang w:val="en-US" w:eastAsia="zh-CN"/>
                    </w:rPr>
                  </w:pP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895" w:hRule="atLeast"/>
                <w:jc w:val="center"/>
              </w:trPr>
              <w:tc>
                <w:tcPr>
                  <w:tcW w:w="422" w:type="pct"/>
                  <w:tcBorders>
                    <w:top w:val="single" w:color="000000" w:sz="4" w:space="0"/>
                    <w:left w:val="single" w:color="000000" w:sz="12"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656"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1# 主变</w:t>
                  </w:r>
                </w:p>
              </w:tc>
              <w:tc>
                <w:tcPr>
                  <w:tcW w:w="732" w:type="pct"/>
                  <w:vMerge w:val="restart"/>
                  <w:tcBorders>
                    <w:top w:val="single" w:color="000000" w:sz="4" w:space="0"/>
                    <w:left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11</w:t>
                  </w:r>
                  <w:r>
                    <w:rPr>
                      <w:rFonts w:hint="default" w:ascii="Times New Roman" w:hAnsi="Times New Roman" w:eastAsia="宋体" w:cs="Times New Roman"/>
                      <w:color w:val="auto"/>
                      <w:sz w:val="21"/>
                      <w:szCs w:val="21"/>
                      <w:highlight w:val="none"/>
                    </w:rPr>
                    <w:t>0kV三相双卷有载调压升压变压器油浸自冷</w:t>
                  </w:r>
                </w:p>
              </w:tc>
              <w:tc>
                <w:tcPr>
                  <w:tcW w:w="40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25</w:t>
                  </w:r>
                </w:p>
              </w:tc>
              <w:tc>
                <w:tcPr>
                  <w:tcW w:w="392"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62</w:t>
                  </w:r>
                </w:p>
              </w:tc>
              <w:tc>
                <w:tcPr>
                  <w:tcW w:w="349"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1.5</w:t>
                  </w:r>
                </w:p>
              </w:tc>
              <w:tc>
                <w:tcPr>
                  <w:tcW w:w="900" w:type="pct"/>
                  <w:tcBorders>
                    <w:top w:val="single" w:color="000000" w:sz="4" w:space="0"/>
                    <w:left w:val="single" w:color="000000" w:sz="4" w:space="0"/>
                    <w:bottom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63.7</w:t>
                  </w:r>
                </w:p>
              </w:tc>
              <w:tc>
                <w:tcPr>
                  <w:tcW w:w="632" w:type="pct"/>
                  <w:vMerge w:val="restart"/>
                  <w:tcBorders>
                    <w:top w:val="single" w:color="000000" w:sz="4" w:space="0"/>
                    <w:left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选用低噪声设备，在主变之间建立防火墙</w:t>
                  </w:r>
                </w:p>
              </w:tc>
              <w:tc>
                <w:tcPr>
                  <w:tcW w:w="504" w:type="pct"/>
                  <w:vMerge w:val="restart"/>
                  <w:tcBorders>
                    <w:top w:val="single" w:color="000000" w:sz="4" w:space="0"/>
                    <w:left w:val="single" w:color="000000" w:sz="4" w:space="0"/>
                    <w:right w:val="single" w:color="000000" w:sz="12"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0:00-24:00</w:t>
                  </w:r>
                </w:p>
              </w:tc>
            </w:tr>
            <w:tr>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0" w:type="dxa"/>
                  <w:bottom w:w="0" w:type="dxa"/>
                  <w:right w:w="0" w:type="dxa"/>
                </w:tblCellMar>
              </w:tblPrEx>
              <w:trPr>
                <w:trHeight w:val="786" w:hRule="atLeast"/>
                <w:jc w:val="center"/>
              </w:trPr>
              <w:tc>
                <w:tcPr>
                  <w:tcW w:w="422" w:type="pct"/>
                  <w:tcBorders>
                    <w:top w:val="single" w:color="000000" w:sz="4" w:space="0"/>
                    <w:left w:val="single" w:color="000000" w:sz="12"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656" w:type="pct"/>
                  <w:tcBorders>
                    <w:top w:val="single" w:color="000000" w:sz="4" w:space="0"/>
                    <w:left w:val="single" w:color="000000" w:sz="4" w:space="0"/>
                    <w:right w:val="single" w:color="000000" w:sz="4" w:space="0"/>
                    <w:tl2br w:val="nil"/>
                    <w:tr2bl w:val="nil"/>
                  </w:tcBorders>
                  <w:noWrap w:val="0"/>
                  <w:vAlign w:val="center"/>
                </w:tcPr>
                <w:p>
                  <w:pPr>
                    <w:keepNext w:val="0"/>
                    <w:keepLines w:val="0"/>
                    <w:widowControl/>
                    <w:suppressLineNumbers w:val="0"/>
                    <w:spacing w:before="0" w:beforeAutospacing="0" w:after="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0"/>
                      <w:sz w:val="21"/>
                      <w:szCs w:val="21"/>
                      <w:highlight w:val="none"/>
                      <w:lang w:val="en-US" w:eastAsia="zh-CN" w:bidi="ar"/>
                    </w:rPr>
                    <w:t>2# 主变</w:t>
                  </w:r>
                </w:p>
              </w:tc>
              <w:tc>
                <w:tcPr>
                  <w:tcW w:w="732" w:type="pct"/>
                  <w:vMerge w:val="continue"/>
                  <w:tcBorders>
                    <w:left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p>
              </w:tc>
              <w:tc>
                <w:tcPr>
                  <w:tcW w:w="409" w:type="pct"/>
                  <w:tcBorders>
                    <w:top w:val="single" w:color="000000" w:sz="4" w:space="0"/>
                    <w:left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25</w:t>
                  </w:r>
                </w:p>
              </w:tc>
              <w:tc>
                <w:tcPr>
                  <w:tcW w:w="392" w:type="pct"/>
                  <w:tcBorders>
                    <w:top w:val="single" w:color="000000" w:sz="4" w:space="0"/>
                    <w:left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47</w:t>
                  </w:r>
                </w:p>
              </w:tc>
              <w:tc>
                <w:tcPr>
                  <w:tcW w:w="349" w:type="pct"/>
                  <w:tcBorders>
                    <w:top w:val="single" w:color="000000" w:sz="4" w:space="0"/>
                    <w:left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1.5</w:t>
                  </w:r>
                </w:p>
              </w:tc>
              <w:tc>
                <w:tcPr>
                  <w:tcW w:w="900" w:type="pct"/>
                  <w:tcBorders>
                    <w:top w:val="single" w:color="000000" w:sz="4" w:space="0"/>
                    <w:left w:val="single" w:color="000000" w:sz="4" w:space="0"/>
                    <w:bottom w:val="single" w:color="000000" w:sz="12"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63.7</w:t>
                  </w:r>
                </w:p>
              </w:tc>
              <w:tc>
                <w:tcPr>
                  <w:tcW w:w="632" w:type="pct"/>
                  <w:vMerge w:val="continue"/>
                  <w:tcBorders>
                    <w:left w:val="single" w:color="000000" w:sz="4" w:space="0"/>
                    <w:right w:val="single" w:color="000000" w:sz="4"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4"/>
                      <w:highlight w:val="none"/>
                    </w:rPr>
                  </w:pPr>
                </w:p>
              </w:tc>
              <w:tc>
                <w:tcPr>
                  <w:tcW w:w="504" w:type="pct"/>
                  <w:vMerge w:val="continue"/>
                  <w:tcBorders>
                    <w:left w:val="single" w:color="000000" w:sz="4" w:space="0"/>
                    <w:right w:val="single" w:color="000000" w:sz="12" w:space="0"/>
                    <w:tl2br w:val="nil"/>
                    <w:tr2bl w:val="nil"/>
                  </w:tcBorders>
                  <w:noWrap w:val="0"/>
                  <w:vAlign w:val="center"/>
                </w:tcPr>
                <w:p>
                  <w:pPr>
                    <w:pStyle w:val="51"/>
                    <w:keepNext w:val="0"/>
                    <w:keepLines w:val="0"/>
                    <w:widowControl/>
                    <w:suppressLineNumbers w:val="0"/>
                    <w:spacing w:before="0" w:beforeLines="0" w:beforeAutospacing="0" w:after="0" w:afterLines="0" w:afterAutospacing="0" w:line="240" w:lineRule="auto"/>
                    <w:ind w:left="0" w:right="0"/>
                    <w:jc w:val="center"/>
                    <w:rPr>
                      <w:rFonts w:hint="default" w:ascii="Times New Roman" w:hAnsi="Times New Roman" w:eastAsia="宋体" w:cs="Times New Roman"/>
                      <w:color w:val="auto"/>
                      <w:sz w:val="21"/>
                      <w:szCs w:val="24"/>
                      <w:highlight w:val="none"/>
                    </w:rPr>
                  </w:pPr>
                </w:p>
              </w:tc>
            </w:tr>
          </w:tbl>
          <w:p>
            <w:pPr>
              <w:keepNext w:val="0"/>
              <w:keepLines w:val="0"/>
              <w:widowControl/>
              <w:suppressLineNumbers w:val="0"/>
              <w:tabs>
                <w:tab w:val="left" w:pos="8814"/>
              </w:tabs>
              <w:spacing w:before="0" w:beforeLines="0" w:beforeAutospacing="0" w:after="0" w:afterLines="0" w:afterAutospacing="0" w:line="240" w:lineRule="auto"/>
              <w:ind w:left="0" w:right="0" w:firstLine="420" w:firstLineChars="200"/>
              <w:jc w:val="left"/>
              <w:rPr>
                <w:rFonts w:hint="default" w:ascii="Times New Roman" w:hAnsi="Times New Roman" w:eastAsia="宋体" w:cs="Times New Roman"/>
                <w:color w:val="auto"/>
                <w:sz w:val="21"/>
                <w:szCs w:val="24"/>
                <w:highlight w:val="none"/>
                <w:lang w:bidi="ar"/>
              </w:rPr>
            </w:pPr>
            <w:r>
              <w:rPr>
                <w:rFonts w:hint="default" w:ascii="Times New Roman" w:hAnsi="Times New Roman" w:eastAsia="宋体" w:cs="Times New Roman"/>
                <w:color w:val="auto"/>
                <w:sz w:val="21"/>
                <w:szCs w:val="24"/>
                <w:highlight w:val="none"/>
                <w:lang w:bidi="ar"/>
              </w:rPr>
              <w:t>注：主变压器距设备外壳1m处A声压级取自《变电站噪声控制技术导则》（DL/T 1518-2016）附录B。</w:t>
            </w:r>
          </w:p>
          <w:p>
            <w:pPr>
              <w:keepNext w:val="0"/>
              <w:keepLines w:val="0"/>
              <w:widowControl/>
              <w:suppressLineNumbers w:val="0"/>
              <w:tabs>
                <w:tab w:val="left" w:pos="8814"/>
              </w:tabs>
              <w:spacing w:before="0" w:beforeLines="0" w:beforeAutospacing="0" w:after="0" w:afterLines="0" w:afterAutospacing="0" w:line="240" w:lineRule="auto"/>
              <w:ind w:left="0" w:right="0" w:firstLine="420" w:firstLineChars="200"/>
              <w:jc w:val="left"/>
              <w:rPr>
                <w:rFonts w:hint="default" w:ascii="Times New Roman" w:hAnsi="Times New Roman" w:eastAsia="宋体" w:cs="Times New Roman"/>
                <w:color w:val="auto"/>
                <w:sz w:val="21"/>
                <w:szCs w:val="24"/>
                <w:highlight w:val="none"/>
                <w:lang w:bidi="ar"/>
              </w:rPr>
            </w:pPr>
          </w:p>
          <w:p>
            <w:pPr>
              <w:keepNext w:val="0"/>
              <w:keepLines w:val="0"/>
              <w:widowControl/>
              <w:suppressLineNumbers w:val="0"/>
              <w:adjustRightInd w:val="0"/>
              <w:snapToGrid w:val="0"/>
              <w:spacing w:before="0" w:beforeLines="0" w:beforeAutospacing="0" w:after="0" w:afterLines="0" w:afterAutospacing="0"/>
              <w:ind w:left="0" w:right="0"/>
              <w:jc w:val="center"/>
              <w:outlineLvl w:val="9"/>
              <w:rPr>
                <w:rFonts w:hint="default" w:ascii="Times New Roman" w:hAnsi="Times New Roman" w:eastAsia="宋体" w:cs="Times New Roman"/>
                <w:b/>
                <w:color w:val="auto"/>
                <w:sz w:val="24"/>
                <w:szCs w:val="24"/>
                <w:highlight w:val="none"/>
                <w:lang w:bidi="ar"/>
              </w:rPr>
            </w:pPr>
          </w:p>
          <w:p>
            <w:pPr>
              <w:keepNext w:val="0"/>
              <w:keepLines w:val="0"/>
              <w:widowControl/>
              <w:suppressLineNumbers w:val="0"/>
              <w:adjustRightInd w:val="0"/>
              <w:snapToGrid w:val="0"/>
              <w:spacing w:before="0" w:beforeLines="0" w:beforeAutospacing="0" w:after="0" w:afterLines="0" w:afterAutospacing="0"/>
              <w:ind w:left="0" w:right="0"/>
              <w:jc w:val="center"/>
              <w:outlineLvl w:val="9"/>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lang w:val="en-US" w:eastAsia="zh-CN" w:bidi="ar"/>
              </w:rPr>
              <w:t>图4-1 变电站噪声预测等值线图</w:t>
            </w:r>
            <w:r>
              <w:rPr>
                <w:rFonts w:hint="default" w:ascii="Times New Roman" w:hAnsi="Times New Roman" w:eastAsia="宋体" w:cs="Times New Roman"/>
                <w:b/>
                <w:color w:val="auto"/>
                <w:sz w:val="24"/>
                <w:szCs w:val="24"/>
                <w:highlight w:val="none"/>
                <w:lang w:bidi="ar"/>
              </w:rPr>
              <w:br w:type="textWrapping"/>
            </w:r>
            <w:r>
              <w:rPr>
                <w:rFonts w:hint="default" w:ascii="Times New Roman" w:hAnsi="Times New Roman" w:eastAsia="宋体" w:cs="Times New Roman"/>
                <w:b/>
                <w:color w:val="auto"/>
                <w:sz w:val="24"/>
                <w:szCs w:val="24"/>
                <w:highlight w:val="none"/>
                <w:lang w:bidi="ar"/>
              </w:rPr>
              <w:t>表4-</w:t>
            </w:r>
            <w:r>
              <w:rPr>
                <w:rFonts w:hint="eastAsia" w:ascii="Times New Roman" w:hAnsi="Times New Roman" w:cs="Times New Roman"/>
                <w:b/>
                <w:color w:val="auto"/>
                <w:sz w:val="24"/>
                <w:szCs w:val="24"/>
                <w:highlight w:val="none"/>
                <w:lang w:val="en-US" w:eastAsia="zh-CN" w:bidi="ar"/>
              </w:rPr>
              <w:t>10</w:t>
            </w:r>
            <w:r>
              <w:rPr>
                <w:rFonts w:hint="default" w:ascii="Times New Roman" w:hAnsi="Times New Roman" w:eastAsia="宋体" w:cs="Times New Roman"/>
                <w:b/>
                <w:color w:val="auto"/>
                <w:sz w:val="24"/>
                <w:szCs w:val="24"/>
                <w:highlight w:val="none"/>
                <w:lang w:bidi="ar"/>
              </w:rPr>
              <w:t xml:space="preserve">  本期项目噪声预测结果        单位：dB（A）</w:t>
            </w:r>
          </w:p>
          <w:tbl>
            <w:tblPr>
              <w:tblStyle w:val="28"/>
              <w:tblW w:w="809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08"/>
              <w:gridCol w:w="4296"/>
              <w:gridCol w:w="1247"/>
              <w:gridCol w:w="17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08" w:type="dxa"/>
                  <w:vMerge w:val="restart"/>
                  <w:tcBorders>
                    <w:top w:val="single" w:color="auto" w:sz="12" w:space="0"/>
                    <w:left w:val="single" w:color="auto" w:sz="12" w:space="0"/>
                    <w:bottom w:val="single" w:color="auto" w:sz="4" w:space="0"/>
                    <w:right w:val="single" w:color="auto" w:sz="4"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bidi="ar"/>
                    </w:rPr>
                  </w:pPr>
                  <w:r>
                    <w:rPr>
                      <w:rFonts w:hint="default" w:ascii="Times New Roman" w:hAnsi="Times New Roman" w:eastAsia="宋体" w:cs="Times New Roman"/>
                      <w:color w:val="auto"/>
                      <w:kern w:val="2"/>
                      <w:sz w:val="21"/>
                      <w:szCs w:val="21"/>
                      <w:highlight w:val="none"/>
                      <w:lang w:bidi="ar"/>
                    </w:rPr>
                    <w:t>序号</w:t>
                  </w:r>
                </w:p>
              </w:tc>
              <w:tc>
                <w:tcPr>
                  <w:tcW w:w="4296" w:type="dxa"/>
                  <w:vMerge w:val="restart"/>
                  <w:tcBorders>
                    <w:top w:val="single" w:color="auto" w:sz="12"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bidi="ar"/>
                    </w:rPr>
                  </w:pPr>
                  <w:r>
                    <w:rPr>
                      <w:rFonts w:hint="default" w:ascii="Times New Roman" w:hAnsi="Times New Roman" w:eastAsia="宋体" w:cs="Times New Roman"/>
                      <w:color w:val="auto"/>
                      <w:kern w:val="2"/>
                      <w:sz w:val="21"/>
                      <w:szCs w:val="21"/>
                      <w:highlight w:val="none"/>
                      <w:lang w:bidi="ar"/>
                    </w:rPr>
                    <w:t>预测点位</w:t>
                  </w:r>
                </w:p>
              </w:tc>
              <w:tc>
                <w:tcPr>
                  <w:tcW w:w="1247" w:type="dxa"/>
                  <w:vMerge w:val="restart"/>
                  <w:tcBorders>
                    <w:top w:val="single" w:color="auto" w:sz="12"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eastAsia="zh-CN" w:bidi="ar"/>
                    </w:rPr>
                  </w:pPr>
                  <w:r>
                    <w:rPr>
                      <w:rFonts w:hint="default" w:ascii="Times New Roman" w:hAnsi="Times New Roman" w:eastAsia="宋体" w:cs="Times New Roman"/>
                      <w:color w:val="auto"/>
                      <w:kern w:val="2"/>
                      <w:sz w:val="21"/>
                      <w:szCs w:val="21"/>
                      <w:highlight w:val="none"/>
                      <w:lang w:bidi="ar"/>
                    </w:rPr>
                    <w:t>噪声贡献值dB</w:t>
                  </w:r>
                  <w:r>
                    <w:rPr>
                      <w:rFonts w:hint="default" w:ascii="Times New Roman" w:hAnsi="Times New Roman" w:eastAsia="宋体" w:cs="Times New Roman"/>
                      <w:color w:val="auto"/>
                      <w:kern w:val="2"/>
                      <w:sz w:val="21"/>
                      <w:szCs w:val="21"/>
                      <w:highlight w:val="none"/>
                      <w:lang w:eastAsia="zh-CN" w:bidi="ar"/>
                    </w:rPr>
                    <w:t>（</w:t>
                  </w:r>
                  <w:r>
                    <w:rPr>
                      <w:rFonts w:hint="default" w:ascii="Times New Roman" w:hAnsi="Times New Roman" w:eastAsia="宋体" w:cs="Times New Roman"/>
                      <w:color w:val="auto"/>
                      <w:kern w:val="2"/>
                      <w:sz w:val="21"/>
                      <w:szCs w:val="21"/>
                      <w:highlight w:val="none"/>
                      <w:lang w:bidi="ar"/>
                    </w:rPr>
                    <w:t>A</w:t>
                  </w:r>
                  <w:r>
                    <w:rPr>
                      <w:rFonts w:hint="default" w:ascii="Times New Roman" w:hAnsi="Times New Roman" w:eastAsia="宋体" w:cs="Times New Roman"/>
                      <w:color w:val="auto"/>
                      <w:kern w:val="2"/>
                      <w:sz w:val="21"/>
                      <w:szCs w:val="21"/>
                      <w:highlight w:val="none"/>
                      <w:lang w:eastAsia="zh-CN" w:bidi="ar"/>
                    </w:rPr>
                    <w:t>）</w:t>
                  </w:r>
                </w:p>
              </w:tc>
              <w:tc>
                <w:tcPr>
                  <w:tcW w:w="1747" w:type="dxa"/>
                  <w:vMerge w:val="restart"/>
                  <w:tcBorders>
                    <w:top w:val="single" w:color="auto" w:sz="12" w:space="0"/>
                    <w:left w:val="single" w:color="auto" w:sz="4" w:space="0"/>
                    <w:bottom w:val="single" w:color="auto" w:sz="4" w:space="0"/>
                    <w:right w:val="single" w:color="auto" w:sz="12"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eastAsia="zh-CN" w:bidi="ar"/>
                    </w:rPr>
                  </w:pPr>
                  <w:r>
                    <w:rPr>
                      <w:rFonts w:hint="default" w:ascii="Times New Roman" w:hAnsi="Times New Roman" w:eastAsia="宋体" w:cs="Times New Roman"/>
                      <w:color w:val="auto"/>
                      <w:kern w:val="2"/>
                      <w:sz w:val="21"/>
                      <w:szCs w:val="21"/>
                      <w:highlight w:val="none"/>
                      <w:lang w:bidi="ar"/>
                    </w:rPr>
                    <w:t>评价标准dB</w:t>
                  </w:r>
                  <w:r>
                    <w:rPr>
                      <w:rFonts w:hint="default" w:ascii="Times New Roman" w:hAnsi="Times New Roman" w:eastAsia="宋体" w:cs="Times New Roman"/>
                      <w:color w:val="auto"/>
                      <w:kern w:val="2"/>
                      <w:sz w:val="21"/>
                      <w:szCs w:val="21"/>
                      <w:highlight w:val="none"/>
                      <w:lang w:eastAsia="zh-CN" w:bidi="ar"/>
                    </w:rPr>
                    <w:t>（</w:t>
                  </w:r>
                  <w:r>
                    <w:rPr>
                      <w:rFonts w:hint="default" w:ascii="Times New Roman" w:hAnsi="Times New Roman" w:eastAsia="宋体" w:cs="Times New Roman"/>
                      <w:color w:val="auto"/>
                      <w:kern w:val="2"/>
                      <w:sz w:val="21"/>
                      <w:szCs w:val="21"/>
                      <w:highlight w:val="none"/>
                      <w:lang w:bidi="ar"/>
                    </w:rPr>
                    <w:t>A</w:t>
                  </w:r>
                  <w:r>
                    <w:rPr>
                      <w:rFonts w:hint="default" w:ascii="Times New Roman" w:hAnsi="Times New Roman" w:eastAsia="宋体" w:cs="Times New Roman"/>
                      <w:color w:val="auto"/>
                      <w:kern w:val="2"/>
                      <w:sz w:val="21"/>
                      <w:szCs w:val="21"/>
                      <w:highlight w:val="none"/>
                      <w:lang w:eastAsia="zh-CN" w:bidi="ar"/>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808" w:type="dxa"/>
                  <w:vMerge w:val="continue"/>
                  <w:tcBorders>
                    <w:top w:val="single" w:color="auto" w:sz="4" w:space="0"/>
                    <w:left w:val="single" w:color="auto" w:sz="12" w:space="0"/>
                    <w:bottom w:val="single" w:color="auto" w:sz="4" w:space="0"/>
                    <w:right w:val="single" w:color="auto" w:sz="4"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bidi="ar"/>
                    </w:rPr>
                  </w:pPr>
                </w:p>
              </w:tc>
              <w:tc>
                <w:tcPr>
                  <w:tcW w:w="4296"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bidi="ar"/>
                    </w:rPr>
                  </w:pPr>
                </w:p>
              </w:tc>
              <w:tc>
                <w:tcPr>
                  <w:tcW w:w="1247"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bidi="ar"/>
                    </w:rPr>
                  </w:pPr>
                </w:p>
              </w:tc>
              <w:tc>
                <w:tcPr>
                  <w:tcW w:w="1747" w:type="dxa"/>
                  <w:vMerge w:val="continue"/>
                  <w:tcBorders>
                    <w:top w:val="single" w:color="auto" w:sz="4" w:space="0"/>
                    <w:left w:val="single" w:color="auto" w:sz="4" w:space="0"/>
                    <w:bottom w:val="single" w:color="auto" w:sz="4" w:space="0"/>
                    <w:right w:val="single" w:color="auto" w:sz="12"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bidi="ar"/>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808" w:type="dxa"/>
                  <w:tcBorders>
                    <w:top w:val="single" w:color="auto" w:sz="4" w:space="0"/>
                    <w:left w:val="single" w:color="auto" w:sz="12" w:space="0"/>
                    <w:bottom w:val="single" w:color="auto" w:sz="4" w:space="0"/>
                    <w:right w:val="single" w:color="auto" w:sz="4"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bidi="ar"/>
                    </w:rPr>
                  </w:pPr>
                  <w:r>
                    <w:rPr>
                      <w:rFonts w:hint="default" w:ascii="Times New Roman" w:hAnsi="Times New Roman" w:eastAsia="宋体" w:cs="Times New Roman"/>
                      <w:color w:val="auto"/>
                      <w:kern w:val="2"/>
                      <w:sz w:val="21"/>
                      <w:szCs w:val="21"/>
                      <w:highlight w:val="none"/>
                      <w:lang w:bidi="ar"/>
                    </w:rPr>
                    <w:t>1</w:t>
                  </w:r>
                </w:p>
              </w:tc>
              <w:tc>
                <w:tcPr>
                  <w:tcW w:w="429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
                    </w:rPr>
                    <w:t>厂界东侧外 1m</w:t>
                  </w:r>
                </w:p>
              </w:tc>
              <w:tc>
                <w:tcPr>
                  <w:tcW w:w="124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cs="Times New Roman"/>
                      <w:color w:val="auto"/>
                      <w:kern w:val="0"/>
                      <w:sz w:val="21"/>
                      <w:szCs w:val="21"/>
                      <w:highlight w:val="none"/>
                      <w:lang w:val="en-US" w:eastAsia="zh-CN" w:bidi="ar"/>
                    </w:rPr>
                    <w:t>33</w:t>
                  </w:r>
                </w:p>
              </w:tc>
              <w:tc>
                <w:tcPr>
                  <w:tcW w:w="1747" w:type="dxa"/>
                  <w:vMerge w:val="restart"/>
                  <w:tcBorders>
                    <w:top w:val="single" w:color="auto" w:sz="4" w:space="0"/>
                    <w:left w:val="single" w:color="auto" w:sz="4" w:space="0"/>
                    <w:right w:val="single" w:color="auto" w:sz="12"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
                    </w:rPr>
                  </w:pPr>
                  <w:r>
                    <w:rPr>
                      <w:rFonts w:hint="default" w:ascii="Times New Roman" w:hAnsi="Times New Roman" w:eastAsia="宋体" w:cs="Times New Roman"/>
                      <w:color w:val="auto"/>
                      <w:kern w:val="2"/>
                      <w:sz w:val="21"/>
                      <w:szCs w:val="21"/>
                      <w:highlight w:val="none"/>
                      <w:lang w:bidi="ar"/>
                    </w:rPr>
                    <w:t>昼间</w:t>
                  </w:r>
                  <w:r>
                    <w:rPr>
                      <w:rFonts w:hint="eastAsia" w:ascii="Times New Roman" w:hAnsi="Times New Roman" w:cs="Times New Roman"/>
                      <w:color w:val="auto"/>
                      <w:kern w:val="2"/>
                      <w:sz w:val="21"/>
                      <w:szCs w:val="21"/>
                      <w:highlight w:val="none"/>
                      <w:lang w:val="en-US" w:eastAsia="zh-CN" w:bidi="ar"/>
                    </w:rPr>
                    <w:t>65</w:t>
                  </w:r>
                </w:p>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val="en-US" w:eastAsia="zh-CN" w:bidi="ar"/>
                    </w:rPr>
                  </w:pPr>
                  <w:r>
                    <w:rPr>
                      <w:rFonts w:hint="default" w:ascii="Times New Roman" w:hAnsi="Times New Roman" w:eastAsia="宋体" w:cs="Times New Roman"/>
                      <w:color w:val="auto"/>
                      <w:kern w:val="2"/>
                      <w:sz w:val="21"/>
                      <w:szCs w:val="21"/>
                      <w:highlight w:val="none"/>
                      <w:lang w:bidi="ar"/>
                    </w:rPr>
                    <w:t>夜间</w:t>
                  </w:r>
                  <w:r>
                    <w:rPr>
                      <w:rFonts w:hint="eastAsia" w:ascii="Times New Roman" w:hAnsi="Times New Roman" w:cs="Times New Roman"/>
                      <w:color w:val="auto"/>
                      <w:kern w:val="2"/>
                      <w:sz w:val="21"/>
                      <w:szCs w:val="21"/>
                      <w:highlight w:val="none"/>
                      <w:lang w:val="en-US" w:eastAsia="zh-CN" w:bidi="ar"/>
                    </w:rPr>
                    <w:t>55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808" w:type="dxa"/>
                  <w:tcBorders>
                    <w:top w:val="single" w:color="auto" w:sz="4" w:space="0"/>
                    <w:left w:val="single" w:color="auto" w:sz="12" w:space="0"/>
                    <w:bottom w:val="single" w:color="auto" w:sz="4" w:space="0"/>
                    <w:right w:val="single" w:color="auto" w:sz="4"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bidi="ar"/>
                    </w:rPr>
                  </w:pPr>
                  <w:r>
                    <w:rPr>
                      <w:rFonts w:hint="default" w:ascii="Times New Roman" w:hAnsi="Times New Roman" w:eastAsia="宋体" w:cs="Times New Roman"/>
                      <w:color w:val="auto"/>
                      <w:kern w:val="2"/>
                      <w:sz w:val="21"/>
                      <w:szCs w:val="21"/>
                      <w:highlight w:val="none"/>
                      <w:lang w:bidi="ar"/>
                    </w:rPr>
                    <w:t>2</w:t>
                  </w:r>
                </w:p>
              </w:tc>
              <w:tc>
                <w:tcPr>
                  <w:tcW w:w="429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
                    </w:rPr>
                    <w:t>厂界南侧外 1m</w:t>
                  </w:r>
                </w:p>
              </w:tc>
              <w:tc>
                <w:tcPr>
                  <w:tcW w:w="124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cs="Times New Roman"/>
                      <w:color w:val="auto"/>
                      <w:kern w:val="0"/>
                      <w:sz w:val="21"/>
                      <w:szCs w:val="21"/>
                      <w:highlight w:val="none"/>
                      <w:lang w:val="en-US" w:eastAsia="zh-CN" w:bidi="ar"/>
                    </w:rPr>
                    <w:t>27</w:t>
                  </w:r>
                </w:p>
              </w:tc>
              <w:tc>
                <w:tcPr>
                  <w:tcW w:w="1747" w:type="dxa"/>
                  <w:vMerge w:val="continue"/>
                  <w:tcBorders>
                    <w:left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sz w:val="20"/>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808" w:type="dxa"/>
                  <w:tcBorders>
                    <w:top w:val="single" w:color="auto" w:sz="4" w:space="0"/>
                    <w:left w:val="single" w:color="auto" w:sz="12" w:space="0"/>
                    <w:bottom w:val="single" w:color="auto" w:sz="4" w:space="0"/>
                    <w:right w:val="single" w:color="auto" w:sz="4"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bidi="ar"/>
                    </w:rPr>
                  </w:pPr>
                  <w:r>
                    <w:rPr>
                      <w:rFonts w:hint="default" w:ascii="Times New Roman" w:hAnsi="Times New Roman" w:eastAsia="宋体" w:cs="Times New Roman"/>
                      <w:color w:val="auto"/>
                      <w:kern w:val="2"/>
                      <w:sz w:val="21"/>
                      <w:szCs w:val="21"/>
                      <w:highlight w:val="none"/>
                      <w:lang w:bidi="ar"/>
                    </w:rPr>
                    <w:t>3</w:t>
                  </w:r>
                </w:p>
              </w:tc>
              <w:tc>
                <w:tcPr>
                  <w:tcW w:w="429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
                    </w:rPr>
                    <w:t>厂界西侧外 1m</w:t>
                  </w:r>
                </w:p>
              </w:tc>
              <w:tc>
                <w:tcPr>
                  <w:tcW w:w="124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cs="Times New Roman"/>
                      <w:color w:val="auto"/>
                      <w:kern w:val="0"/>
                      <w:sz w:val="21"/>
                      <w:szCs w:val="21"/>
                      <w:highlight w:val="none"/>
                      <w:lang w:val="en-US" w:eastAsia="zh-CN" w:bidi="ar"/>
                    </w:rPr>
                    <w:t>18</w:t>
                  </w:r>
                </w:p>
              </w:tc>
              <w:tc>
                <w:tcPr>
                  <w:tcW w:w="1747" w:type="dxa"/>
                  <w:vMerge w:val="continue"/>
                  <w:tcBorders>
                    <w:left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sz w:val="20"/>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08" w:type="dxa"/>
                  <w:tcBorders>
                    <w:top w:val="single" w:color="auto" w:sz="4" w:space="0"/>
                    <w:left w:val="single" w:color="auto" w:sz="12" w:space="0"/>
                    <w:bottom w:val="single" w:color="auto" w:sz="4" w:space="0"/>
                    <w:right w:val="single" w:color="auto" w:sz="4"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kern w:val="2"/>
                      <w:sz w:val="21"/>
                      <w:szCs w:val="21"/>
                      <w:highlight w:val="none"/>
                      <w:lang w:bidi="ar"/>
                    </w:rPr>
                  </w:pPr>
                  <w:r>
                    <w:rPr>
                      <w:rFonts w:hint="default" w:ascii="Times New Roman" w:hAnsi="Times New Roman" w:eastAsia="宋体" w:cs="Times New Roman"/>
                      <w:color w:val="auto"/>
                      <w:kern w:val="2"/>
                      <w:sz w:val="21"/>
                      <w:szCs w:val="21"/>
                      <w:highlight w:val="none"/>
                      <w:lang w:bidi="ar"/>
                    </w:rPr>
                    <w:t>4</w:t>
                  </w:r>
                </w:p>
              </w:tc>
              <w:tc>
                <w:tcPr>
                  <w:tcW w:w="4296"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bidi="ar"/>
                    </w:rPr>
                    <w:t>厂界北侧外 1m</w:t>
                  </w:r>
                </w:p>
              </w:tc>
              <w:tc>
                <w:tcPr>
                  <w:tcW w:w="1247" w:type="dxa"/>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cs="Times New Roman"/>
                      <w:color w:val="auto"/>
                      <w:kern w:val="0"/>
                      <w:sz w:val="21"/>
                      <w:szCs w:val="21"/>
                      <w:highlight w:val="none"/>
                      <w:lang w:val="en-US" w:eastAsia="zh-CN" w:bidi="ar"/>
                    </w:rPr>
                    <w:t>31</w:t>
                  </w:r>
                </w:p>
              </w:tc>
              <w:tc>
                <w:tcPr>
                  <w:tcW w:w="1747" w:type="dxa"/>
                  <w:vMerge w:val="continue"/>
                  <w:tcBorders>
                    <w:left w:val="single" w:color="auto" w:sz="4"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sz w:val="20"/>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08" w:type="dxa"/>
                  <w:tcBorders>
                    <w:top w:val="single" w:color="auto" w:sz="4" w:space="0"/>
                    <w:left w:val="single" w:color="auto" w:sz="12" w:space="0"/>
                    <w:bottom w:val="single" w:color="auto" w:sz="12" w:space="0"/>
                    <w:right w:val="single" w:color="auto" w:sz="4" w:space="0"/>
                    <w:tl2br w:val="nil"/>
                    <w:tr2bl w:val="nil"/>
                  </w:tcBorders>
                  <w:noWrap w:val="0"/>
                  <w:vAlign w:val="center"/>
                </w:tcPr>
                <w:p>
                  <w:pPr>
                    <w:pStyle w:val="26"/>
                    <w:keepNext w:val="0"/>
                    <w:keepLines w:val="0"/>
                    <w:widowControl w:val="0"/>
                    <w:suppressLineNumbers w:val="0"/>
                    <w:adjustRightInd w:val="0"/>
                    <w:snapToGrid w:val="0"/>
                    <w:spacing w:before="0" w:beforeAutospacing="0" w:after="0" w:afterAutospacing="0"/>
                    <w:ind w:left="0" w:right="0"/>
                    <w:jc w:val="center"/>
                    <w:rPr>
                      <w:rFonts w:hint="eastAsia" w:ascii="Times New Roman" w:hAnsi="Times New Roman" w:eastAsia="宋体" w:cs="Times New Roman"/>
                      <w:color w:val="auto"/>
                      <w:kern w:val="2"/>
                      <w:sz w:val="21"/>
                      <w:szCs w:val="21"/>
                      <w:highlight w:val="none"/>
                      <w:lang w:val="en-US" w:eastAsia="zh-CN" w:bidi="ar"/>
                    </w:rPr>
                  </w:pPr>
                  <w:r>
                    <w:rPr>
                      <w:rFonts w:hint="eastAsia" w:ascii="Times New Roman" w:hAnsi="Times New Roman" w:cs="Times New Roman"/>
                      <w:color w:val="auto"/>
                      <w:kern w:val="2"/>
                      <w:sz w:val="21"/>
                      <w:szCs w:val="21"/>
                      <w:highlight w:val="none"/>
                      <w:lang w:val="en-US" w:eastAsia="zh-CN" w:bidi="ar"/>
                    </w:rPr>
                    <w:t>5</w:t>
                  </w:r>
                </w:p>
              </w:tc>
              <w:tc>
                <w:tcPr>
                  <w:tcW w:w="4296" w:type="dxa"/>
                  <w:tcBorders>
                    <w:top w:val="single" w:color="auto" w:sz="4" w:space="0"/>
                    <w:left w:val="single" w:color="auto" w:sz="4" w:space="0"/>
                    <w:bottom w:val="single" w:color="auto" w:sz="12"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厂界西侧20m消防队</w:t>
                  </w:r>
                </w:p>
              </w:tc>
              <w:tc>
                <w:tcPr>
                  <w:tcW w:w="1247" w:type="dxa"/>
                  <w:tcBorders>
                    <w:top w:val="single" w:color="auto" w:sz="4" w:space="0"/>
                    <w:left w:val="single" w:color="auto" w:sz="4" w:space="0"/>
                    <w:bottom w:val="single" w:color="auto" w:sz="12" w:space="0"/>
                    <w:right w:val="single" w:color="auto" w:sz="4" w:space="0"/>
                    <w:tl2br w:val="nil"/>
                    <w:tr2bl w:val="nil"/>
                  </w:tcBorders>
                  <w:noWrap w:val="0"/>
                  <w:vAlign w:val="center"/>
                </w:tcPr>
                <w:p>
                  <w:pPr>
                    <w:keepNext w:val="0"/>
                    <w:keepLines w:val="0"/>
                    <w:widowControl/>
                    <w:suppressLineNumbers w:val="0"/>
                    <w:spacing w:before="0" w:beforeAutospacing="0" w:after="0" w:afterAutospacing="0"/>
                    <w:ind w:left="0" w:right="0"/>
                    <w:jc w:val="center"/>
                    <w:rPr>
                      <w:rFonts w:hint="default" w:ascii="Times New Roman" w:hAnsi="Times New Roman" w:cs="Times New Roman"/>
                      <w:color w:val="auto"/>
                      <w:kern w:val="0"/>
                      <w:sz w:val="21"/>
                      <w:szCs w:val="21"/>
                      <w:highlight w:val="none"/>
                      <w:lang w:val="en-US" w:eastAsia="zh-CN" w:bidi="ar"/>
                    </w:rPr>
                  </w:pPr>
                  <w:r>
                    <w:rPr>
                      <w:rFonts w:hint="eastAsia" w:ascii="Times New Roman" w:hAnsi="Times New Roman" w:cs="Times New Roman"/>
                      <w:color w:val="auto"/>
                      <w:kern w:val="0"/>
                      <w:sz w:val="21"/>
                      <w:szCs w:val="21"/>
                      <w:highlight w:val="none"/>
                      <w:lang w:val="en-US" w:eastAsia="zh-CN" w:bidi="ar"/>
                    </w:rPr>
                    <w:t>16</w:t>
                  </w:r>
                </w:p>
              </w:tc>
              <w:tc>
                <w:tcPr>
                  <w:tcW w:w="1747" w:type="dxa"/>
                  <w:vMerge w:val="continue"/>
                  <w:tcBorders>
                    <w:left w:val="single" w:color="auto" w:sz="4" w:space="0"/>
                    <w:bottom w:val="single" w:color="auto" w:sz="12" w:space="0"/>
                    <w:right w:val="single" w:color="auto" w:sz="12" w:space="0"/>
                    <w:tl2br w:val="nil"/>
                    <w:tr2bl w:val="nil"/>
                  </w:tcBorders>
                  <w:noWrap w:val="0"/>
                  <w:vAlign w:val="center"/>
                </w:tcPr>
                <w:p>
                  <w:pPr>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sz w:val="20"/>
                      <w:szCs w:val="24"/>
                      <w:highlight w:val="none"/>
                    </w:rPr>
                  </w:pPr>
                </w:p>
              </w:tc>
            </w:tr>
          </w:tbl>
          <w:p>
            <w:pPr>
              <w:keepNext w:val="0"/>
              <w:keepLines w:val="0"/>
              <w:widowControl/>
              <w:suppressLineNumbers w:val="0"/>
              <w:adjustRightInd w:val="0"/>
              <w:snapToGrid w:val="0"/>
              <w:spacing w:before="0" w:beforeAutospacing="0" w:after="0" w:afterAutospacing="0"/>
              <w:ind w:left="0" w:right="0"/>
              <w:jc w:val="center"/>
              <w:rPr>
                <w:rFonts w:hint="eastAsia" w:ascii="Times New Roman" w:hAnsi="Times New Roman" w:eastAsia="Times New Roman" w:cs="Times New Roman"/>
                <w:b/>
                <w:color w:val="auto"/>
                <w:sz w:val="24"/>
                <w:szCs w:val="24"/>
                <w:highlight w:val="none"/>
              </w:rPr>
            </w:pPr>
            <w:r>
              <w:rPr>
                <w:rFonts w:hint="eastAsia" w:ascii="Times New Roman" w:hAnsi="Times New Roman" w:cs="Times New Roman"/>
                <w:b/>
                <w:color w:val="auto"/>
                <w:sz w:val="24"/>
                <w:szCs w:val="24"/>
                <w:highlight w:val="none"/>
                <w:lang w:bidi="ar"/>
              </w:rPr>
              <w:t>表4-</w:t>
            </w:r>
            <w:r>
              <w:rPr>
                <w:rFonts w:hint="eastAsia" w:ascii="Times New Roman" w:hAnsi="Times New Roman" w:eastAsia="宋体" w:cs="Times New Roman"/>
                <w:b/>
                <w:color w:val="auto"/>
                <w:sz w:val="24"/>
                <w:szCs w:val="24"/>
                <w:highlight w:val="none"/>
                <w:lang w:val="en-US" w:eastAsia="zh-CN" w:bidi="ar"/>
              </w:rPr>
              <w:t>11</w:t>
            </w:r>
            <w:r>
              <w:rPr>
                <w:rFonts w:hint="eastAsia" w:ascii="Times New Roman" w:hAnsi="Times New Roman" w:eastAsia="Times New Roman" w:cs="Times New Roman"/>
                <w:b/>
                <w:color w:val="auto"/>
                <w:sz w:val="24"/>
                <w:szCs w:val="24"/>
                <w:highlight w:val="none"/>
                <w:lang w:bidi="ar"/>
              </w:rPr>
              <w:t xml:space="preserve">  </w:t>
            </w:r>
            <w:r>
              <w:rPr>
                <w:rFonts w:hint="eastAsia" w:ascii="Times New Roman" w:hAnsi="Times New Roman" w:eastAsia="宋体" w:cs="Times New Roman"/>
                <w:b/>
                <w:color w:val="auto"/>
                <w:sz w:val="24"/>
                <w:szCs w:val="24"/>
                <w:highlight w:val="none"/>
                <w:lang w:val="en-US" w:eastAsia="zh-CN" w:bidi="ar"/>
              </w:rPr>
              <w:t>保护目标处噪声</w:t>
            </w:r>
            <w:r>
              <w:rPr>
                <w:rFonts w:hint="eastAsia" w:ascii="Times New Roman" w:hAnsi="Times New Roman" w:cs="Times New Roman"/>
                <w:b/>
                <w:color w:val="auto"/>
                <w:sz w:val="24"/>
                <w:szCs w:val="24"/>
                <w:highlight w:val="none"/>
                <w:lang w:bidi="ar"/>
              </w:rPr>
              <w:t>预测结果  单位：dB（A）</w:t>
            </w:r>
          </w:p>
          <w:tbl>
            <w:tblPr>
              <w:tblStyle w:val="28"/>
              <w:tblW w:w="80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74"/>
              <w:gridCol w:w="2167"/>
              <w:gridCol w:w="959"/>
              <w:gridCol w:w="791"/>
              <w:gridCol w:w="867"/>
              <w:gridCol w:w="804"/>
              <w:gridCol w:w="679"/>
              <w:gridCol w:w="124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574" w:type="dxa"/>
                  <w:vMerge w:val="restart"/>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eastAsia" w:ascii="Times New Roman" w:hAnsi="Times New Roman" w:eastAsia="Times New Roman" w:cs="Times New Roman"/>
                      <w:color w:val="auto"/>
                      <w:kern w:val="2"/>
                      <w:sz w:val="21"/>
                      <w:szCs w:val="21"/>
                      <w:highlight w:val="none"/>
                      <w:lang w:bidi="ar"/>
                    </w:rPr>
                  </w:pPr>
                  <w:r>
                    <w:rPr>
                      <w:rFonts w:hint="eastAsia" w:ascii="Times New Roman" w:hAnsi="Times New Roman" w:cs="Times New Roman"/>
                      <w:color w:val="auto"/>
                      <w:kern w:val="2"/>
                      <w:sz w:val="21"/>
                      <w:szCs w:val="21"/>
                      <w:highlight w:val="none"/>
                      <w:lang w:bidi="ar"/>
                    </w:rPr>
                    <w:t>序号</w:t>
                  </w:r>
                </w:p>
              </w:tc>
              <w:tc>
                <w:tcPr>
                  <w:tcW w:w="2167" w:type="dxa"/>
                  <w:vMerge w:val="restart"/>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eastAsia" w:ascii="Times New Roman" w:hAnsi="Times New Roman" w:eastAsia="Times New Roman" w:cs="Times New Roman"/>
                      <w:color w:val="auto"/>
                      <w:kern w:val="2"/>
                      <w:sz w:val="21"/>
                      <w:szCs w:val="21"/>
                      <w:highlight w:val="none"/>
                      <w:lang w:bidi="ar"/>
                    </w:rPr>
                  </w:pPr>
                  <w:r>
                    <w:rPr>
                      <w:rFonts w:hint="eastAsia" w:ascii="Times New Roman" w:hAnsi="Times New Roman" w:cs="Times New Roman"/>
                      <w:color w:val="auto"/>
                      <w:kern w:val="2"/>
                      <w:sz w:val="21"/>
                      <w:szCs w:val="21"/>
                      <w:highlight w:val="none"/>
                      <w:lang w:bidi="ar"/>
                    </w:rPr>
                    <w:t>预测点位</w:t>
                  </w:r>
                </w:p>
              </w:tc>
              <w:tc>
                <w:tcPr>
                  <w:tcW w:w="959" w:type="dxa"/>
                  <w:vMerge w:val="restart"/>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eastAsia" w:ascii="Times New Roman" w:hAnsi="Times New Roman" w:eastAsia="Times New Roman" w:cs="Times New Roman"/>
                      <w:color w:val="auto"/>
                      <w:kern w:val="2"/>
                      <w:sz w:val="21"/>
                      <w:szCs w:val="21"/>
                      <w:highlight w:val="none"/>
                      <w:lang w:bidi="ar"/>
                    </w:rPr>
                  </w:pPr>
                  <w:r>
                    <w:rPr>
                      <w:rFonts w:hint="eastAsia" w:ascii="Times New Roman" w:hAnsi="Times New Roman" w:cs="Times New Roman"/>
                      <w:color w:val="auto"/>
                      <w:kern w:val="2"/>
                      <w:sz w:val="21"/>
                      <w:szCs w:val="21"/>
                      <w:highlight w:val="none"/>
                      <w:lang w:bidi="ar"/>
                    </w:rPr>
                    <w:t>噪声贡献值</w:t>
                  </w:r>
                </w:p>
              </w:tc>
              <w:tc>
                <w:tcPr>
                  <w:tcW w:w="1658" w:type="dxa"/>
                  <w:gridSpan w:val="2"/>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eastAsia" w:ascii="Times New Roman" w:hAnsi="Times New Roman" w:cs="Times New Roman"/>
                      <w:color w:val="auto"/>
                      <w:kern w:val="2"/>
                      <w:sz w:val="21"/>
                      <w:szCs w:val="21"/>
                      <w:highlight w:val="none"/>
                      <w:lang w:bidi="ar"/>
                    </w:rPr>
                  </w:pPr>
                  <w:r>
                    <w:rPr>
                      <w:rFonts w:hint="eastAsia" w:ascii="Times New Roman" w:hAnsi="Times New Roman" w:cs="Times New Roman"/>
                      <w:color w:val="auto"/>
                      <w:kern w:val="2"/>
                      <w:sz w:val="21"/>
                      <w:szCs w:val="21"/>
                      <w:highlight w:val="none"/>
                      <w:lang w:val="en-US" w:eastAsia="zh-CN" w:bidi="ar"/>
                    </w:rPr>
                    <w:t>现状值</w:t>
                  </w:r>
                </w:p>
              </w:tc>
              <w:tc>
                <w:tcPr>
                  <w:tcW w:w="1483" w:type="dxa"/>
                  <w:gridSpan w:val="2"/>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2"/>
                      <w:sz w:val="21"/>
                      <w:szCs w:val="21"/>
                      <w:highlight w:val="none"/>
                      <w:lang w:val="en-US" w:eastAsia="zh-CN" w:bidi="ar"/>
                    </w:rPr>
                  </w:pPr>
                  <w:r>
                    <w:rPr>
                      <w:rFonts w:hint="eastAsia" w:ascii="Times New Roman" w:hAnsi="Times New Roman" w:cs="Times New Roman"/>
                      <w:color w:val="auto"/>
                      <w:kern w:val="2"/>
                      <w:sz w:val="21"/>
                      <w:szCs w:val="21"/>
                      <w:highlight w:val="none"/>
                      <w:lang w:val="en-US" w:eastAsia="zh-CN" w:bidi="ar"/>
                    </w:rPr>
                    <w:t>叠加值</w:t>
                  </w:r>
                </w:p>
              </w:tc>
              <w:tc>
                <w:tcPr>
                  <w:tcW w:w="1247" w:type="dxa"/>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eastAsia" w:ascii="Times New Roman" w:hAnsi="Times New Roman" w:eastAsia="Times New Roman" w:cs="Times New Roman"/>
                      <w:color w:val="auto"/>
                      <w:kern w:val="2"/>
                      <w:sz w:val="21"/>
                      <w:szCs w:val="21"/>
                      <w:highlight w:val="none"/>
                      <w:lang w:bidi="ar"/>
                    </w:rPr>
                  </w:pPr>
                  <w:r>
                    <w:rPr>
                      <w:rFonts w:hint="eastAsia" w:ascii="Times New Roman" w:hAnsi="Times New Roman" w:cs="Times New Roman"/>
                      <w:color w:val="auto"/>
                      <w:kern w:val="2"/>
                      <w:sz w:val="21"/>
                      <w:szCs w:val="21"/>
                      <w:highlight w:val="none"/>
                      <w:lang w:bidi="ar"/>
                    </w:rPr>
                    <w:t>评价标准dB（</w:t>
                  </w:r>
                  <w:r>
                    <w:rPr>
                      <w:rFonts w:hint="eastAsia" w:ascii="Times New Roman" w:hAnsi="Times New Roman" w:eastAsia="Times New Roman" w:cs="Times New Roman"/>
                      <w:color w:val="auto"/>
                      <w:kern w:val="2"/>
                      <w:sz w:val="21"/>
                      <w:szCs w:val="21"/>
                      <w:highlight w:val="none"/>
                      <w:lang w:bidi="ar"/>
                    </w:rPr>
                    <w:t>A</w:t>
                  </w:r>
                  <w:r>
                    <w:rPr>
                      <w:rFonts w:hint="eastAsia" w:ascii="Times New Roman" w:hAnsi="Times New Roman" w:cs="Times New Roman"/>
                      <w:color w:val="auto"/>
                      <w:kern w:val="2"/>
                      <w:sz w:val="21"/>
                      <w:szCs w:val="21"/>
                      <w:highlight w:val="none"/>
                      <w:lang w:bidi="ar"/>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74" w:type="dxa"/>
                  <w:vMerge w:val="continue"/>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eastAsia" w:ascii="Times New Roman" w:hAnsi="Times New Roman" w:cs="Times New Roman"/>
                      <w:color w:val="auto"/>
                      <w:kern w:val="2"/>
                      <w:sz w:val="21"/>
                      <w:szCs w:val="21"/>
                      <w:highlight w:val="none"/>
                      <w:lang w:bidi="ar"/>
                    </w:rPr>
                  </w:pPr>
                </w:p>
              </w:tc>
              <w:tc>
                <w:tcPr>
                  <w:tcW w:w="2167" w:type="dxa"/>
                  <w:vMerge w:val="continue"/>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eastAsia" w:ascii="Times New Roman" w:hAnsi="Times New Roman" w:cs="Times New Roman"/>
                      <w:color w:val="auto"/>
                      <w:kern w:val="2"/>
                      <w:sz w:val="21"/>
                      <w:szCs w:val="21"/>
                      <w:highlight w:val="none"/>
                      <w:lang w:bidi="ar"/>
                    </w:rPr>
                  </w:pPr>
                </w:p>
              </w:tc>
              <w:tc>
                <w:tcPr>
                  <w:tcW w:w="959" w:type="dxa"/>
                  <w:vMerge w:val="continue"/>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eastAsia" w:ascii="Times New Roman" w:hAnsi="Times New Roman" w:cs="Times New Roman"/>
                      <w:color w:val="auto"/>
                      <w:kern w:val="2"/>
                      <w:sz w:val="21"/>
                      <w:szCs w:val="21"/>
                      <w:highlight w:val="none"/>
                      <w:lang w:bidi="ar"/>
                    </w:rPr>
                  </w:pPr>
                </w:p>
              </w:tc>
              <w:tc>
                <w:tcPr>
                  <w:tcW w:w="791" w:type="dxa"/>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eastAsia" w:ascii="Times New Roman" w:hAnsi="Times New Roman" w:eastAsia="宋体" w:cs="Times New Roman"/>
                      <w:color w:val="auto"/>
                      <w:kern w:val="2"/>
                      <w:sz w:val="21"/>
                      <w:szCs w:val="21"/>
                      <w:highlight w:val="none"/>
                      <w:lang w:val="en-US" w:eastAsia="zh-CN" w:bidi="ar"/>
                    </w:rPr>
                  </w:pPr>
                  <w:r>
                    <w:rPr>
                      <w:rFonts w:hint="eastAsia" w:ascii="Times New Roman" w:hAnsi="Times New Roman" w:cs="Times New Roman"/>
                      <w:color w:val="auto"/>
                      <w:kern w:val="2"/>
                      <w:sz w:val="21"/>
                      <w:szCs w:val="21"/>
                      <w:highlight w:val="none"/>
                      <w:lang w:val="en-US" w:eastAsia="zh-CN" w:bidi="ar"/>
                    </w:rPr>
                    <w:t>昼间</w:t>
                  </w:r>
                </w:p>
              </w:tc>
              <w:tc>
                <w:tcPr>
                  <w:tcW w:w="867" w:type="dxa"/>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eastAsia" w:ascii="Times New Roman" w:hAnsi="Times New Roman" w:eastAsia="宋体" w:cs="Times New Roman"/>
                      <w:color w:val="auto"/>
                      <w:kern w:val="2"/>
                      <w:sz w:val="21"/>
                      <w:szCs w:val="21"/>
                      <w:highlight w:val="none"/>
                      <w:lang w:val="en-US" w:eastAsia="zh-CN" w:bidi="ar"/>
                    </w:rPr>
                  </w:pPr>
                  <w:r>
                    <w:rPr>
                      <w:rFonts w:hint="eastAsia" w:ascii="Times New Roman" w:hAnsi="Times New Roman" w:cs="Times New Roman"/>
                      <w:color w:val="auto"/>
                      <w:kern w:val="2"/>
                      <w:sz w:val="21"/>
                      <w:szCs w:val="21"/>
                      <w:highlight w:val="none"/>
                      <w:lang w:val="en-US" w:eastAsia="zh-CN" w:bidi="ar"/>
                    </w:rPr>
                    <w:t>夜间</w:t>
                  </w:r>
                </w:p>
              </w:tc>
              <w:tc>
                <w:tcPr>
                  <w:tcW w:w="804" w:type="dxa"/>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eastAsia" w:ascii="Times New Roman" w:hAnsi="Times New Roman" w:cs="Times New Roman"/>
                      <w:color w:val="auto"/>
                      <w:kern w:val="2"/>
                      <w:sz w:val="21"/>
                      <w:szCs w:val="21"/>
                      <w:highlight w:val="none"/>
                      <w:lang w:bidi="ar"/>
                    </w:rPr>
                  </w:pPr>
                  <w:r>
                    <w:rPr>
                      <w:rFonts w:hint="eastAsia" w:ascii="Times New Roman" w:hAnsi="Times New Roman" w:cs="Times New Roman"/>
                      <w:color w:val="auto"/>
                      <w:kern w:val="2"/>
                      <w:sz w:val="21"/>
                      <w:szCs w:val="21"/>
                      <w:highlight w:val="none"/>
                      <w:lang w:val="en-US" w:eastAsia="zh-CN" w:bidi="ar"/>
                    </w:rPr>
                    <w:t>昼间</w:t>
                  </w:r>
                </w:p>
              </w:tc>
              <w:tc>
                <w:tcPr>
                  <w:tcW w:w="679" w:type="dxa"/>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eastAsia" w:ascii="Times New Roman" w:hAnsi="Times New Roman" w:cs="Times New Roman"/>
                      <w:color w:val="auto"/>
                      <w:kern w:val="2"/>
                      <w:sz w:val="21"/>
                      <w:szCs w:val="21"/>
                      <w:highlight w:val="none"/>
                      <w:lang w:bidi="ar"/>
                    </w:rPr>
                  </w:pPr>
                  <w:r>
                    <w:rPr>
                      <w:rFonts w:hint="eastAsia" w:ascii="Times New Roman" w:hAnsi="Times New Roman" w:cs="Times New Roman"/>
                      <w:color w:val="auto"/>
                      <w:kern w:val="2"/>
                      <w:sz w:val="21"/>
                      <w:szCs w:val="21"/>
                      <w:highlight w:val="none"/>
                      <w:lang w:val="en-US" w:eastAsia="zh-CN" w:bidi="ar"/>
                    </w:rPr>
                    <w:t>夜间</w:t>
                  </w:r>
                </w:p>
              </w:tc>
              <w:tc>
                <w:tcPr>
                  <w:tcW w:w="1247" w:type="dxa"/>
                  <w:vMerge w:val="restart"/>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default" w:ascii="Times New Roman" w:hAnsi="Times New Roman" w:cs="Times New Roman"/>
                      <w:color w:val="auto"/>
                      <w:kern w:val="2"/>
                      <w:sz w:val="21"/>
                      <w:szCs w:val="21"/>
                      <w:highlight w:val="none"/>
                      <w:lang w:val="en-US" w:eastAsia="zh-CN" w:bidi="ar"/>
                    </w:rPr>
                  </w:pPr>
                  <w:r>
                    <w:rPr>
                      <w:rFonts w:hint="eastAsia" w:ascii="Times New Roman" w:hAnsi="Times New Roman" w:cs="Times New Roman"/>
                      <w:color w:val="auto"/>
                      <w:kern w:val="2"/>
                      <w:sz w:val="21"/>
                      <w:szCs w:val="21"/>
                      <w:highlight w:val="none"/>
                      <w:lang w:bidi="ar"/>
                    </w:rPr>
                    <w:t>昼间</w:t>
                  </w:r>
                  <w:r>
                    <w:rPr>
                      <w:rFonts w:hint="eastAsia" w:ascii="Times New Roman" w:hAnsi="Times New Roman" w:cs="Times New Roman"/>
                      <w:color w:val="auto"/>
                      <w:kern w:val="2"/>
                      <w:sz w:val="21"/>
                      <w:szCs w:val="21"/>
                      <w:highlight w:val="none"/>
                      <w:lang w:val="en-US" w:eastAsia="zh-CN" w:bidi="ar"/>
                    </w:rPr>
                    <w:t>65</w:t>
                  </w:r>
                </w:p>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default" w:ascii="Times New Roman" w:hAnsi="Times New Roman" w:cs="Times New Roman"/>
                      <w:color w:val="auto"/>
                      <w:kern w:val="2"/>
                      <w:sz w:val="21"/>
                      <w:szCs w:val="21"/>
                      <w:highlight w:val="none"/>
                      <w:lang w:val="en-US" w:bidi="ar"/>
                    </w:rPr>
                  </w:pPr>
                  <w:r>
                    <w:rPr>
                      <w:rFonts w:hint="eastAsia" w:ascii="Times New Roman" w:hAnsi="Times New Roman" w:cs="Times New Roman"/>
                      <w:color w:val="auto"/>
                      <w:kern w:val="2"/>
                      <w:sz w:val="21"/>
                      <w:szCs w:val="21"/>
                      <w:highlight w:val="none"/>
                      <w:lang w:bidi="ar"/>
                    </w:rPr>
                    <w:t>夜间</w:t>
                  </w:r>
                  <w:r>
                    <w:rPr>
                      <w:rFonts w:hint="eastAsia" w:ascii="Times New Roman" w:hAnsi="Times New Roman" w:cs="Times New Roman"/>
                      <w:color w:val="auto"/>
                      <w:kern w:val="2"/>
                      <w:sz w:val="21"/>
                      <w:szCs w:val="21"/>
                      <w:highlight w:val="none"/>
                      <w:lang w:val="en-US" w:eastAsia="zh-CN" w:bidi="ar"/>
                    </w:rPr>
                    <w:t>55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574" w:type="dxa"/>
                  <w:tcBorders>
                    <w:tl2br w:val="nil"/>
                    <w:tr2bl w:val="nil"/>
                  </w:tcBorders>
                  <w:noWrap w:val="0"/>
                  <w:vAlign w:val="center"/>
                </w:tcPr>
                <w:p>
                  <w:pPr>
                    <w:pStyle w:val="26"/>
                    <w:keepNext w:val="0"/>
                    <w:keepLines w:val="0"/>
                    <w:widowControl w:val="0"/>
                    <w:suppressLineNumbers w:val="0"/>
                    <w:adjustRightInd w:val="0"/>
                    <w:snapToGrid w:val="0"/>
                    <w:spacing w:before="0" w:beforeLines="0" w:beforeAutospacing="0" w:after="0" w:afterLines="0" w:afterAutospacing="0"/>
                    <w:ind w:left="0" w:right="0"/>
                    <w:jc w:val="center"/>
                    <w:rPr>
                      <w:rFonts w:hint="eastAsia" w:ascii="Times New Roman" w:hAnsi="Times New Roman" w:eastAsia="宋体" w:cs="Times New Roman"/>
                      <w:color w:val="auto"/>
                      <w:kern w:val="2"/>
                      <w:sz w:val="21"/>
                      <w:szCs w:val="21"/>
                      <w:highlight w:val="none"/>
                      <w:lang w:eastAsia="zh-CN" w:bidi="ar"/>
                    </w:rPr>
                  </w:pPr>
                  <w:r>
                    <w:rPr>
                      <w:rFonts w:hint="eastAsia" w:ascii="Times New Roman" w:hAnsi="Times New Roman" w:cs="Times New Roman"/>
                      <w:color w:val="auto"/>
                      <w:kern w:val="2"/>
                      <w:sz w:val="21"/>
                      <w:szCs w:val="21"/>
                      <w:highlight w:val="none"/>
                      <w:lang w:val="en-US" w:eastAsia="zh-CN" w:bidi="ar"/>
                    </w:rPr>
                    <w:t>1</w:t>
                  </w:r>
                </w:p>
              </w:tc>
              <w:tc>
                <w:tcPr>
                  <w:tcW w:w="2167" w:type="dxa"/>
                  <w:tcBorders>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eastAsia" w:ascii="Times New Roman" w:hAnsi="Times New Roman" w:eastAsia="Times New Roman" w:cs="Times New Roman"/>
                      <w:color w:val="auto"/>
                      <w:sz w:val="21"/>
                      <w:szCs w:val="21"/>
                      <w:highlight w:val="none"/>
                      <w:lang w:bidi="ar"/>
                    </w:rPr>
                  </w:pPr>
                  <w:r>
                    <w:rPr>
                      <w:rFonts w:hint="eastAsia" w:ascii="Times New Roman" w:hAnsi="Times New Roman" w:cs="Times New Roman"/>
                      <w:color w:val="auto"/>
                      <w:sz w:val="21"/>
                      <w:szCs w:val="21"/>
                      <w:highlight w:val="none"/>
                      <w:lang w:bidi="ar"/>
                    </w:rPr>
                    <w:t>厂界西侧20m消防队</w:t>
                  </w:r>
                </w:p>
              </w:tc>
              <w:tc>
                <w:tcPr>
                  <w:tcW w:w="959" w:type="dxa"/>
                  <w:tcBorders>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center"/>
                    <w:rPr>
                      <w:rFonts w:hint="eastAsia" w:ascii="Times New Roman" w:hAnsi="Times New Roman" w:eastAsia="Times New Roman" w:cs="Times New Roman"/>
                      <w:color w:val="auto"/>
                      <w:sz w:val="21"/>
                      <w:szCs w:val="21"/>
                      <w:highlight w:val="none"/>
                      <w:lang w:bidi="ar"/>
                    </w:rPr>
                  </w:pPr>
                  <w:r>
                    <w:rPr>
                      <w:rFonts w:hint="eastAsia" w:ascii="Times New Roman" w:hAnsi="Times New Roman" w:cs="Times New Roman"/>
                      <w:color w:val="auto"/>
                      <w:sz w:val="21"/>
                      <w:szCs w:val="21"/>
                      <w:highlight w:val="none"/>
                      <w:lang w:bidi="ar"/>
                    </w:rPr>
                    <w:t>16</w:t>
                  </w:r>
                </w:p>
              </w:tc>
              <w:tc>
                <w:tcPr>
                  <w:tcW w:w="791" w:type="dxa"/>
                  <w:tcBorders>
                    <w:tl2br w:val="nil"/>
                    <w:tr2bl w:val="nil"/>
                  </w:tcBorders>
                  <w:noWrap w:val="0"/>
                  <w:vAlign w:val="center"/>
                </w:tcPr>
                <w:p>
                  <w:pPr>
                    <w:keepNext w:val="0"/>
                    <w:keepLines w:val="0"/>
                    <w:widowControl/>
                    <w:suppressLineNumbers w:val="0"/>
                    <w:shd w:val="clear" w:color="auto" w:fill="auto"/>
                    <w:spacing w:before="0" w:beforeAutospacing="0" w:after="0" w:afterAutospacing="0"/>
                    <w:ind w:left="0" w:leftChars="0" w:right="0" w:rightChars="0"/>
                    <w:jc w:val="center"/>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rPr>
                    <w:t>42</w:t>
                  </w:r>
                </w:p>
              </w:tc>
              <w:tc>
                <w:tcPr>
                  <w:tcW w:w="867" w:type="dxa"/>
                  <w:tcBorders>
                    <w:tl2br w:val="nil"/>
                    <w:tr2bl w:val="nil"/>
                  </w:tcBorders>
                  <w:noWrap w:val="0"/>
                  <w:vAlign w:val="center"/>
                </w:tcPr>
                <w:p>
                  <w:pPr>
                    <w:keepNext w:val="0"/>
                    <w:keepLines w:val="0"/>
                    <w:widowControl/>
                    <w:suppressLineNumbers w:val="0"/>
                    <w:shd w:val="clear" w:color="auto" w:fill="auto"/>
                    <w:spacing w:before="0" w:beforeAutospacing="0" w:after="0" w:afterAutospacing="0"/>
                    <w:ind w:left="0" w:leftChars="0" w:right="0" w:rightChars="0"/>
                    <w:jc w:val="center"/>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rPr>
                    <w:t>41</w:t>
                  </w:r>
                </w:p>
              </w:tc>
              <w:tc>
                <w:tcPr>
                  <w:tcW w:w="804" w:type="dxa"/>
                  <w:tcBorders>
                    <w:tl2br w:val="nil"/>
                    <w:tr2bl w:val="nil"/>
                  </w:tcBorders>
                  <w:noWrap w:val="0"/>
                  <w:vAlign w:val="center"/>
                </w:tcPr>
                <w:p>
                  <w:pPr>
                    <w:keepNext w:val="0"/>
                    <w:keepLines w:val="0"/>
                    <w:widowControl/>
                    <w:suppressLineNumbers w:val="0"/>
                    <w:shd w:val="clear" w:color="auto" w:fill="auto"/>
                    <w:spacing w:before="0" w:beforeAutospacing="0" w:after="0" w:afterAutospacing="0"/>
                    <w:ind w:left="0" w:leftChars="0" w:right="0" w:rightChars="0"/>
                    <w:jc w:val="center"/>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rPr>
                    <w:t>42</w:t>
                  </w:r>
                </w:p>
              </w:tc>
              <w:tc>
                <w:tcPr>
                  <w:tcW w:w="679" w:type="dxa"/>
                  <w:tcBorders>
                    <w:tl2br w:val="nil"/>
                    <w:tr2bl w:val="nil"/>
                  </w:tcBorders>
                  <w:noWrap w:val="0"/>
                  <w:vAlign w:val="center"/>
                </w:tcPr>
                <w:p>
                  <w:pPr>
                    <w:keepNext w:val="0"/>
                    <w:keepLines w:val="0"/>
                    <w:widowControl/>
                    <w:suppressLineNumbers w:val="0"/>
                    <w:shd w:val="clear" w:color="auto" w:fill="auto"/>
                    <w:spacing w:before="0" w:beforeAutospacing="0" w:after="0" w:afterAutospacing="0"/>
                    <w:ind w:left="0" w:leftChars="0" w:right="0" w:rightChars="0"/>
                    <w:jc w:val="center"/>
                    <w:rPr>
                      <w:rFonts w:hint="eastAsia" w:ascii="Times New Roman" w:hAnsi="Times New Roman" w:eastAsia="宋体" w:cs="Times New Roman"/>
                      <w:color w:val="auto"/>
                      <w:kern w:val="0"/>
                      <w:sz w:val="21"/>
                      <w:szCs w:val="21"/>
                      <w:highlight w:val="none"/>
                      <w:lang w:val="en-US" w:eastAsia="zh-CN" w:bidi="ar-SA"/>
                    </w:rPr>
                  </w:pPr>
                  <w:r>
                    <w:rPr>
                      <w:rFonts w:hint="eastAsia" w:ascii="Times New Roman" w:hAnsi="Times New Roman" w:eastAsia="宋体" w:cs="Times New Roman"/>
                      <w:color w:val="auto"/>
                      <w:kern w:val="0"/>
                      <w:sz w:val="21"/>
                      <w:szCs w:val="21"/>
                      <w:highlight w:val="none"/>
                      <w:lang w:val="en-US" w:eastAsia="zh-CN"/>
                    </w:rPr>
                    <w:t>41</w:t>
                  </w:r>
                </w:p>
              </w:tc>
              <w:tc>
                <w:tcPr>
                  <w:tcW w:w="1247" w:type="dxa"/>
                  <w:vMerge w:val="continue"/>
                  <w:tcBorders>
                    <w:tl2br w:val="nil"/>
                    <w:tr2bl w:val="nil"/>
                  </w:tcBorders>
                  <w:noWrap w:val="0"/>
                  <w:vAlign w:val="center"/>
                </w:tcPr>
                <w:p>
                  <w:pPr>
                    <w:keepNext w:val="0"/>
                    <w:keepLines w:val="0"/>
                    <w:widowControl/>
                    <w:suppressLineNumbers w:val="0"/>
                    <w:spacing w:before="0" w:beforeLines="0" w:beforeAutospacing="0" w:after="0" w:afterLines="0" w:afterAutospacing="0"/>
                    <w:ind w:left="0" w:right="0"/>
                    <w:rPr>
                      <w:rFonts w:hint="eastAsia" w:ascii="Times New Roman" w:hAnsi="Times New Roman" w:eastAsia="Times New Roman" w:cs="Times New Roman"/>
                      <w:color w:val="auto"/>
                      <w:sz w:val="20"/>
                      <w:szCs w:val="24"/>
                      <w:highlight w:val="none"/>
                    </w:rPr>
                  </w:pPr>
                </w:p>
              </w:tc>
            </w:tr>
          </w:tbl>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outlineLvl w:val="9"/>
              <w:rPr>
                <w:rFonts w:hint="default" w:ascii="Times New Roman" w:hAnsi="Times New Roman" w:eastAsia="宋体" w:cs="Times New Roman"/>
                <w:color w:val="auto"/>
                <w:sz w:val="24"/>
                <w:szCs w:val="24"/>
                <w:highlight w:val="none"/>
                <w:lang w:val="en-US" w:eastAsia="zh-CN" w:bidi="ar"/>
              </w:rPr>
            </w:pPr>
            <w:r>
              <w:rPr>
                <w:rFonts w:hint="default" w:ascii="Times New Roman" w:hAnsi="Times New Roman" w:eastAsia="宋体" w:cs="Times New Roman"/>
                <w:color w:val="auto"/>
                <w:sz w:val="24"/>
                <w:szCs w:val="24"/>
                <w:highlight w:val="none"/>
                <w:lang w:bidi="ar"/>
              </w:rPr>
              <w:t>由</w:t>
            </w:r>
            <w:r>
              <w:rPr>
                <w:rFonts w:hint="eastAsia" w:ascii="Times New Roman" w:hAnsi="Times New Roman" w:cs="Times New Roman"/>
                <w:color w:val="auto"/>
                <w:sz w:val="24"/>
                <w:szCs w:val="24"/>
                <w:highlight w:val="none"/>
                <w:lang w:val="en-US" w:eastAsia="zh-CN" w:bidi="ar"/>
              </w:rPr>
              <w:t>上表预测</w:t>
            </w:r>
            <w:r>
              <w:rPr>
                <w:rFonts w:hint="default" w:ascii="Times New Roman" w:hAnsi="Times New Roman" w:eastAsia="宋体" w:cs="Times New Roman"/>
                <w:color w:val="auto"/>
                <w:sz w:val="24"/>
                <w:szCs w:val="24"/>
                <w:highlight w:val="none"/>
                <w:lang w:bidi="ar"/>
              </w:rPr>
              <w:t>可见，经预测运营期变电站厂界环境噪声昼、夜间均满足《工业企业厂界环境噪声排放标准》（GB12348-2008）</w:t>
            </w:r>
            <w:r>
              <w:rPr>
                <w:rFonts w:hint="eastAsia" w:ascii="Times New Roman" w:hAnsi="Times New Roman" w:cs="Times New Roman"/>
                <w:color w:val="auto"/>
                <w:sz w:val="24"/>
                <w:szCs w:val="24"/>
                <w:highlight w:val="none"/>
                <w:lang w:val="en-US" w:eastAsia="zh-CN" w:bidi="ar"/>
              </w:rPr>
              <w:t>3</w:t>
            </w:r>
            <w:r>
              <w:rPr>
                <w:rFonts w:hint="default" w:ascii="Times New Roman" w:hAnsi="Times New Roman" w:eastAsia="宋体" w:cs="Times New Roman"/>
                <w:color w:val="auto"/>
                <w:sz w:val="24"/>
                <w:szCs w:val="24"/>
                <w:highlight w:val="none"/>
                <w:lang w:bidi="ar"/>
              </w:rPr>
              <w:t>类标准的要求，运营期噪声对所在区域声环境影响较小。</w:t>
            </w:r>
            <w:r>
              <w:rPr>
                <w:rFonts w:hint="eastAsia" w:ascii="Times New Roman" w:hAnsi="Times New Roman" w:cs="Times New Roman"/>
                <w:color w:val="auto"/>
                <w:sz w:val="24"/>
                <w:szCs w:val="24"/>
                <w:highlight w:val="none"/>
                <w:lang w:val="en-US" w:eastAsia="zh-CN" w:bidi="ar"/>
              </w:rPr>
              <w:t>声环境保护目标处的噪声贡献值为16dB（A）叠加现状监测结果后，保护目标处也能满足《声环境质量标准》（GB3096-2008）中3类标准（昼间65dB（A）、夜间55dB（A））。</w:t>
            </w:r>
          </w:p>
          <w:p>
            <w:pPr>
              <w:pStyle w:val="14"/>
              <w:keepNext w:val="0"/>
              <w:keepLines w:val="0"/>
              <w:widowControl/>
              <w:suppressLineNumbers w:val="0"/>
              <w:adjustRightInd w:val="0"/>
              <w:snapToGrid w:val="0"/>
              <w:spacing w:before="0" w:beforeAutospacing="0" w:after="0" w:afterAutospacing="0"/>
              <w:ind w:left="0" w:right="0" w:firstLine="0" w:firstLineChars="0"/>
              <w:outlineLvl w:val="9"/>
              <w:rPr>
                <w:rFonts w:hint="default" w:ascii="Times New Roman" w:hAnsi="Times New Roman" w:eastAsia="宋体" w:cs="Times New Roman"/>
                <w:bCs/>
                <w:color w:val="auto"/>
                <w:highlight w:val="none"/>
              </w:rPr>
            </w:pPr>
            <w:r>
              <w:rPr>
                <w:rFonts w:hint="default" w:ascii="Times New Roman" w:hAnsi="Times New Roman" w:eastAsia="宋体" w:cs="Times New Roman"/>
                <w:b/>
                <w:color w:val="auto"/>
                <w:highlight w:val="none"/>
              </w:rPr>
              <w:t>3地表水环境影响分析</w:t>
            </w:r>
          </w:p>
          <w:p>
            <w:pPr>
              <w:pStyle w:val="14"/>
              <w:keepNext w:val="0"/>
              <w:keepLines w:val="0"/>
              <w:widowControl/>
              <w:suppressLineNumbers w:val="0"/>
              <w:adjustRightInd w:val="0"/>
              <w:snapToGrid w:val="0"/>
              <w:spacing w:before="0" w:beforeLines="0" w:beforeAutospacing="0" w:after="0" w:afterLines="0" w:afterAutospacing="0" w:line="360" w:lineRule="auto"/>
              <w:ind w:left="0" w:right="0" w:firstLine="480" w:firstLineChars="200"/>
              <w:outlineLvl w:val="9"/>
              <w:rPr>
                <w:rFonts w:hint="default" w:ascii="Times New Roman" w:hAnsi="Times New Roman" w:eastAsia="宋体" w:cs="Times New Roman"/>
                <w:color w:val="auto"/>
                <w:sz w:val="24"/>
                <w:szCs w:val="24"/>
                <w:highlight w:val="none"/>
                <w:lang w:val="en-US" w:eastAsia="zh-CN"/>
              </w:rPr>
            </w:pPr>
            <w:r>
              <w:rPr>
                <w:rFonts w:hint="default" w:ascii="Times New Roman" w:hAnsi="Times New Roman" w:cs="Times New Roman"/>
                <w:color w:val="auto"/>
                <w:sz w:val="24"/>
                <w:szCs w:val="24"/>
                <w:highlight w:val="none"/>
                <w:lang w:val="en-US" w:eastAsia="zh-CN"/>
              </w:rPr>
              <w:t>运营期变电站无人值守，不产生生活污水，</w:t>
            </w:r>
            <w:r>
              <w:rPr>
                <w:rFonts w:hint="eastAsia" w:ascii="Times New Roman" w:hAnsi="Times New Roman" w:cs="Times New Roman"/>
                <w:color w:val="auto"/>
                <w:sz w:val="24"/>
                <w:szCs w:val="24"/>
                <w:highlight w:val="none"/>
                <w:lang w:val="en-US" w:eastAsia="zh-CN"/>
              </w:rPr>
              <w:t>巡检人员产生的生活污水依托县城公共卫生间，</w:t>
            </w:r>
            <w:r>
              <w:rPr>
                <w:rFonts w:hint="default" w:ascii="Times New Roman" w:hAnsi="Times New Roman" w:cs="Times New Roman"/>
                <w:color w:val="auto"/>
                <w:sz w:val="24"/>
                <w:szCs w:val="24"/>
                <w:highlight w:val="none"/>
                <w:lang w:val="en-US" w:eastAsia="zh-CN"/>
              </w:rPr>
              <w:t>项目运行对地表水环境较小。</w:t>
            </w:r>
          </w:p>
          <w:p>
            <w:pPr>
              <w:pStyle w:val="14"/>
              <w:keepNext w:val="0"/>
              <w:keepLines w:val="0"/>
              <w:widowControl/>
              <w:suppressLineNumbers w:val="0"/>
              <w:adjustRightInd w:val="0"/>
              <w:snapToGrid w:val="0"/>
              <w:spacing w:before="0" w:beforeAutospacing="0" w:after="0" w:afterAutospacing="0"/>
              <w:ind w:left="0" w:right="0" w:firstLine="0" w:firstLineChars="0"/>
              <w:outlineLvl w:val="9"/>
              <w:rPr>
                <w:rFonts w:hint="default" w:ascii="Times New Roman" w:hAnsi="Times New Roman" w:eastAsia="宋体" w:cs="Times New Roman"/>
                <w:b/>
                <w:color w:val="auto"/>
                <w:highlight w:val="none"/>
              </w:rPr>
            </w:pPr>
            <w:r>
              <w:rPr>
                <w:rFonts w:hint="default" w:ascii="Times New Roman" w:hAnsi="Times New Roman" w:eastAsia="宋体" w:cs="Times New Roman"/>
                <w:b/>
                <w:color w:val="auto"/>
                <w:highlight w:val="none"/>
              </w:rPr>
              <w:t>4固体废物影响分析</w:t>
            </w:r>
          </w:p>
          <w:p>
            <w:pPr>
              <w:keepNext w:val="0"/>
              <w:keepLines w:val="0"/>
              <w:widowControl/>
              <w:suppressLineNumbers w:val="0"/>
              <w:adjustRightInd w:val="0"/>
              <w:snapToGrid w:val="0"/>
              <w:spacing w:before="0" w:beforeAutospacing="0" w:after="0" w:afterAutospacing="0" w:line="360" w:lineRule="auto"/>
              <w:ind w:left="0" w:right="0" w:firstLine="480" w:firstLineChars="200"/>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val="en-US" w:eastAsia="zh-CN"/>
              </w:rPr>
              <w:t>1</w:t>
            </w:r>
            <w:r>
              <w:rPr>
                <w:rFonts w:hint="default" w:ascii="Times New Roman" w:hAnsi="Times New Roman" w:eastAsia="宋体" w:cs="Times New Roman"/>
                <w:color w:val="auto"/>
                <w:highlight w:val="none"/>
                <w:lang w:eastAsia="zh-CN"/>
              </w:rPr>
              <w:t>）</w:t>
            </w:r>
            <w:r>
              <w:rPr>
                <w:rFonts w:hint="default" w:ascii="Times New Roman" w:hAnsi="Times New Roman" w:cs="Times New Roman"/>
                <w:color w:val="auto"/>
                <w:highlight w:val="none"/>
                <w:lang w:val="en-US" w:eastAsia="zh-CN"/>
              </w:rPr>
              <w:t>生活垃圾、检修零件</w:t>
            </w:r>
          </w:p>
          <w:p>
            <w:pPr>
              <w:keepNext w:val="0"/>
              <w:keepLines w:val="0"/>
              <w:widowControl/>
              <w:suppressLineNumbers w:val="0"/>
              <w:adjustRightInd w:val="0"/>
              <w:snapToGrid w:val="0"/>
              <w:spacing w:before="0" w:beforeAutospacing="0" w:after="0" w:afterAutospacing="0" w:line="360" w:lineRule="auto"/>
              <w:ind w:left="0" w:right="0" w:firstLine="480" w:firstLineChars="200"/>
              <w:outlineLvl w:val="9"/>
              <w:rPr>
                <w:rFonts w:hint="default" w:ascii="Times New Roman" w:hAnsi="Times New Roman" w:eastAsia="宋体" w:cs="Times New Roman"/>
                <w:color w:val="auto"/>
                <w:highlight w:val="none"/>
                <w:lang w:val="en-US"/>
              </w:rPr>
            </w:pPr>
            <w:r>
              <w:rPr>
                <w:rFonts w:hint="default" w:ascii="Times New Roman" w:hAnsi="Times New Roman" w:cs="Times New Roman"/>
                <w:color w:val="auto"/>
                <w:highlight w:val="none"/>
                <w:lang w:val="en-US" w:eastAsia="zh-CN"/>
              </w:rPr>
              <w:t>运营期变电站无人值守，变电站、</w:t>
            </w:r>
            <w:r>
              <w:rPr>
                <w:rFonts w:hint="default" w:ascii="Times New Roman" w:hAnsi="Times New Roman" w:eastAsia="宋体" w:cs="Times New Roman"/>
                <w:color w:val="auto"/>
                <w:highlight w:val="none"/>
              </w:rPr>
              <w:t>线路检修时产生少量检修废弃物和人员生活垃圾，均为一般固废，检修完毕后集中收集随检修人员就近带回至生活垃圾转运点，对周围环境无明显影响。</w:t>
            </w:r>
            <w:r>
              <w:rPr>
                <w:rFonts w:hint="default" w:ascii="Times New Roman" w:hAnsi="Times New Roman" w:cs="Times New Roman"/>
                <w:color w:val="auto"/>
                <w:highlight w:val="none"/>
                <w:lang w:val="en-US" w:eastAsia="zh-CN"/>
              </w:rPr>
              <w:t>变电站、线路巡检产生的</w:t>
            </w:r>
            <w:r>
              <w:rPr>
                <w:rFonts w:hint="default" w:ascii="Times New Roman" w:hAnsi="Times New Roman" w:eastAsia="宋体" w:cs="Times New Roman"/>
                <w:color w:val="auto"/>
                <w:highlight w:val="none"/>
                <w:lang w:val="en-US" w:eastAsia="zh-CN"/>
              </w:rPr>
              <w:t>少量报废零部件属于SW17 可再生类废物，产生后由厂家带走。生活垃圾、检修零件</w:t>
            </w:r>
            <w:r>
              <w:rPr>
                <w:rFonts w:hint="default" w:ascii="Times New Roman" w:hAnsi="Times New Roman" w:cs="Times New Roman"/>
                <w:color w:val="auto"/>
                <w:highlight w:val="none"/>
                <w:lang w:val="en-US" w:eastAsia="zh-CN"/>
              </w:rPr>
              <w:t>预计每年产生0.1t。</w:t>
            </w:r>
          </w:p>
          <w:p>
            <w:pPr>
              <w:keepNext w:val="0"/>
              <w:keepLines w:val="0"/>
              <w:widowControl/>
              <w:suppressLineNumbers w:val="0"/>
              <w:adjustRightInd w:val="0"/>
              <w:snapToGrid w:val="0"/>
              <w:spacing w:before="0" w:beforeAutospacing="0" w:after="0" w:afterAutospacing="0" w:line="360" w:lineRule="auto"/>
              <w:ind w:left="0" w:right="0" w:firstLine="480" w:firstLineChars="200"/>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（2）危险废物</w:t>
            </w:r>
          </w:p>
          <w:p>
            <w:pPr>
              <w:keepNext w:val="0"/>
              <w:keepLines w:val="0"/>
              <w:widowControl/>
              <w:suppressLineNumbers w:val="0"/>
              <w:adjustRightInd w:val="0"/>
              <w:snapToGrid w:val="0"/>
              <w:spacing w:before="0" w:beforeAutospacing="0" w:after="0" w:afterAutospacing="0" w:line="360" w:lineRule="auto"/>
              <w:ind w:left="0" w:right="0" w:firstLine="480" w:firstLineChars="200"/>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1）废铅酸蓄电池</w:t>
            </w:r>
          </w:p>
          <w:p>
            <w:pPr>
              <w:keepNext w:val="0"/>
              <w:keepLines w:val="0"/>
              <w:widowControl/>
              <w:suppressLineNumbers w:val="0"/>
              <w:adjustRightInd w:val="0"/>
              <w:snapToGrid w:val="0"/>
              <w:spacing w:before="0" w:beforeAutospacing="0" w:after="0" w:afterAutospacing="0" w:line="360" w:lineRule="auto"/>
              <w:ind w:left="0" w:right="0" w:firstLine="480" w:firstLineChars="200"/>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本项目110kV</w:t>
            </w:r>
            <w:r>
              <w:rPr>
                <w:rFonts w:hint="default" w:ascii="Times New Roman" w:hAnsi="Times New Roman" w:cs="Times New Roman"/>
                <w:color w:val="auto"/>
                <w:highlight w:val="none"/>
                <w:lang w:val="en-US" w:eastAsia="zh-CN"/>
              </w:rPr>
              <w:t>变电站</w:t>
            </w:r>
            <w:r>
              <w:rPr>
                <w:rFonts w:hint="default" w:ascii="Times New Roman" w:hAnsi="Times New Roman" w:eastAsia="宋体" w:cs="Times New Roman"/>
                <w:color w:val="auto"/>
                <w:highlight w:val="none"/>
                <w:lang w:val="en-US" w:eastAsia="zh-CN"/>
              </w:rPr>
              <w:t>直流系统采用220V阀控式密封铅酸蓄电池组1组，单体规格2V/300Ah，共103只，单节重量14kg，总重1442kg。铅酸蓄电池使用寿命约5年，寿命到期成为废铅酸蓄电池，根据《国家危险废物名录》（2025年版），废铅酸蓄电池属于危险废物。废物类别：HW31含铅废物；废物代码：900-052-31；危险特性T，C。铅酸蓄电池寿命到期后放入本项目成品集装箱式危险废物贮存库废铅酸蓄电池贮存间隔内，委托有资质单位回收。</w:t>
            </w:r>
          </w:p>
          <w:p>
            <w:pPr>
              <w:keepNext w:val="0"/>
              <w:keepLines w:val="0"/>
              <w:widowControl/>
              <w:suppressLineNumbers w:val="0"/>
              <w:adjustRightInd w:val="0"/>
              <w:snapToGrid w:val="0"/>
              <w:spacing w:before="0" w:beforeAutospacing="0" w:after="0" w:afterAutospacing="0" w:line="360" w:lineRule="auto"/>
              <w:ind w:left="0" w:right="0" w:firstLine="480" w:firstLineChars="200"/>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sz w:val="24"/>
                <w:szCs w:val="24"/>
                <w:highlight w:val="none"/>
                <w:lang w:val="en-US" w:eastAsia="zh-CN"/>
              </w:rPr>
              <w:t>单体废铅酸蓄电池体积按0.00643m</w:t>
            </w:r>
            <w:r>
              <w:rPr>
                <w:rFonts w:hint="default" w:ascii="Times New Roman" w:hAnsi="Times New Roman" w:eastAsia="宋体" w:cs="Times New Roman"/>
                <w:color w:val="auto"/>
                <w:sz w:val="24"/>
                <w:szCs w:val="24"/>
                <w:highlight w:val="none"/>
                <w:vertAlign w:val="superscript"/>
                <w:lang w:val="en-US" w:eastAsia="zh-CN"/>
              </w:rPr>
              <w:t>3</w:t>
            </w:r>
            <w:r>
              <w:rPr>
                <w:rFonts w:hint="default" w:ascii="Times New Roman" w:hAnsi="Times New Roman" w:eastAsia="宋体" w:cs="Times New Roman"/>
                <w:color w:val="auto"/>
                <w:sz w:val="24"/>
                <w:szCs w:val="24"/>
                <w:highlight w:val="none"/>
                <w:lang w:val="en-US" w:eastAsia="zh-CN"/>
              </w:rPr>
              <w:t>计（0.172m×0.110m×0.340m），103 只电池总体积为0.6623m</w:t>
            </w:r>
            <w:r>
              <w:rPr>
                <w:rFonts w:hint="default" w:ascii="Times New Roman" w:hAnsi="Times New Roman" w:eastAsia="宋体" w:cs="Times New Roman"/>
                <w:color w:val="auto"/>
                <w:sz w:val="24"/>
                <w:szCs w:val="24"/>
                <w:highlight w:val="none"/>
                <w:vertAlign w:val="superscript"/>
                <w:lang w:val="en-US" w:eastAsia="zh-CN"/>
              </w:rPr>
              <w:t>3</w:t>
            </w:r>
            <w:r>
              <w:rPr>
                <w:rFonts w:hint="default" w:ascii="Times New Roman" w:hAnsi="Times New Roman" w:eastAsia="宋体" w:cs="Times New Roman"/>
                <w:color w:val="auto"/>
                <w:sz w:val="24"/>
                <w:szCs w:val="24"/>
                <w:highlight w:val="none"/>
                <w:lang w:val="en-US" w:eastAsia="zh-CN"/>
              </w:rPr>
              <w:t>，合理码放后，体积按 1.5 倍计，则实际占用体积为0.9934m</w:t>
            </w:r>
            <w:r>
              <w:rPr>
                <w:rFonts w:hint="default" w:ascii="Times New Roman" w:hAnsi="Times New Roman" w:eastAsia="宋体" w:cs="Times New Roman"/>
                <w:color w:val="auto"/>
                <w:sz w:val="24"/>
                <w:szCs w:val="24"/>
                <w:highlight w:val="none"/>
                <w:vertAlign w:val="superscript"/>
                <w:lang w:val="en-US" w:eastAsia="zh-CN"/>
              </w:rPr>
              <w:t>3</w:t>
            </w:r>
            <w:r>
              <w:rPr>
                <w:rFonts w:hint="default" w:ascii="Times New Roman" w:hAnsi="Times New Roman" w:eastAsia="宋体" w:cs="Times New Roman"/>
                <w:color w:val="auto"/>
                <w:sz w:val="24"/>
                <w:szCs w:val="24"/>
                <w:highlight w:val="none"/>
                <w:lang w:val="en-US" w:eastAsia="zh-CN"/>
              </w:rPr>
              <w:t>。废铅酸蓄电池贮存间隔单个隔间面积约为8m</w:t>
            </w:r>
            <w:r>
              <w:rPr>
                <w:rFonts w:hint="default" w:ascii="Times New Roman" w:hAnsi="Times New Roman" w:eastAsia="宋体" w:cs="Times New Roman"/>
                <w:color w:val="auto"/>
                <w:sz w:val="24"/>
                <w:szCs w:val="24"/>
                <w:highlight w:val="none"/>
                <w:vertAlign w:val="superscript"/>
                <w:lang w:val="en-US" w:eastAsia="zh-CN"/>
              </w:rPr>
              <w:t>2</w:t>
            </w:r>
            <w:r>
              <w:rPr>
                <w:rFonts w:hint="default" w:ascii="Times New Roman" w:hAnsi="Times New Roman" w:eastAsia="宋体" w:cs="Times New Roman"/>
                <w:color w:val="auto"/>
                <w:sz w:val="24"/>
                <w:szCs w:val="24"/>
                <w:highlight w:val="none"/>
                <w:lang w:val="en-US" w:eastAsia="zh-CN"/>
              </w:rPr>
              <w:t>，高 2m，间隔有效贮存容积充足，可说明本项目废铅酸蓄电池贮存间隔面积满足使用要求</w:t>
            </w:r>
            <w:r>
              <w:rPr>
                <w:rFonts w:hint="default" w:ascii="Times New Roman" w:hAnsi="Times New Roman" w:eastAsia="宋体" w:cs="Times New Roman"/>
                <w:color w:val="auto"/>
                <w:highlight w:val="none"/>
                <w:vertAlign w:val="baseline"/>
                <w:lang w:val="en-US" w:eastAsia="zh-CN"/>
              </w:rPr>
              <w:t>。</w:t>
            </w:r>
          </w:p>
          <w:p>
            <w:pPr>
              <w:keepNext w:val="0"/>
              <w:keepLines w:val="0"/>
              <w:widowControl/>
              <w:suppressLineNumbers w:val="0"/>
              <w:adjustRightInd w:val="0"/>
              <w:snapToGrid w:val="0"/>
              <w:spacing w:before="0" w:beforeAutospacing="0" w:after="0" w:afterAutospacing="0" w:line="360" w:lineRule="auto"/>
              <w:ind w:left="0" w:right="0" w:firstLine="480" w:firstLineChars="200"/>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2）废变压器油</w:t>
            </w:r>
          </w:p>
          <w:p>
            <w:pPr>
              <w:keepNext w:val="0"/>
              <w:keepLines w:val="0"/>
              <w:widowControl/>
              <w:suppressLineNumbers w:val="0"/>
              <w:adjustRightInd w:val="0"/>
              <w:snapToGrid w:val="0"/>
              <w:spacing w:before="0" w:beforeAutospacing="0" w:after="0" w:afterAutospacing="0" w:line="360" w:lineRule="auto"/>
              <w:ind w:left="0" w:right="0" w:firstLine="480" w:firstLineChars="200"/>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110kV</w:t>
            </w:r>
            <w:r>
              <w:rPr>
                <w:rFonts w:hint="default" w:ascii="Times New Roman" w:hAnsi="Times New Roman" w:cs="Times New Roman"/>
                <w:color w:val="auto"/>
                <w:highlight w:val="none"/>
                <w:lang w:val="en-US" w:eastAsia="zh-CN"/>
              </w:rPr>
              <w:t>变电站</w:t>
            </w:r>
            <w:r>
              <w:rPr>
                <w:rFonts w:hint="default" w:ascii="Times New Roman" w:hAnsi="Times New Roman" w:eastAsia="宋体" w:cs="Times New Roman"/>
                <w:color w:val="auto"/>
                <w:highlight w:val="none"/>
                <w:lang w:val="en-US" w:eastAsia="zh-CN"/>
              </w:rPr>
              <w:t>内的变压器为了绝缘和冷却的需要，在变压器外壳内装有大量的变压器油，一般只有检修及事故情况下才会产生油污染。本项目</w:t>
            </w:r>
            <w:r>
              <w:rPr>
                <w:rFonts w:hint="default" w:ascii="Times New Roman" w:hAnsi="Times New Roman" w:cs="Times New Roman"/>
                <w:color w:val="auto"/>
                <w:highlight w:val="none"/>
                <w:lang w:val="en-US" w:eastAsia="zh-CN"/>
              </w:rPr>
              <w:t>单台</w:t>
            </w:r>
            <w:r>
              <w:rPr>
                <w:rFonts w:hint="eastAsia" w:ascii="Times New Roman" w:hAnsi="Times New Roman" w:cs="Times New Roman"/>
                <w:color w:val="auto"/>
                <w:highlight w:val="none"/>
                <w:lang w:val="en-US" w:eastAsia="zh-CN"/>
              </w:rPr>
              <w:t>63</w:t>
            </w:r>
            <w:r>
              <w:rPr>
                <w:rFonts w:hint="default" w:ascii="Times New Roman" w:hAnsi="Times New Roman" w:eastAsia="宋体" w:cs="Times New Roman"/>
                <w:color w:val="auto"/>
                <w:highlight w:val="none"/>
                <w:lang w:val="en-US" w:eastAsia="zh-CN"/>
              </w:rPr>
              <w:t>MVA主变油重</w:t>
            </w:r>
            <w:r>
              <w:rPr>
                <w:rFonts w:hint="default" w:ascii="Times New Roman" w:hAnsi="Times New Roman" w:cs="Times New Roman"/>
                <w:color w:val="auto"/>
                <w:highlight w:val="none"/>
                <w:lang w:val="en-US" w:eastAsia="zh-CN"/>
              </w:rPr>
              <w:t>23.44</w:t>
            </w:r>
            <w:r>
              <w:rPr>
                <w:rFonts w:hint="default" w:ascii="Times New Roman" w:hAnsi="Times New Roman" w:eastAsia="宋体" w:cs="Times New Roman"/>
                <w:color w:val="auto"/>
                <w:highlight w:val="none"/>
                <w:lang w:val="en-US" w:eastAsia="zh-CN"/>
              </w:rPr>
              <w:t>t，体积26.19 m³</w:t>
            </w:r>
            <w:r>
              <w:rPr>
                <w:rFonts w:hint="default" w:ascii="Times New Roman" w:hAnsi="Times New Roman" w:cs="Times New Roman"/>
                <w:color w:val="auto"/>
                <w:highlight w:val="none"/>
                <w:lang w:val="en-US" w:eastAsia="zh-CN"/>
              </w:rPr>
              <w:t>，本项目</w:t>
            </w:r>
            <w:r>
              <w:rPr>
                <w:rFonts w:hint="default" w:ascii="Times New Roman" w:hAnsi="Times New Roman" w:eastAsia="宋体" w:cs="Times New Roman"/>
                <w:color w:val="auto"/>
                <w:highlight w:val="none"/>
                <w:lang w:val="en-US" w:eastAsia="zh-CN"/>
              </w:rPr>
              <w:t>设置</w:t>
            </w:r>
            <w:r>
              <w:rPr>
                <w:rFonts w:hint="eastAsia" w:ascii="Times New Roman" w:hAnsi="Times New Roman" w:cs="Times New Roman"/>
                <w:color w:val="auto"/>
                <w:highlight w:val="none"/>
                <w:lang w:val="en-US" w:eastAsia="zh-CN"/>
              </w:rPr>
              <w:t>28m</w:t>
            </w:r>
            <w:r>
              <w:rPr>
                <w:rFonts w:hint="default" w:ascii="Times New Roman" w:hAnsi="Times New Roman" w:eastAsia="宋体" w:cs="Times New Roman"/>
                <w:color w:val="auto"/>
                <w:highlight w:val="none"/>
                <w:vertAlign w:val="superscript"/>
                <w:lang w:val="en-US" w:eastAsia="zh-CN"/>
              </w:rPr>
              <w:t>3</w:t>
            </w:r>
            <w:r>
              <w:rPr>
                <w:rFonts w:hint="default" w:ascii="Times New Roman" w:hAnsi="Times New Roman" w:eastAsia="宋体" w:cs="Times New Roman"/>
                <w:color w:val="auto"/>
                <w:highlight w:val="none"/>
                <w:vertAlign w:val="baseline"/>
                <w:lang w:val="en-US" w:eastAsia="zh-CN"/>
              </w:rPr>
              <w:t>事故油池，当变压器发生事故时，壳体内的油经过铸铁管排入事故油池，防止变压器油随意乱排造成对环境的污染。</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textAlignment w:val="auto"/>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根据《火力发电厂与变电站设计防火标准》</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GB50229-2019</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及《电力设备典型消防规程》</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DL5027-2015</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要求，户外单台油量为 1000kg 以上的电气设备，应设置储油或挡油设施，其容积宜按设备油量的 20%设计，并能将事故油排至总事故贮油池。总事故贮油池的容量应按其接入的油量最大一台设备确定。本项目最大单台变压器油重约23.44t</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约</w:t>
            </w:r>
            <w:r>
              <w:rPr>
                <w:rFonts w:hint="eastAsia" w:ascii="Times New Roman" w:hAnsi="Times New Roman" w:cs="Times New Roman"/>
                <w:color w:val="auto"/>
                <w:highlight w:val="none"/>
                <w:lang w:val="en-US" w:eastAsia="zh-CN"/>
              </w:rPr>
              <w:t>26.19</w:t>
            </w:r>
            <w:r>
              <w:rPr>
                <w:rFonts w:hint="default" w:ascii="Times New Roman" w:hAnsi="Times New Roman" w:eastAsia="宋体" w:cs="Times New Roman"/>
                <w:color w:val="auto"/>
                <w:highlight w:val="none"/>
                <w:lang w:val="en-US" w:eastAsia="zh-CN"/>
              </w:rPr>
              <w:t>m</w:t>
            </w:r>
            <w:r>
              <w:rPr>
                <w:rFonts w:hint="default" w:ascii="Times New Roman" w:hAnsi="Times New Roman" w:eastAsia="宋体" w:cs="Times New Roman"/>
                <w:color w:val="auto"/>
                <w:highlight w:val="none"/>
                <w:vertAlign w:val="superscript"/>
                <w:lang w:val="en-US" w:eastAsia="zh-CN"/>
              </w:rPr>
              <w:t>3</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，事故油池容积</w:t>
            </w:r>
            <w:r>
              <w:rPr>
                <w:rFonts w:hint="eastAsia" w:ascii="Times New Roman" w:hAnsi="Times New Roman" w:cs="Times New Roman"/>
                <w:color w:val="auto"/>
                <w:highlight w:val="none"/>
                <w:lang w:val="en-US" w:eastAsia="zh-CN"/>
              </w:rPr>
              <w:t>28m</w:t>
            </w:r>
            <w:r>
              <w:rPr>
                <w:rFonts w:hint="default" w:ascii="Times New Roman" w:hAnsi="Times New Roman" w:eastAsia="宋体" w:cs="Times New Roman"/>
                <w:color w:val="auto"/>
                <w:highlight w:val="none"/>
                <w:vertAlign w:val="superscript"/>
                <w:lang w:val="en-US" w:eastAsia="zh-CN"/>
              </w:rPr>
              <w:t>3</w:t>
            </w:r>
            <w:r>
              <w:rPr>
                <w:rFonts w:hint="default" w:ascii="Times New Roman" w:hAnsi="Times New Roman" w:eastAsia="宋体" w:cs="Times New Roman"/>
                <w:color w:val="auto"/>
                <w:highlight w:val="none"/>
                <w:lang w:val="en-US" w:eastAsia="zh-CN"/>
              </w:rPr>
              <w:t>，满足最大单台变压器100%排油量要求。</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textAlignment w:val="auto"/>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根据《国家危险废物名录》（2025年版），废变压器油废物类别：HW08废矿物油与含矿物油废物；废物代码：900-220-08；危险特性T，I。主变事故排油暂存于事故油池、变压器检修废油使用密闭铁桶暂存于危险废物贮存库废矿物油贮存间隔内（8m</w:t>
            </w:r>
            <w:r>
              <w:rPr>
                <w:rFonts w:hint="default" w:ascii="Times New Roman" w:hAnsi="Times New Roman" w:eastAsia="宋体" w:cs="Times New Roman"/>
                <w:color w:val="auto"/>
                <w:highlight w:val="none"/>
                <w:vertAlign w:val="superscript"/>
                <w:lang w:val="en-US" w:eastAsia="zh-CN"/>
              </w:rPr>
              <w:t>2</w:t>
            </w:r>
            <w:r>
              <w:rPr>
                <w:rFonts w:hint="default" w:ascii="Times New Roman" w:hAnsi="Times New Roman" w:eastAsia="宋体" w:cs="Times New Roman"/>
                <w:color w:val="auto"/>
                <w:highlight w:val="none"/>
                <w:lang w:val="en-US" w:eastAsia="zh-CN"/>
              </w:rPr>
              <w:t>），委托有资质单位回收。</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textAlignment w:val="auto"/>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110kV</w:t>
            </w:r>
            <w:r>
              <w:rPr>
                <w:rFonts w:hint="default" w:ascii="Times New Roman" w:hAnsi="Times New Roman" w:cs="Times New Roman"/>
                <w:color w:val="auto"/>
                <w:highlight w:val="none"/>
                <w:lang w:val="en-US" w:eastAsia="zh-CN"/>
              </w:rPr>
              <w:t>变电站</w:t>
            </w:r>
            <w:r>
              <w:rPr>
                <w:rFonts w:hint="default" w:ascii="Times New Roman" w:hAnsi="Times New Roman" w:eastAsia="宋体" w:cs="Times New Roman"/>
                <w:color w:val="auto"/>
                <w:highlight w:val="none"/>
                <w:lang w:val="en-US" w:eastAsia="zh-CN"/>
              </w:rPr>
              <w:t>内的变压器平均每年检修一次，产生约0.1t的废变压器油及检修废油，使用1个200L铁桶可全部容下，贮存该部分危险废物占用废矿物油贮存间隔面积不大，可以满足面积使用要求。</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textAlignment w:val="auto"/>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3</w:t>
            </w:r>
            <w:r>
              <w:rPr>
                <w:rFonts w:hint="eastAsia" w:ascii="Times New Roman" w:hAnsi="Times New Roman" w:cs="Times New Roman"/>
                <w:color w:val="auto"/>
                <w:highlight w:val="none"/>
                <w:lang w:val="en-US" w:eastAsia="zh-CN"/>
              </w:rPr>
              <w:t>）</w:t>
            </w:r>
            <w:r>
              <w:rPr>
                <w:rFonts w:hint="default" w:ascii="Times New Roman" w:hAnsi="Times New Roman" w:eastAsia="宋体" w:cs="Times New Roman"/>
                <w:color w:val="auto"/>
                <w:highlight w:val="none"/>
                <w:lang w:val="en-US" w:eastAsia="zh-CN"/>
              </w:rPr>
              <w:t xml:space="preserve">废弃含油抹布及废手套 </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textAlignment w:val="auto"/>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根据《国家危险废物名录》（2025年版），含油抹布及废手套属于该名 录附录“危险废物豁免管理清单”内容，含油抹布及废手套为“未分类 收集”状态时，全过程可进行豁免，不按危险废物管理。本次环评建议含油抹布及废手套收集到危险废物贮存库，和检修废矿物油桶装收集一起交有危废处理资质的单位处理。</w:t>
            </w:r>
          </w:p>
          <w:p>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08" w:lineRule="auto"/>
              <w:ind w:left="0" w:right="0" w:firstLine="480" w:firstLineChars="200"/>
              <w:jc w:val="both"/>
              <w:textAlignment w:val="auto"/>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sz w:val="24"/>
                <w:szCs w:val="24"/>
                <w:highlight w:val="none"/>
                <w:lang w:val="en-US" w:eastAsia="zh-CN"/>
              </w:rPr>
              <w:t>根据110kV</w:t>
            </w:r>
            <w:r>
              <w:rPr>
                <w:rFonts w:hint="default" w:ascii="Times New Roman" w:hAnsi="Times New Roman" w:cs="Times New Roman"/>
                <w:color w:val="auto"/>
                <w:sz w:val="24"/>
                <w:szCs w:val="24"/>
                <w:highlight w:val="none"/>
                <w:lang w:val="en-US" w:eastAsia="zh-CN"/>
              </w:rPr>
              <w:t>变电站</w:t>
            </w:r>
            <w:r>
              <w:rPr>
                <w:rFonts w:hint="default" w:ascii="Times New Roman" w:hAnsi="Times New Roman" w:eastAsia="宋体" w:cs="Times New Roman"/>
                <w:color w:val="auto"/>
                <w:sz w:val="24"/>
                <w:szCs w:val="24"/>
                <w:highlight w:val="none"/>
                <w:lang w:val="en-US" w:eastAsia="zh-CN"/>
              </w:rPr>
              <w:t>的检修计划，一年约产生100份废弃含油抹布及废手套，单个重量按0.1kg计算，废弃含油抹布及废手套产量为0.01t/a。使用1个防泄漏塑料袋即可全部容纳，贮存该部分危险废物占用废矿物油贮存间隔面积不大，可以满足面积使用要求。</w:t>
            </w:r>
          </w:p>
          <w:p>
            <w:pPr>
              <w:keepNext w:val="0"/>
              <w:keepLines w:val="0"/>
              <w:widowControl/>
              <w:suppressLineNumbers w:val="0"/>
              <w:adjustRightInd w:val="0"/>
              <w:snapToGrid w:val="0"/>
              <w:spacing w:before="0" w:beforeAutospacing="0" w:after="0" w:afterAutospacing="0" w:line="360" w:lineRule="auto"/>
              <w:ind w:left="0" w:right="0" w:firstLine="482" w:firstLineChars="200"/>
              <w:jc w:val="center"/>
              <w:outlineLvl w:val="9"/>
              <w:rPr>
                <w:rFonts w:hint="default" w:ascii="Times New Roman" w:hAnsi="Times New Roman" w:eastAsia="宋体" w:cs="Times New Roman"/>
                <w:b/>
                <w:bCs/>
                <w:color w:val="auto"/>
                <w:highlight w:val="none"/>
                <w:lang w:val="en-US" w:eastAsia="zh-CN"/>
              </w:rPr>
            </w:pPr>
            <w:r>
              <w:rPr>
                <w:rFonts w:hint="default" w:ascii="Times New Roman" w:hAnsi="Times New Roman" w:eastAsia="宋体" w:cs="Times New Roman"/>
                <w:b/>
                <w:bCs/>
                <w:color w:val="auto"/>
                <w:highlight w:val="none"/>
                <w:lang w:val="en-US" w:eastAsia="zh-CN"/>
              </w:rPr>
              <w:t>表4-</w:t>
            </w:r>
            <w:r>
              <w:rPr>
                <w:rFonts w:hint="default" w:ascii="Times New Roman" w:hAnsi="Times New Roman" w:cs="Times New Roman"/>
                <w:b/>
                <w:bCs/>
                <w:color w:val="auto"/>
                <w:highlight w:val="none"/>
                <w:lang w:val="en-US" w:eastAsia="zh-CN"/>
              </w:rPr>
              <w:t>7</w:t>
            </w:r>
            <w:r>
              <w:rPr>
                <w:rFonts w:hint="default" w:ascii="Times New Roman" w:hAnsi="Times New Roman" w:eastAsia="宋体" w:cs="Times New Roman"/>
                <w:b/>
                <w:bCs/>
                <w:color w:val="auto"/>
                <w:highlight w:val="none"/>
                <w:lang w:val="en-US" w:eastAsia="zh-CN"/>
              </w:rPr>
              <w:t xml:space="preserve"> 项目固废产生及处置情况</w:t>
            </w:r>
          </w:p>
          <w:tbl>
            <w:tblPr>
              <w:tblStyle w:val="29"/>
              <w:tblW w:w="8219"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03"/>
              <w:gridCol w:w="1569"/>
              <w:gridCol w:w="340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846"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序号</w:t>
                  </w:r>
                </w:p>
              </w:tc>
              <w:tc>
                <w:tcPr>
                  <w:tcW w:w="2403"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固废名称</w:t>
                  </w:r>
                </w:p>
              </w:tc>
              <w:tc>
                <w:tcPr>
                  <w:tcW w:w="1569"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估算产生量</w:t>
                  </w:r>
                </w:p>
              </w:tc>
              <w:tc>
                <w:tcPr>
                  <w:tcW w:w="3401"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处置方式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846"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1</w:t>
                  </w:r>
                </w:p>
              </w:tc>
              <w:tc>
                <w:tcPr>
                  <w:tcW w:w="2403"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生活垃圾、检修零件</w:t>
                  </w:r>
                </w:p>
              </w:tc>
              <w:tc>
                <w:tcPr>
                  <w:tcW w:w="1569"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cs="Times New Roman"/>
                      <w:b w:val="0"/>
                      <w:bCs w:val="0"/>
                      <w:color w:val="auto"/>
                      <w:sz w:val="21"/>
                      <w:szCs w:val="21"/>
                      <w:highlight w:val="none"/>
                      <w:vertAlign w:val="baseline"/>
                      <w:lang w:val="en-US" w:eastAsia="zh-CN"/>
                    </w:rPr>
                    <w:t>0.1</w:t>
                  </w:r>
                  <w:r>
                    <w:rPr>
                      <w:rFonts w:hint="default" w:ascii="Times New Roman" w:hAnsi="Times New Roman" w:eastAsia="宋体" w:cs="Times New Roman"/>
                      <w:b w:val="0"/>
                      <w:bCs w:val="0"/>
                      <w:color w:val="auto"/>
                      <w:sz w:val="21"/>
                      <w:szCs w:val="21"/>
                      <w:highlight w:val="none"/>
                      <w:vertAlign w:val="baseline"/>
                      <w:lang w:val="en-US" w:eastAsia="zh-CN"/>
                    </w:rPr>
                    <w:t>t/a</w:t>
                  </w:r>
                </w:p>
              </w:tc>
              <w:tc>
                <w:tcPr>
                  <w:tcW w:w="3401" w:type="dxa"/>
                  <w:tcBorders>
                    <w:tl2br w:val="nil"/>
                    <w:tr2bl w:val="nil"/>
                  </w:tcBorders>
                  <w:vAlign w:val="center"/>
                </w:tcPr>
                <w:p>
                  <w:pPr>
                    <w:widowControl w:val="0"/>
                    <w:autoSpaceDN w:val="0"/>
                    <w:jc w:val="both"/>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生活垃圾随检修人员就近带回至生活垃圾转运点</w:t>
                  </w:r>
                  <w:r>
                    <w:rPr>
                      <w:rFonts w:hint="default" w:ascii="Times New Roman" w:hAnsi="Times New Roman" w:cs="Times New Roman"/>
                      <w:b w:val="0"/>
                      <w:bCs w:val="0"/>
                      <w:color w:val="auto"/>
                      <w:sz w:val="21"/>
                      <w:szCs w:val="21"/>
                      <w:highlight w:val="none"/>
                      <w:vertAlign w:val="baseline"/>
                      <w:lang w:val="en-US" w:eastAsia="zh-CN"/>
                    </w:rPr>
                    <w:t>；</w:t>
                  </w:r>
                  <w:r>
                    <w:rPr>
                      <w:rFonts w:hint="default" w:ascii="Times New Roman" w:hAnsi="Times New Roman" w:eastAsia="宋体" w:cs="Times New Roman"/>
                      <w:b w:val="0"/>
                      <w:bCs w:val="0"/>
                      <w:color w:val="auto"/>
                      <w:sz w:val="21"/>
                      <w:szCs w:val="21"/>
                      <w:highlight w:val="none"/>
                      <w:vertAlign w:val="baseline"/>
                      <w:lang w:val="en-US" w:eastAsia="zh-CN"/>
                    </w:rPr>
                    <w:t>巡检产生的少量报废零部件产生后由厂家带走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46"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2</w:t>
                  </w:r>
                </w:p>
              </w:tc>
              <w:tc>
                <w:tcPr>
                  <w:tcW w:w="2403"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废铅酸蓄电池</w:t>
                  </w:r>
                </w:p>
              </w:tc>
              <w:tc>
                <w:tcPr>
                  <w:tcW w:w="1569"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1.442t/5a</w:t>
                  </w:r>
                </w:p>
              </w:tc>
              <w:tc>
                <w:tcPr>
                  <w:tcW w:w="3401" w:type="dxa"/>
                  <w:vMerge w:val="restart"/>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分类暂存于危险废物贮存库，有资质单位回收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46"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3</w:t>
                  </w:r>
                </w:p>
              </w:tc>
              <w:tc>
                <w:tcPr>
                  <w:tcW w:w="2403"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废变压器油及检修废油</w:t>
                  </w:r>
                </w:p>
              </w:tc>
              <w:tc>
                <w:tcPr>
                  <w:tcW w:w="1569"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0.1t/a</w:t>
                  </w:r>
                </w:p>
              </w:tc>
              <w:tc>
                <w:tcPr>
                  <w:tcW w:w="3401" w:type="dxa"/>
                  <w:vMerge w:val="continue"/>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846"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4</w:t>
                  </w:r>
                </w:p>
              </w:tc>
              <w:tc>
                <w:tcPr>
                  <w:tcW w:w="2403"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废弃含油抹布及废手套</w:t>
                  </w:r>
                </w:p>
              </w:tc>
              <w:tc>
                <w:tcPr>
                  <w:tcW w:w="1569" w:type="dxa"/>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r>
                    <w:rPr>
                      <w:rFonts w:hint="default" w:ascii="Times New Roman" w:hAnsi="Times New Roman" w:eastAsia="宋体" w:cs="Times New Roman"/>
                      <w:b w:val="0"/>
                      <w:bCs w:val="0"/>
                      <w:color w:val="auto"/>
                      <w:sz w:val="21"/>
                      <w:szCs w:val="21"/>
                      <w:highlight w:val="none"/>
                      <w:vertAlign w:val="baseline"/>
                      <w:lang w:val="en-US" w:eastAsia="zh-CN"/>
                    </w:rPr>
                    <w:t>0.01t/a</w:t>
                  </w:r>
                </w:p>
              </w:tc>
              <w:tc>
                <w:tcPr>
                  <w:tcW w:w="3401" w:type="dxa"/>
                  <w:vMerge w:val="continue"/>
                  <w:tcBorders>
                    <w:tl2br w:val="nil"/>
                    <w:tr2bl w:val="nil"/>
                  </w:tcBorders>
                  <w:vAlign w:val="center"/>
                </w:tcPr>
                <w:p>
                  <w:pPr>
                    <w:widowControl w:val="0"/>
                    <w:autoSpaceDN w:val="0"/>
                    <w:jc w:val="center"/>
                    <w:textAlignment w:val="bottom"/>
                    <w:outlineLvl w:val="9"/>
                    <w:rPr>
                      <w:rFonts w:hint="default" w:ascii="Times New Roman" w:hAnsi="Times New Roman" w:eastAsia="宋体" w:cs="Times New Roman"/>
                      <w:b w:val="0"/>
                      <w:bCs w:val="0"/>
                      <w:color w:val="auto"/>
                      <w:sz w:val="21"/>
                      <w:szCs w:val="21"/>
                      <w:highlight w:val="none"/>
                      <w:vertAlign w:val="baseline"/>
                      <w:lang w:val="en-US" w:eastAsia="zh-CN"/>
                    </w:rPr>
                  </w:pPr>
                </w:p>
              </w:tc>
            </w:tr>
          </w:tbl>
          <w:p>
            <w:pPr>
              <w:keepNext w:val="0"/>
              <w:keepLines w:val="0"/>
              <w:widowControl/>
              <w:suppressLineNumbers w:val="0"/>
              <w:adjustRightInd w:val="0"/>
              <w:snapToGrid w:val="0"/>
              <w:spacing w:before="0" w:beforeAutospacing="0" w:after="0" w:afterAutospacing="0" w:line="360" w:lineRule="auto"/>
              <w:ind w:left="0" w:right="0" w:firstLine="480" w:firstLineChars="200"/>
              <w:outlineLvl w:val="9"/>
              <w:rPr>
                <w:rFonts w:hint="default" w:ascii="Times New Roman" w:hAnsi="Times New Roman" w:eastAsia="宋体" w:cs="Times New Roman"/>
                <w:color w:val="auto"/>
                <w:highlight w:val="none"/>
                <w:lang w:val="en-US" w:eastAsia="zh-CN"/>
              </w:rPr>
            </w:pPr>
          </w:p>
          <w:p>
            <w:pPr>
              <w:pStyle w:val="14"/>
              <w:keepNext w:val="0"/>
              <w:keepLines w:val="0"/>
              <w:widowControl/>
              <w:suppressLineNumbers w:val="0"/>
              <w:adjustRightInd w:val="0"/>
              <w:snapToGrid w:val="0"/>
              <w:spacing w:before="0" w:beforeAutospacing="0" w:after="0" w:afterAutospacing="0"/>
              <w:ind w:left="0" w:right="0" w:firstLine="0" w:firstLineChars="0"/>
              <w:outlineLvl w:val="9"/>
              <w:rPr>
                <w:rFonts w:hint="default" w:ascii="Times New Roman" w:hAnsi="Times New Roman" w:eastAsia="宋体" w:cs="Times New Roman"/>
                <w:b/>
                <w:color w:val="auto"/>
                <w:highlight w:val="none"/>
                <w:lang w:val="en-US" w:eastAsia="zh-CN"/>
              </w:rPr>
            </w:pPr>
            <w:r>
              <w:rPr>
                <w:rFonts w:hint="default" w:ascii="Times New Roman" w:hAnsi="Times New Roman" w:eastAsia="宋体" w:cs="Times New Roman"/>
                <w:b/>
                <w:color w:val="auto"/>
                <w:highlight w:val="none"/>
              </w:rPr>
              <w:t>5运营期生态影响</w:t>
            </w:r>
            <w:r>
              <w:rPr>
                <w:rFonts w:hint="default" w:ascii="Times New Roman" w:hAnsi="Times New Roman" w:eastAsia="宋体" w:cs="Times New Roman"/>
                <w:b/>
                <w:color w:val="auto"/>
                <w:highlight w:val="none"/>
                <w:lang w:val="en-US" w:eastAsia="zh-CN"/>
              </w:rPr>
              <w:t xml:space="preserve"> </w:t>
            </w:r>
          </w:p>
          <w:p>
            <w:pPr>
              <w:pStyle w:val="14"/>
              <w:keepNext w:val="0"/>
              <w:keepLines w:val="0"/>
              <w:widowControl/>
              <w:suppressLineNumbers w:val="0"/>
              <w:adjustRightInd w:val="0"/>
              <w:snapToGrid w:val="0"/>
              <w:spacing w:before="0" w:beforeAutospacing="0" w:after="0" w:afterAutospacing="0"/>
              <w:ind w:left="0" w:right="0" w:firstLine="480"/>
              <w:outlineLvl w:val="9"/>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本项目占地类型为</w:t>
            </w:r>
            <w:r>
              <w:rPr>
                <w:rFonts w:hint="eastAsia" w:ascii="Times New Roman" w:hAnsi="Times New Roman" w:cs="Times New Roman"/>
                <w:color w:val="auto"/>
                <w:highlight w:val="none"/>
                <w:lang w:val="en-US" w:eastAsia="zh-CN"/>
              </w:rPr>
              <w:t>其他草地、盐碱地</w:t>
            </w:r>
            <w:r>
              <w:rPr>
                <w:rFonts w:hint="default" w:ascii="Times New Roman" w:hAnsi="Times New Roman" w:eastAsia="宋体" w:cs="Times New Roman"/>
                <w:color w:val="auto"/>
                <w:highlight w:val="none"/>
                <w:lang w:val="en-US" w:eastAsia="zh-CN"/>
              </w:rPr>
              <w:t>，生态影响主要体现在施工阶段，运营期生态影响较小。</w:t>
            </w:r>
          </w:p>
          <w:p>
            <w:pPr>
              <w:pStyle w:val="14"/>
              <w:keepNext w:val="0"/>
              <w:keepLines w:val="0"/>
              <w:widowControl/>
              <w:suppressLineNumbers w:val="0"/>
              <w:adjustRightInd w:val="0"/>
              <w:snapToGrid w:val="0"/>
              <w:spacing w:before="0" w:beforeAutospacing="0" w:after="0" w:afterAutospacing="0"/>
              <w:ind w:left="0" w:right="0" w:firstLine="480"/>
              <w:outlineLvl w:val="9"/>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架空线路投运后需对线路进行定期巡检，巡检通行可依托周边已有道路作为输电线路巡检道路，运营期线路巡检对区域生态环境影响很小。</w:t>
            </w:r>
            <w:r>
              <w:rPr>
                <w:rFonts w:hint="default" w:ascii="Times New Roman" w:hAnsi="Times New Roman" w:eastAsia="宋体" w:cs="Times New Roman"/>
                <w:color w:val="auto"/>
                <w:highlight w:val="none"/>
                <w:lang w:val="en-US" w:eastAsia="zh-CN"/>
              </w:rPr>
              <w:t>此外</w:t>
            </w:r>
            <w:r>
              <w:rPr>
                <w:rFonts w:hint="default" w:ascii="Times New Roman" w:hAnsi="Times New Roman" w:eastAsia="宋体" w:cs="Times New Roman"/>
                <w:color w:val="auto"/>
                <w:highlight w:val="none"/>
              </w:rPr>
              <w:t>，本项目输电线路全线安装防鸟刺，防鸟刺能有效防止体型较大鸟类在</w:t>
            </w:r>
            <w:r>
              <w:rPr>
                <w:rFonts w:hint="default" w:ascii="Times New Roman" w:hAnsi="Times New Roman" w:eastAsia="宋体" w:cs="Times New Roman"/>
                <w:color w:val="auto"/>
                <w:highlight w:val="none"/>
                <w:lang w:val="en-US" w:eastAsia="zh-CN"/>
              </w:rPr>
              <w:t>铁塔</w:t>
            </w:r>
            <w:r>
              <w:rPr>
                <w:rFonts w:hint="default" w:ascii="Times New Roman" w:hAnsi="Times New Roman" w:eastAsia="宋体" w:cs="Times New Roman"/>
                <w:color w:val="auto"/>
                <w:highlight w:val="none"/>
              </w:rPr>
              <w:t>上筑巢和长时间停留，减少因在输电线路正常运营活动而产生的伤害事件。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879" w:type="dxa"/>
            <w:noWrap/>
            <w:vAlign w:val="center"/>
          </w:tcPr>
          <w:p>
            <w:pPr>
              <w:pStyle w:val="26"/>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kern w:val="2"/>
                <w:sz w:val="21"/>
                <w:szCs w:val="21"/>
                <w:highlight w:val="none"/>
              </w:rPr>
            </w:pPr>
            <w:r>
              <w:rPr>
                <w:rFonts w:hint="default" w:ascii="Times New Roman" w:hAnsi="Times New Roman" w:eastAsia="宋体" w:cs="Times New Roman"/>
                <w:bCs/>
                <w:color w:val="auto"/>
                <w:kern w:val="2"/>
                <w:szCs w:val="24"/>
                <w:highlight w:val="none"/>
              </w:rPr>
              <w:t>选址选线环境合理性分析</w:t>
            </w:r>
          </w:p>
        </w:tc>
        <w:tc>
          <w:tcPr>
            <w:tcW w:w="8363" w:type="dxa"/>
            <w:noWrap/>
          </w:tcPr>
          <w:p>
            <w:pPr>
              <w:keepNext w:val="0"/>
              <w:keepLines w:val="0"/>
              <w:widowControl/>
              <w:suppressLineNumbers w:val="0"/>
              <w:adjustRightInd w:val="0"/>
              <w:snapToGrid w:val="0"/>
              <w:spacing w:before="0" w:beforeAutospacing="0" w:after="0" w:afterAutospacing="0" w:line="348" w:lineRule="auto"/>
              <w:ind w:left="0" w:right="0" w:firstLine="480" w:firstLineChars="200"/>
              <w:rPr>
                <w:rFonts w:hint="default" w:ascii="Times New Roman" w:hAnsi="Times New Roman" w:eastAsia="宋体" w:cs="Times New Roman"/>
                <w:color w:val="auto"/>
                <w:highlight w:val="none"/>
              </w:rPr>
            </w:pPr>
            <w:bookmarkStart w:id="68" w:name="_Hlk202741682"/>
            <w:r>
              <w:rPr>
                <w:rFonts w:hint="default" w:ascii="Times New Roman" w:hAnsi="Times New Roman" w:eastAsia="宋体" w:cs="Times New Roman"/>
                <w:color w:val="auto"/>
                <w:highlight w:val="none"/>
              </w:rPr>
              <w:t>根据《环境影响评价技术导则 输变电》</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HJ 24-2020</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，应按照《输变电建设项目环境保护技术要求》</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HJ1113-2020</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的规定进行选址选线环境合理性分析。</w:t>
            </w:r>
          </w:p>
          <w:p>
            <w:pPr>
              <w:keepNext w:val="0"/>
              <w:keepLines w:val="0"/>
              <w:widowControl/>
              <w:suppressLineNumbers w:val="0"/>
              <w:adjustRightInd w:val="0"/>
              <w:snapToGrid w:val="0"/>
              <w:spacing w:before="0" w:beforeAutospacing="0" w:after="0" w:afterAutospacing="0" w:line="348"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本次评价根据《输变电建设项目环境保护技术要求》</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HJ1113-2020</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中选址等相关技术要求，对比分析相关符合性，见本报告“一、建设项目基本情况”-“与《输变电建设项目环境保护技术要求》符合性分析”内容。</w:t>
            </w:r>
          </w:p>
          <w:p>
            <w:pPr>
              <w:keepNext w:val="0"/>
              <w:keepLines w:val="0"/>
              <w:widowControl w:val="0"/>
              <w:suppressLineNumbers w:val="0"/>
              <w:adjustRightInd w:val="0"/>
              <w:snapToGrid w:val="0"/>
              <w:spacing w:before="0" w:beforeAutospacing="0" w:after="0" w:afterAutospacing="0" w:line="348" w:lineRule="auto"/>
              <w:ind w:left="0" w:right="0" w:firstLine="480" w:firstLineChars="200"/>
              <w:jc w:val="both"/>
              <w:rPr>
                <w:rFonts w:hint="default" w:ascii="Times New Roman" w:hAnsi="Times New Roman" w:eastAsia="宋体" w:cs="Times New Roman"/>
                <w:color w:val="auto"/>
                <w:kern w:val="2"/>
                <w:highlight w:val="none"/>
              </w:rPr>
            </w:pPr>
            <w:r>
              <w:rPr>
                <w:rFonts w:hint="default" w:ascii="Times New Roman" w:hAnsi="Times New Roman" w:eastAsia="宋体" w:cs="Times New Roman"/>
                <w:color w:val="auto"/>
                <w:kern w:val="2"/>
                <w:highlight w:val="none"/>
              </w:rPr>
              <w:t>本项目</w:t>
            </w:r>
            <w:r>
              <w:rPr>
                <w:rFonts w:hint="default" w:ascii="Times New Roman" w:hAnsi="Times New Roman" w:eastAsia="宋体" w:cs="Times New Roman"/>
                <w:color w:val="auto"/>
                <w:kern w:val="2"/>
                <w:highlight w:val="none"/>
                <w:lang w:val="en-US" w:eastAsia="zh-CN"/>
              </w:rPr>
              <w:t>110kV</w:t>
            </w:r>
            <w:r>
              <w:rPr>
                <w:rFonts w:hint="default" w:ascii="Times New Roman" w:hAnsi="Times New Roman" w:cs="Times New Roman"/>
                <w:color w:val="auto"/>
                <w:kern w:val="2"/>
                <w:highlight w:val="none"/>
                <w:lang w:val="en-US" w:eastAsia="zh-CN"/>
              </w:rPr>
              <w:t>变电站</w:t>
            </w:r>
            <w:r>
              <w:rPr>
                <w:rFonts w:hint="default" w:ascii="Times New Roman" w:hAnsi="Times New Roman" w:eastAsia="宋体" w:cs="Times New Roman"/>
                <w:color w:val="auto"/>
                <w:kern w:val="2"/>
                <w:highlight w:val="none"/>
                <w:lang w:val="en-US" w:eastAsia="zh-CN"/>
              </w:rPr>
              <w:t>站址唯一，已</w:t>
            </w:r>
            <w:r>
              <w:rPr>
                <w:rFonts w:hint="default" w:ascii="Times New Roman" w:hAnsi="Times New Roman" w:eastAsia="宋体" w:cs="Times New Roman"/>
                <w:color w:val="auto"/>
                <w:kern w:val="2"/>
                <w:highlight w:val="none"/>
              </w:rPr>
              <w:t>合理规划输电线路，选线过程已避让基本农田、尽量减少交叉跨越；施工道路充分利用现有道路，减少临时占地征用，节约土地资源。</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Cs w:val="21"/>
                <w:highlight w:val="none"/>
              </w:rPr>
            </w:pPr>
            <w:r>
              <w:rPr>
                <w:rFonts w:hint="default" w:ascii="Times New Roman" w:hAnsi="Times New Roman" w:eastAsia="宋体" w:cs="Times New Roman"/>
                <w:color w:val="auto"/>
                <w:szCs w:val="21"/>
                <w:highlight w:val="none"/>
              </w:rPr>
              <w:t>综上所述，本项目选线环境合理。</w:t>
            </w:r>
            <w:bookmarkEnd w:id="68"/>
          </w:p>
        </w:tc>
      </w:tr>
    </w:tbl>
    <w:p>
      <w:pPr>
        <w:pStyle w:val="26"/>
        <w:jc w:val="center"/>
        <w:rPr>
          <w:rFonts w:hint="default" w:ascii="Times New Roman" w:hAnsi="Times New Roman" w:eastAsia="宋体" w:cs="Times New Roman"/>
          <w:snapToGrid w:val="0"/>
          <w:color w:val="auto"/>
          <w:sz w:val="36"/>
          <w:szCs w:val="36"/>
          <w:highlight w:val="none"/>
        </w:rPr>
        <w:sectPr>
          <w:pgSz w:w="11906" w:h="16838"/>
          <w:pgMar w:top="1440" w:right="1800" w:bottom="1440" w:left="1800" w:header="851" w:footer="1077" w:gutter="0"/>
          <w:pgBorders>
            <w:top w:val="none" w:sz="0" w:space="0"/>
            <w:left w:val="none" w:sz="0" w:space="0"/>
            <w:bottom w:val="none" w:sz="0" w:space="0"/>
            <w:right w:val="none" w:sz="0" w:space="0"/>
          </w:pgBorders>
          <w:pgNumType w:fmt="decimal"/>
          <w:cols w:space="720" w:num="1"/>
          <w:docGrid w:linePitch="312" w:charSpace="0"/>
        </w:sectPr>
      </w:pPr>
    </w:p>
    <w:p>
      <w:pPr>
        <w:pStyle w:val="26"/>
        <w:adjustRightInd w:val="0"/>
        <w:snapToGrid w:val="0"/>
        <w:spacing w:before="0" w:beforeAutospacing="0" w:after="0" w:afterAutospacing="0"/>
        <w:jc w:val="center"/>
        <w:outlineLvl w:val="0"/>
        <w:rPr>
          <w:rFonts w:hint="default" w:ascii="Times New Roman" w:hAnsi="Times New Roman" w:eastAsia="宋体" w:cs="Times New Roman"/>
          <w:snapToGrid w:val="0"/>
          <w:color w:val="auto"/>
          <w:sz w:val="30"/>
          <w:szCs w:val="30"/>
          <w:highlight w:val="none"/>
        </w:rPr>
      </w:pPr>
      <w:bookmarkStart w:id="69" w:name="_Toc8100"/>
      <w:bookmarkStart w:id="70" w:name="_Toc201659588"/>
      <w:bookmarkStart w:id="71" w:name="_Toc67825868"/>
      <w:bookmarkStart w:id="72" w:name="_Toc24188"/>
      <w:bookmarkStart w:id="73" w:name="_Toc201659448"/>
      <w:bookmarkStart w:id="74" w:name="_Toc201659318"/>
      <w:bookmarkStart w:id="75" w:name="_Toc67826162"/>
      <w:bookmarkStart w:id="76" w:name="_Toc210812362"/>
      <w:bookmarkStart w:id="77" w:name="_Toc97229035"/>
      <w:bookmarkStart w:id="78" w:name="_Toc118237982"/>
      <w:bookmarkStart w:id="79" w:name="_Toc215697933"/>
      <w:bookmarkStart w:id="80" w:name="_Toc122187736"/>
      <w:bookmarkStart w:id="81" w:name="_Toc72921444"/>
      <w:bookmarkStart w:id="82" w:name="_Toc70007226"/>
      <w:bookmarkStart w:id="83" w:name="_Toc70009839"/>
      <w:bookmarkStart w:id="84" w:name="_Toc70009651"/>
      <w:bookmarkStart w:id="85" w:name="_Toc118834721"/>
      <w:bookmarkStart w:id="86" w:name="_Toc202798675"/>
      <w:r>
        <w:rPr>
          <w:rFonts w:hint="default" w:ascii="Times New Roman" w:hAnsi="Times New Roman" w:eastAsia="宋体" w:cs="Times New Roman"/>
          <w:snapToGrid w:val="0"/>
          <w:color w:val="auto"/>
          <w:sz w:val="30"/>
          <w:szCs w:val="30"/>
          <w:highlight w:val="none"/>
        </w:rPr>
        <w:t>五、主要生态环境保护措施</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tbl>
      <w:tblPr>
        <w:tblStyle w:val="28"/>
        <w:tblW w:w="921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53"/>
        <w:gridCol w:w="845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14" w:hRule="atLeast"/>
          <w:jc w:val="center"/>
        </w:trPr>
        <w:tc>
          <w:tcPr>
            <w:tcW w:w="753" w:type="dxa"/>
            <w:noWrap/>
            <w:tcMar>
              <w:left w:w="28" w:type="dxa"/>
              <w:right w:w="28" w:type="dxa"/>
            </w:tcMar>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szCs w:val="21"/>
                <w:highlight w:val="none"/>
              </w:rPr>
            </w:pPr>
            <w:r>
              <w:rPr>
                <w:rFonts w:hint="default" w:ascii="Times New Roman" w:hAnsi="Times New Roman" w:eastAsia="宋体" w:cs="Times New Roman"/>
                <w:bCs/>
                <w:color w:val="auto"/>
                <w:spacing w:val="10"/>
                <w:highlight w:val="none"/>
              </w:rPr>
              <w:t>施工期生态环境保护措施</w:t>
            </w:r>
          </w:p>
        </w:tc>
        <w:tc>
          <w:tcPr>
            <w:tcW w:w="8457" w:type="dxa"/>
            <w:noWrap/>
          </w:tcPr>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1生态环境保护措施</w:t>
            </w:r>
          </w:p>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b/>
                <w:color w:val="auto"/>
                <w:kern w:val="2"/>
                <w:highlight w:val="none"/>
                <w:lang w:val="en-US"/>
              </w:rPr>
            </w:pPr>
            <w:r>
              <w:rPr>
                <w:rFonts w:hint="default" w:ascii="Times New Roman" w:hAnsi="Times New Roman" w:eastAsia="宋体" w:cs="Times New Roman"/>
                <w:b/>
                <w:color w:val="auto"/>
                <w:highlight w:val="none"/>
              </w:rPr>
              <w:t>1.1</w:t>
            </w:r>
            <w:bookmarkStart w:id="87" w:name="_Hlk193404426"/>
            <w:r>
              <w:rPr>
                <w:rFonts w:hint="default" w:ascii="Times New Roman" w:hAnsi="Times New Roman" w:eastAsia="宋体" w:cs="Times New Roman"/>
                <w:b/>
                <w:color w:val="auto"/>
                <w:kern w:val="2"/>
                <w:highlight w:val="none"/>
              </w:rPr>
              <w:t>土地利用</w:t>
            </w:r>
            <w:r>
              <w:rPr>
                <w:rFonts w:hint="default" w:ascii="Times New Roman" w:hAnsi="Times New Roman" w:eastAsia="宋体" w:cs="Times New Roman"/>
                <w:b/>
                <w:color w:val="auto"/>
                <w:kern w:val="2"/>
                <w:highlight w:val="none"/>
                <w:lang w:val="en-US" w:eastAsia="zh-CN"/>
              </w:rPr>
              <w:t>保护措施</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bCs/>
                <w:color w:val="auto"/>
                <w:kern w:val="2"/>
                <w:highlight w:val="none"/>
              </w:rPr>
            </w:pPr>
            <w:bookmarkStart w:id="88" w:name="_Hlk175783526"/>
            <w:r>
              <w:rPr>
                <w:rFonts w:hint="eastAsia" w:ascii="Times New Roman" w:hAnsi="Times New Roman" w:cs="Times New Roman"/>
                <w:bCs/>
                <w:color w:val="auto"/>
                <w:kern w:val="2"/>
                <w:highlight w:val="none"/>
                <w:lang w:eastAsia="zh-CN"/>
              </w:rPr>
              <w:t>（</w:t>
            </w:r>
            <w:r>
              <w:rPr>
                <w:rFonts w:hint="default" w:ascii="Times New Roman" w:hAnsi="Times New Roman" w:eastAsia="宋体" w:cs="Times New Roman"/>
                <w:bCs/>
                <w:color w:val="auto"/>
                <w:kern w:val="2"/>
                <w:highlight w:val="none"/>
              </w:rPr>
              <w:t>1</w:t>
            </w:r>
            <w:r>
              <w:rPr>
                <w:rFonts w:hint="eastAsia" w:ascii="Times New Roman" w:hAnsi="Times New Roman" w:cs="Times New Roman"/>
                <w:bCs/>
                <w:color w:val="auto"/>
                <w:kern w:val="2"/>
                <w:highlight w:val="none"/>
                <w:lang w:eastAsia="zh-CN"/>
              </w:rPr>
              <w:t>）</w:t>
            </w:r>
            <w:r>
              <w:rPr>
                <w:rFonts w:hint="default" w:ascii="Times New Roman" w:hAnsi="Times New Roman" w:eastAsia="宋体" w:cs="Times New Roman"/>
                <w:bCs/>
                <w:color w:val="auto"/>
                <w:kern w:val="2"/>
                <w:highlight w:val="none"/>
              </w:rPr>
              <w:t>施工活动严格控制在征地范围内，作业区四周设置彩带、控制施工范围，尽可能减少对周围土地的破坏，各施工机械和设备不得随意堆放，以便能有效地控制占地面积，更好地保护原地貌。</w:t>
            </w:r>
          </w:p>
          <w:bookmarkEnd w:id="87"/>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highlight w:val="none"/>
              </w:rPr>
            </w:pPr>
            <w:r>
              <w:rPr>
                <w:rFonts w:hint="eastAsia" w:ascii="Times New Roman" w:hAnsi="Times New Roman" w:cs="Times New Roman"/>
                <w:bCs/>
                <w:color w:val="auto"/>
                <w:kern w:val="2"/>
                <w:highlight w:val="none"/>
                <w:lang w:eastAsia="zh-CN"/>
              </w:rPr>
              <w:t>（</w:t>
            </w:r>
            <w:r>
              <w:rPr>
                <w:rFonts w:hint="default" w:ascii="Times New Roman" w:hAnsi="Times New Roman" w:eastAsia="宋体" w:cs="Times New Roman"/>
                <w:bCs/>
                <w:color w:val="auto"/>
                <w:kern w:val="2"/>
                <w:highlight w:val="none"/>
              </w:rPr>
              <w:t>2</w:t>
            </w:r>
            <w:r>
              <w:rPr>
                <w:rFonts w:hint="eastAsia" w:ascii="Times New Roman" w:hAnsi="Times New Roman" w:cs="Times New Roman"/>
                <w:bCs/>
                <w:color w:val="auto"/>
                <w:kern w:val="2"/>
                <w:highlight w:val="none"/>
                <w:lang w:eastAsia="zh-CN"/>
              </w:rPr>
              <w:t>）</w:t>
            </w:r>
            <w:r>
              <w:rPr>
                <w:rFonts w:hint="default" w:ascii="Times New Roman" w:hAnsi="Times New Roman" w:eastAsia="宋体" w:cs="Times New Roman"/>
                <w:bCs/>
                <w:color w:val="auto"/>
                <w:kern w:val="2"/>
                <w:highlight w:val="none"/>
              </w:rPr>
              <w:t>电气设备必须严格按照设计规划指定位置来放置，各类施工机械和设备不得随意堆放，以便能有效地控制占地面积，更好地保护原地貌。</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Times New Roman" w:hAnsi="Times New Roman" w:eastAsia="宋体" w:cs="Times New Roman"/>
                <w:bCs/>
                <w:color w:val="auto"/>
                <w:kern w:val="2"/>
                <w:highlight w:val="none"/>
                <w:lang w:val="en-US" w:eastAsia="zh-CN"/>
              </w:rPr>
            </w:pPr>
            <w:r>
              <w:rPr>
                <w:rFonts w:hint="eastAsia" w:ascii="Times New Roman" w:hAnsi="Times New Roman" w:cs="Times New Roman"/>
                <w:bCs/>
                <w:color w:val="auto"/>
                <w:kern w:val="2"/>
                <w:highlight w:val="none"/>
                <w:lang w:val="en-US" w:eastAsia="zh-CN"/>
              </w:rPr>
              <w:t>（3）</w:t>
            </w:r>
            <w:r>
              <w:rPr>
                <w:rFonts w:hint="eastAsia" w:ascii="Times New Roman" w:hAnsi="Times New Roman" w:eastAsia="宋体" w:cs="Times New Roman"/>
                <w:bCs/>
                <w:color w:val="auto"/>
                <w:kern w:val="2"/>
                <w:highlight w:val="none"/>
                <w:lang w:val="en-US" w:eastAsia="zh-CN"/>
              </w:rPr>
              <w:t>项目优先避让</w:t>
            </w:r>
            <w:r>
              <w:rPr>
                <w:rFonts w:hint="eastAsia" w:ascii="Times New Roman" w:hAnsi="Times New Roman" w:cs="Times New Roman"/>
                <w:bCs/>
                <w:color w:val="auto"/>
                <w:kern w:val="2"/>
                <w:highlight w:val="none"/>
                <w:lang w:val="en-US" w:eastAsia="zh-CN"/>
              </w:rPr>
              <w:t>农田、果园</w:t>
            </w:r>
            <w:r>
              <w:rPr>
                <w:rFonts w:hint="eastAsia" w:ascii="Times New Roman" w:hAnsi="Times New Roman" w:eastAsia="宋体" w:cs="Times New Roman"/>
                <w:bCs/>
                <w:color w:val="auto"/>
                <w:kern w:val="2"/>
                <w:highlight w:val="none"/>
                <w:lang w:val="en-US" w:eastAsia="zh-CN"/>
              </w:rPr>
              <w:t>。确无法避让的区段，采用窄基铁塔、钢管杆、等紧凑型塔型，压缩塔基永久占地面积，以点状占地形式穿越农田区域，不破坏连片耕作格局。</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Times New Roman" w:hAnsi="Times New Roman" w:eastAsia="宋体" w:cs="Times New Roman"/>
                <w:bCs/>
                <w:color w:val="auto"/>
                <w:kern w:val="2"/>
                <w:highlight w:val="none"/>
                <w:lang w:val="en-US" w:eastAsia="zh-CN"/>
              </w:rPr>
            </w:pPr>
            <w:r>
              <w:rPr>
                <w:rFonts w:hint="eastAsia" w:ascii="Times New Roman" w:hAnsi="Times New Roman" w:cs="Times New Roman"/>
                <w:bCs/>
                <w:color w:val="auto"/>
                <w:kern w:val="2"/>
                <w:highlight w:val="none"/>
                <w:lang w:val="en-US" w:eastAsia="zh-CN"/>
              </w:rPr>
              <w:t>（4）</w:t>
            </w:r>
            <w:r>
              <w:rPr>
                <w:rFonts w:hint="eastAsia" w:ascii="Times New Roman" w:hAnsi="Times New Roman" w:eastAsia="宋体" w:cs="Times New Roman"/>
                <w:bCs/>
                <w:color w:val="auto"/>
                <w:kern w:val="2"/>
                <w:highlight w:val="none"/>
                <w:lang w:val="en-US" w:eastAsia="zh-CN"/>
              </w:rPr>
              <w:t>线路尽量沿田埂、机耕道、农田边缘布设，避免大面积横穿完整田块，保留农田农机通行、灌溉排水体系完整性，最大限度保留农田原有生产功能。</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Times New Roman" w:hAnsi="Times New Roman" w:cs="Times New Roman"/>
                <w:color w:val="auto"/>
                <w:kern w:val="2"/>
                <w:highlight w:val="none"/>
                <w:lang w:val="en-US" w:eastAsia="zh-CN"/>
              </w:rPr>
            </w:pPr>
            <w:r>
              <w:rPr>
                <w:rFonts w:hint="eastAsia" w:ascii="Times New Roman" w:hAnsi="Times New Roman" w:cs="Times New Roman"/>
                <w:color w:val="auto"/>
                <w:kern w:val="2"/>
                <w:highlight w:val="none"/>
                <w:lang w:val="en-US" w:eastAsia="zh-CN"/>
              </w:rPr>
              <w:t>（5）线路跨越林地区段时，采用全线高跨、大档距跨越方式，减少立塔数量；严格控制林木砍伐带宽。</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Times New Roman" w:hAnsi="Times New Roman" w:cs="Times New Roman"/>
                <w:color w:val="auto"/>
                <w:kern w:val="2"/>
                <w:highlight w:val="none"/>
                <w:lang w:val="en-US" w:eastAsia="zh-CN"/>
              </w:rPr>
            </w:pPr>
            <w:r>
              <w:rPr>
                <w:rFonts w:hint="eastAsia" w:ascii="Times New Roman" w:hAnsi="Times New Roman" w:cs="Times New Roman"/>
                <w:color w:val="auto"/>
                <w:kern w:val="2"/>
                <w:highlight w:val="none"/>
                <w:lang w:val="en-US" w:eastAsia="zh-CN"/>
              </w:rPr>
              <w:t>（6）牵张场、跨越场优先利用荒地、闲置空地、不新增农田、林地临时占地。施工便道最大限度依托现有田间道路，新建便道宽度严格控制在规范允许范围内，减少地表扰动范围。</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highlight w:val="none"/>
              </w:rPr>
            </w:pPr>
            <w:r>
              <w:rPr>
                <w:rFonts w:hint="eastAsia" w:ascii="Times New Roman" w:hAnsi="Times New Roman" w:cs="Times New Roman"/>
                <w:color w:val="auto"/>
                <w:kern w:val="2"/>
                <w:highlight w:val="none"/>
                <w:lang w:val="en-US" w:eastAsia="zh-CN"/>
              </w:rPr>
              <w:t>（7</w:t>
            </w:r>
            <w:r>
              <w:rPr>
                <w:rFonts w:hint="eastAsia" w:ascii="Times New Roman" w:hAnsi="Times New Roman" w:cs="Times New Roman"/>
                <w:color w:val="auto"/>
                <w:kern w:val="2"/>
                <w:highlight w:val="none"/>
                <w:lang w:eastAsia="zh-CN"/>
              </w:rPr>
              <w:t>）</w:t>
            </w:r>
            <w:r>
              <w:rPr>
                <w:rFonts w:hint="default" w:ascii="Times New Roman" w:hAnsi="Times New Roman" w:eastAsia="宋体" w:cs="Times New Roman"/>
                <w:color w:val="auto"/>
                <w:kern w:val="2"/>
                <w:highlight w:val="none"/>
              </w:rPr>
              <w:t>在施工完毕后，应按设计要求立即对基坑开挖部分进行覆土，并进行平整夯实，以减少水土流失；对各类临时占地等施工扰动区地表进行平整。</w:t>
            </w:r>
            <w:bookmarkEnd w:id="88"/>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color w:val="auto"/>
                <w:highlight w:val="none"/>
              </w:rPr>
            </w:pPr>
            <w:r>
              <w:rPr>
                <w:rFonts w:hint="default" w:ascii="Times New Roman" w:hAnsi="Times New Roman" w:eastAsia="宋体" w:cs="Times New Roman"/>
                <w:b/>
                <w:color w:val="auto"/>
                <w:highlight w:val="none"/>
              </w:rPr>
              <w:t>1.2人员行为规范</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1</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加强对管理人员和施工人员的教育，增强其环保意识，设置环保宣传牌；</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2</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注意保护植被，禁止随意割草，不得偷猎、伤害、恐吓、袭击野生动物；</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3</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施工人员和施工机械不得在规定区域范围外随意活动和行驶；</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4</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生活垃圾集中收集、分类处理，不得随意丢弃。</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color w:val="auto"/>
                <w:highlight w:val="none"/>
              </w:rPr>
            </w:pPr>
            <w:bookmarkStart w:id="89" w:name="_Hlk202783822"/>
            <w:r>
              <w:rPr>
                <w:rFonts w:hint="default" w:ascii="Times New Roman" w:hAnsi="Times New Roman" w:eastAsia="宋体" w:cs="Times New Roman"/>
                <w:b/>
                <w:color w:val="auto"/>
                <w:highlight w:val="none"/>
              </w:rPr>
              <w:t>1.3植物保护措施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bCs/>
                <w:color w:val="auto"/>
                <w:highlight w:val="none"/>
                <w:lang w:eastAsia="zh-CN"/>
              </w:rPr>
              <w:t>（</w:t>
            </w:r>
            <w:r>
              <w:rPr>
                <w:rFonts w:hint="default" w:ascii="Times New Roman" w:hAnsi="Times New Roman" w:eastAsia="宋体" w:cs="Times New Roman"/>
                <w:snapToGrid w:val="0"/>
                <w:color w:val="auto"/>
                <w:highlight w:val="none"/>
              </w:rPr>
              <w:t>1</w:t>
            </w:r>
            <w:r>
              <w:rPr>
                <w:rFonts w:hint="eastAsia" w:ascii="Times New Roman" w:hAnsi="Times New Roman" w:cs="Times New Roman"/>
                <w:snapToGrid w:val="0"/>
                <w:color w:val="auto"/>
                <w:highlight w:val="none"/>
                <w:lang w:eastAsia="zh-CN"/>
              </w:rPr>
              <w:t>）</w:t>
            </w:r>
            <w:r>
              <w:rPr>
                <w:rFonts w:hint="default" w:ascii="Times New Roman" w:hAnsi="Times New Roman" w:eastAsia="宋体" w:cs="Times New Roman"/>
                <w:snapToGrid w:val="0"/>
                <w:color w:val="auto"/>
                <w:highlight w:val="none"/>
              </w:rPr>
              <w:t>合理规划、设计施工便道及场地，并要求各种机械和车辆固定行车路线，不能随意下道行驶或另开辟便道，以减少施工时对周围地表和植被的破坏；</w:t>
            </w:r>
          </w:p>
          <w:bookmarkEnd w:id="89"/>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2</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在塔基定位阶段根据沿线实际情况考虑对植被覆盖率较大区域进行合理规避，尽量将塔基选择在植被稀疏区域进行基础施工以减少植被损失，使因工程建设造成的生态损失降低到最低程度；</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3</w:t>
            </w:r>
            <w:r>
              <w:rPr>
                <w:rFonts w:hint="eastAsia" w:ascii="Times New Roman" w:hAnsi="Times New Roman" w:cs="Times New Roman"/>
                <w:color w:val="auto"/>
                <w:highlight w:val="none"/>
                <w:lang w:eastAsia="zh-CN"/>
              </w:rPr>
              <w:t>）</w:t>
            </w:r>
            <w:r>
              <w:rPr>
                <w:rFonts w:hint="default" w:ascii="Times New Roman" w:hAnsi="Times New Roman" w:eastAsia="宋体" w:cs="Times New Roman"/>
                <w:snapToGrid w:val="0"/>
                <w:color w:val="auto"/>
                <w:highlight w:val="none"/>
              </w:rPr>
              <w:t>牵张场设置时</w:t>
            </w:r>
            <w:r>
              <w:rPr>
                <w:rFonts w:hint="default" w:ascii="Times New Roman" w:hAnsi="Times New Roman" w:eastAsia="宋体" w:cs="Times New Roman"/>
                <w:color w:val="auto"/>
                <w:highlight w:val="none"/>
              </w:rPr>
              <w:t>，尽可能利用现有道路或沿线空地，避免不必要的临时占地行为对生态环境造成破坏；施工作业尽量选择在地表植被较少或无植被区域，尽量不清除地表植被，待施工结束后，对扰动区域适当洒水增湿，使其自然恢复，逐渐恢复为原有地貌；</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4</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除施工必须不得不铲除或碾压植被外，不允许以其他任何理由铲除植被，以减少对生态环境的破坏，宜林宜草地段植被进行恢复；</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5</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合理安排施工时间及工序，开挖后尽快进行土方回填，需进行表土剥离区域，做到分层开挖，分层堆放，分层回填；做好施工后的恢复工作；</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6</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严格限定施工人员的活动范围，不破坏动物繁育及栖息场所；</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bookmarkStart w:id="90" w:name="_Hlk202783837"/>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7</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在塔基基础及杆塔等施工完毕后，应按设计要求立即对塔基基础周边开挖部分进行覆土，并进行平整夯实，以减少水土流失；对作业区、牵张场等施工扰动区地表进行平整，必要时进行喷水增湿，以便自然植被的生长恢复；</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eastAsia" w:ascii="Times New Roman" w:hAnsi="Times New Roman" w:cs="Times New Roman"/>
                <w:color w:val="auto"/>
                <w:highlight w:val="none"/>
                <w:lang w:eastAsia="zh-CN"/>
              </w:rPr>
            </w:pPr>
            <w:bookmarkStart w:id="91" w:name="_Hlk202784149"/>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8</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严格控制施工边界，精准划定占地范围，严禁超占、乱占林地，最大限度减少周边未成林造林地及桃树植被破坏。优化施工方案，集中开展施工作业，缩短林地扰动时长，施工过程中做好地表覆土保护，单独存放耕作层土壤，为后期植被恢复提供条件</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eastAsia"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8</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塔基建设范围内确需移除的果树，严格按照树龄、品种、盛果期产值核定补偿标准，足额落实经济补偿。对线路下方、作业区周边可保留的成年果树，抬高施工面、优化施工方案，避免修剪、碾压及根系损伤。对施工造成的果树减产、损伤单独核算补偿。</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eastAsia"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9</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严格控制林木采伐范围，仅清除塔基基础、线路安全通道必要林木，严控采伐带宽，杜绝超范围清林。林区幼树优先采取移栽保护方式，成熟林木依法办理采伐手续后规范采伐。施工过程中保护林下灌木、草本、幼苗及枯枝落叶腐殖层，维持林地水土保持与生态涵养功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10</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针对占用林地面积，严格按照林业部门要求开展异地植被补植，选择本土适生树种进行造林恢复，弥补区域林地植被损失。</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（11）强化施工期环境管控，严禁乱砍滥伐、损毁周边林木，及时清理施工废弃物，避免土壤、植被污染。</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12</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施工结束后对塔基临时占地、施工道路等进行场地恢复，在宜草地段进行撒播草籽方式恢复生态。</w:t>
            </w:r>
          </w:p>
          <w:bookmarkEnd w:id="90"/>
          <w:bookmarkEnd w:id="91"/>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color w:val="auto"/>
                <w:highlight w:val="none"/>
              </w:rPr>
            </w:pPr>
            <w:r>
              <w:rPr>
                <w:rFonts w:hint="default" w:ascii="Times New Roman" w:hAnsi="Times New Roman" w:eastAsia="宋体" w:cs="Times New Roman"/>
                <w:b/>
                <w:color w:val="auto"/>
                <w:highlight w:val="none"/>
              </w:rPr>
              <w:t>1.4野生动物保护措施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1</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施工前对施工人员进行宣传和教育，严禁发生捕捉伤害野生动物的行为，增强保护野生动物的意识；</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2</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选用低噪声的施工设备及工艺，施工活动主要集中在白天进行，禁止夜间作业，避免灯光、噪声对夜间动物活动的惊扰。在施工过程中若发现野生动物的活动，应进行避让和保护，以防影响野生动物的栖息。</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3</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施工</w:t>
            </w:r>
            <w:r>
              <w:rPr>
                <w:rFonts w:hint="default" w:ascii="Times New Roman" w:hAnsi="Times New Roman" w:eastAsia="宋体" w:cs="Times New Roman"/>
                <w:color w:val="auto"/>
                <w:highlight w:val="none"/>
                <w:lang w:eastAsia="zh-CN"/>
              </w:rPr>
              <w:t>期间</w:t>
            </w:r>
            <w:r>
              <w:rPr>
                <w:rFonts w:hint="default" w:ascii="Times New Roman" w:hAnsi="Times New Roman" w:eastAsia="宋体" w:cs="Times New Roman"/>
                <w:color w:val="auto"/>
                <w:highlight w:val="none"/>
              </w:rPr>
              <w:t>如发现保护动物应采取妥善措施进行保护，不得杀害和损伤保护动物。对受伤的动物应及时联系野生动物保护部门，及时救治。</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color w:val="auto"/>
                <w:highlight w:val="none"/>
              </w:rPr>
            </w:pPr>
            <w:bookmarkStart w:id="92" w:name="_Hlk202783985"/>
            <w:r>
              <w:rPr>
                <w:rFonts w:hint="default" w:ascii="Times New Roman" w:hAnsi="Times New Roman" w:eastAsia="宋体" w:cs="Times New Roman"/>
                <w:b/>
                <w:color w:val="auto"/>
                <w:highlight w:val="none"/>
              </w:rPr>
              <w:t>1.5工程措施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snapToGrid w:val="0"/>
                <w:color w:val="auto"/>
                <w:highlight w:val="none"/>
                <w:lang w:eastAsia="zh-CN"/>
              </w:rPr>
              <w:t>（</w:t>
            </w:r>
            <w:r>
              <w:rPr>
                <w:rFonts w:hint="default" w:ascii="Times New Roman" w:hAnsi="Times New Roman" w:eastAsia="宋体" w:cs="Times New Roman"/>
                <w:snapToGrid w:val="0"/>
                <w:color w:val="auto"/>
                <w:highlight w:val="none"/>
              </w:rPr>
              <w:t>1</w:t>
            </w:r>
            <w:r>
              <w:rPr>
                <w:rFonts w:hint="eastAsia" w:ascii="Times New Roman" w:hAnsi="Times New Roman" w:cs="Times New Roman"/>
                <w:snapToGrid w:val="0"/>
                <w:color w:val="auto"/>
                <w:highlight w:val="none"/>
                <w:lang w:eastAsia="zh-CN"/>
              </w:rPr>
              <w:t>）</w:t>
            </w:r>
            <w:r>
              <w:rPr>
                <w:rFonts w:hint="default" w:ascii="Times New Roman" w:hAnsi="Times New Roman" w:eastAsia="宋体" w:cs="Times New Roman"/>
                <w:snapToGrid w:val="0"/>
                <w:color w:val="auto"/>
                <w:highlight w:val="none"/>
              </w:rPr>
              <w:t>采取尽量减少占地、控制施工范围、减少扰动面积、需进行表土剥离区域，分层开挖分层回填、</w:t>
            </w:r>
            <w:r>
              <w:rPr>
                <w:rFonts w:hint="default" w:ascii="Times New Roman" w:hAnsi="Times New Roman" w:eastAsia="宋体" w:cs="Times New Roman"/>
                <w:color w:val="auto"/>
                <w:highlight w:val="none"/>
              </w:rPr>
              <w:t>减少地表开挖裸露时间、避开大风天气施工、及时进行迹地恢复等措施；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2</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严格按照设计的占地面积、基础型式等要求开挖，尽量采用人工方式，避免大开挖，做到土石方平衡，减少弃土的产生，</w:t>
            </w:r>
            <w:r>
              <w:rPr>
                <w:rFonts w:hint="default" w:ascii="Times New Roman" w:hAnsi="Times New Roman" w:eastAsia="宋体" w:cs="Times New Roman"/>
                <w:color w:val="auto"/>
                <w:highlight w:val="none"/>
                <w:lang w:val="en-US" w:eastAsia="zh-CN"/>
              </w:rPr>
              <w:t>弃土及时清运</w:t>
            </w:r>
            <w:r>
              <w:rPr>
                <w:rFonts w:hint="default" w:ascii="Times New Roman" w:hAnsi="Times New Roman" w:eastAsia="宋体" w:cs="Times New Roman"/>
                <w:color w:val="auto"/>
                <w:highlight w:val="none"/>
              </w:rPr>
              <w:t>，减少水土流失；</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3</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采取挡土墙、护坡、护面、排水沟等防护措施，剥离的表土和开挖出的土石方采取四周拦挡，下铺上盖等挡护及苫盖措施妥善堆放。在施工过程中，对物料、堆土、弃渣等应就近选择平坦地段集中堆放，并设置土工布围栏，以免造成水土流失；</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4</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对开挖土方实行分层堆放，全部表土都应分开堆放并标注清楚，至少地表0.3米厚的土层应被视作表土。填埋时，也应分层回填，尽可能保持原有地表植被的生长环境、土壤肥力，以便于日后植被恢复。</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color w:val="auto"/>
                <w:highlight w:val="none"/>
              </w:rPr>
            </w:pPr>
            <w:r>
              <w:rPr>
                <w:rFonts w:hint="default" w:ascii="Times New Roman" w:hAnsi="Times New Roman" w:eastAsia="宋体" w:cs="Times New Roman"/>
                <w:b/>
                <w:color w:val="auto"/>
                <w:highlight w:val="none"/>
                <w:lang w:val="en-US" w:eastAsia="zh-CN"/>
              </w:rPr>
              <w:t>1.6生态影响减缓措施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施工过程中的占压、开挖、回填等施工活动都会造成生态破坏和水土流失。施工过程中的水土流失，不但会影响工程进度和工程质量，而且产生的泥沙作为一种废物或污染物往外排放，会对周围环境产生较为严重的影响。故施工</w:t>
            </w:r>
            <w:r>
              <w:rPr>
                <w:rFonts w:hint="default" w:ascii="Times New Roman" w:hAnsi="Times New Roman" w:eastAsia="宋体" w:cs="Times New Roman"/>
                <w:color w:val="auto"/>
                <w:highlight w:val="none"/>
                <w:lang w:eastAsia="zh-CN"/>
              </w:rPr>
              <w:t>期间</w:t>
            </w:r>
            <w:r>
              <w:rPr>
                <w:rFonts w:hint="default" w:ascii="Times New Roman" w:hAnsi="Times New Roman" w:eastAsia="宋体" w:cs="Times New Roman"/>
                <w:color w:val="auto"/>
                <w:highlight w:val="none"/>
              </w:rPr>
              <w:t>的水土流失问题值得注意，应采取必要的措施加以控制。为了减轻施工造成的水土流失、占用土地以及植被破坏等影响，评价要求：</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（1）优化场内道路的布设，场内道路应尽量利用已有简易道路进行建设，从而减少土地的占用，场内施工道路，尽量以半挖半填方式施工，减少施工土石方量，从而减少地面扰动面积。</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（2）优化临时占地区的选址，临时占地区选址应尽量选择没有植被覆盖的裸地，对临时占地区采取“永临结合”的方式。施工结束后，应及时对临时占地区域采取平整压实处理，避免水土流失。</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（3）将分散堆放的表土集中堆放在指定区域，并对表土进行遮盖，防止大风天气产生扬尘。确定的堆场面积范围，</w:t>
            </w:r>
            <w:r>
              <w:rPr>
                <w:rFonts w:hint="default" w:ascii="Times New Roman" w:hAnsi="Times New Roman" w:eastAsia="宋体" w:cs="Times New Roman"/>
                <w:color w:val="auto"/>
                <w:highlight w:val="none"/>
                <w:lang w:eastAsia="zh-CN"/>
              </w:rPr>
              <w:t>严禁</w:t>
            </w:r>
            <w:r>
              <w:rPr>
                <w:rFonts w:hint="default" w:ascii="Times New Roman" w:hAnsi="Times New Roman" w:eastAsia="宋体" w:cs="Times New Roman"/>
                <w:color w:val="auto"/>
                <w:highlight w:val="none"/>
              </w:rPr>
              <w:t>堆放在堆场范围外的地方，加强对占地区域砾幕层的保护，砾幕层恢复采用先收集-临时存放-施工结束后再覆盖-洒水的方式。</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4）临时开挖土方应该实行分层堆放与分层回填，地表30cm厚的表土层堆放在下层，用密目网进行隔离，其他土方需采用密目网进行苫盖，并设置草袋装土进行拦挡压盖，同时采取洒水降尘措施。平整填埋时，也应分层回填，尽可能保持原有的生长环境、土壤肥力和生产能力不变。</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（5）严格控制临时占地，尽量不占或少占土地。</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（6）场站基础开挖土方应实行分层堆放、分层回填，施工结束</w:t>
            </w:r>
            <w:r>
              <w:rPr>
                <w:rFonts w:hint="default" w:ascii="Times New Roman" w:hAnsi="Times New Roman" w:eastAsia="宋体" w:cs="Times New Roman"/>
                <w:color w:val="auto"/>
                <w:highlight w:val="none"/>
                <w:lang w:val="en-US" w:eastAsia="zh-CN"/>
              </w:rPr>
              <w:t>后</w:t>
            </w:r>
            <w:r>
              <w:rPr>
                <w:rFonts w:hint="default" w:ascii="Times New Roman" w:hAnsi="Times New Roman" w:eastAsia="宋体" w:cs="Times New Roman"/>
                <w:color w:val="auto"/>
                <w:highlight w:val="none"/>
              </w:rPr>
              <w:t>应立即恢复。在项目设计过程中应精心安排规划用地，合理安排施工，尽量减少施工开挖面积和临时占地面积。</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（7）优化施工时间，施工期应避免在雨季施工，同时减少土石方的开挖，减少施工</w:t>
            </w:r>
            <w:r>
              <w:rPr>
                <w:rFonts w:hint="default" w:ascii="Times New Roman" w:hAnsi="Times New Roman" w:eastAsia="宋体" w:cs="Times New Roman"/>
                <w:color w:val="auto"/>
                <w:highlight w:val="none"/>
                <w:lang w:eastAsia="zh-CN"/>
              </w:rPr>
              <w:t>垃圾</w:t>
            </w:r>
            <w:r>
              <w:rPr>
                <w:rFonts w:hint="default" w:ascii="Times New Roman" w:hAnsi="Times New Roman" w:eastAsia="宋体" w:cs="Times New Roman"/>
                <w:color w:val="auto"/>
                <w:highlight w:val="none"/>
              </w:rPr>
              <w:t>的产生，及时清除多余的土方和石料，严禁就地倾倒，同时采取护坡、挡土墙等防护措施，避免水土流失。</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（8）施工结束后对临时性占地及时采取自然恢复。</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对施工单位的要求：</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1）施工单位必须自觉遵守和维护有关环境保护的政策法规，教育施工人员爱护施工路段周围的植被。在施工前对施工平面图设计进行科学合理的规划，充分利用原有的地形、地貌，以尽量少占地为原则，严禁乱挖乱弃，做到文明施工，规范施工，按设计施工。</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（2）施工单位应合理进行施工布置，精心组织施工管理，严格将工程施工区控制在工程征用土地范围内，在工程开挖过程中，尽量减小和有效控制对施工区生态环境的影响范围和程度。</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 xml:space="preserve">（3）合理安排施工季节和作业时间，优化施工方案，减少废弃土石方的临时堆放，并尽量避免在雨季进行大量动土和开挖工程，有效减少区域水土流失，从而减少对生态环境的破坏。 </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4）施工期间，应划定施工区域界限，在保证施工顺利进行的前提下，严格控制施工人员和施工机械的活动范围；尽可能缩小施工作业面和减少破土面积；努力压缩开挖土方量，并尽量做到挖填平衡和减少弃土量，以最大限度地降低工程开挖造成的水土流失。</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（5）合理安排施工时间及工序，基础及缆沟开挖应避开大风天气及雨季，并尽快进行土方回填，将土壤受风蚀、水蚀的影响降至最小程度。</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（6）施工期内人员、机械、营地等应严格按设计集中在有限范围内，严禁随意扩大挠动范围，将对土体结构的影响降至最低程度。</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（7）尽量减少大型机械施工，基坑开挖后，尽快浇筑混凝土，并及时回填，对其表层进行碾压，缩短裸露时间，减少扬尘发生。基坑开挖严禁大爆破，以减少粉尘及震动对周围环境的影响。</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lang w:val="en-US" w:eastAsia="zh-CN"/>
              </w:rPr>
              <w:t>1.7生态恢复措施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本项目施工期严格控制占地面积，不得随意扩大或变更行车道路的宽度和长度，避免行驶车辆及检修人员的行走路线对征地范围外地表草地生长及原生植被的碾压扰动。</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施工期主要采取尽量减少占地、设置彩带控制施工范围、减少扰动面积、分层开挖分层回填、减少地表开挖裸露时间、避开雨季及大风天气施工、及时进行迹地恢复等生态防护措施，临时土方采取四周拦挡，上铺下盖等挡护及苫盖措施妥善堆放，以减少建设项目施工对生态环境及水土流失的影响。</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项目施工期生态恢复措施是根据当地自然条件和有关部门的种植经验制定的植被恢复方案，种植当地适宜生长的植被，能起到防风固沙、水土保持的作用。</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lang w:val="en-US" w:eastAsia="zh-CN"/>
              </w:rPr>
            </w:pPr>
            <w:r>
              <w:rPr>
                <w:rFonts w:hint="eastAsia" w:ascii="Times New Roman" w:hAnsi="Times New Roman" w:eastAsia="宋体" w:cs="Times New Roman"/>
                <w:b/>
                <w:bCs/>
                <w:color w:val="auto"/>
                <w:highlight w:val="none"/>
                <w:lang w:val="en-US" w:eastAsia="zh-CN"/>
              </w:rPr>
              <w:t>1.8防沙治沙措施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线路：</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1</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严格划定施工边界，划定施工范围，严禁超范围扰动地表、破坏原生戈壁结皮及天然植被，最大限度保留原有固沙地貌，杜绝新增沙源。</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eastAsia="zh-CN"/>
              </w:rPr>
              <w:t>（</w:t>
            </w:r>
            <w:r>
              <w:rPr>
                <w:rFonts w:hint="eastAsia" w:ascii="Times New Roman" w:hAnsi="Times New Roman" w:cs="Times New Roman"/>
                <w:color w:val="auto"/>
                <w:highlight w:val="none"/>
                <w:lang w:val="en-US" w:eastAsia="zh-CN"/>
              </w:rPr>
              <w:t>2</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rPr>
              <w:t>施工前</w:t>
            </w:r>
            <w:r>
              <w:rPr>
                <w:rFonts w:hint="eastAsia" w:ascii="Times New Roman" w:hAnsi="Times New Roman" w:cs="Times New Roman"/>
                <w:color w:val="auto"/>
                <w:highlight w:val="none"/>
                <w:lang w:val="en-US" w:eastAsia="zh-CN"/>
              </w:rPr>
              <w:t>剥离塔基周围</w:t>
            </w:r>
            <w:r>
              <w:rPr>
                <w:rFonts w:hint="default" w:ascii="Times New Roman" w:hAnsi="Times New Roman" w:eastAsia="宋体" w:cs="Times New Roman"/>
                <w:color w:val="auto"/>
                <w:highlight w:val="none"/>
              </w:rPr>
              <w:t>表土及原生结皮，分层单独堆放、遮盖防护，施工结束后原位回填恢复，避免土壤裸露起沙。</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eastAsia="zh-CN"/>
              </w:rPr>
              <w:t>（</w:t>
            </w:r>
            <w:r>
              <w:rPr>
                <w:rFonts w:hint="eastAsia" w:ascii="Times New Roman" w:hAnsi="Times New Roman" w:cs="Times New Roman"/>
                <w:color w:val="auto"/>
                <w:highlight w:val="none"/>
                <w:lang w:val="en-US" w:eastAsia="zh-CN"/>
              </w:rPr>
              <w:t>3</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rPr>
              <w:t>所有临时施工便道、作业场地优先利用现有空地及老旧道路，不新增占地，禁止随意开辟临时通道破坏地表固沙层。</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eastAsia="zh-CN"/>
              </w:rPr>
              <w:t>（</w:t>
            </w:r>
            <w:r>
              <w:rPr>
                <w:rFonts w:hint="eastAsia" w:ascii="Times New Roman" w:hAnsi="Times New Roman" w:cs="Times New Roman"/>
                <w:color w:val="auto"/>
                <w:highlight w:val="none"/>
                <w:lang w:val="en-US" w:eastAsia="zh-CN"/>
              </w:rPr>
              <w:t>4</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rPr>
              <w:t>施工期间裸露土方、沙堆全部采用高密度防尘网全覆盖压实遮盖，大风天气禁止土方开挖、搬运作业，实时抑制扬尘起沙。</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5</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优化施工工艺，塔基、基础施工采用低扰动作业方式，减少地表大面积平整和植被清除，保护区域固有防风固沙体系。</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7</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严禁乱砍滥伐、随意踩踏区域内花花柴</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红柳等原生耐旱固沙植被。</w:t>
            </w:r>
          </w:p>
          <w:p>
            <w:pPr>
              <w:keepNext w:val="0"/>
              <w:keepLines w:val="0"/>
              <w:widowControl/>
              <w:suppressLineNumbers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cs="Times New Roman"/>
                <w:color w:val="auto"/>
                <w:sz w:val="24"/>
                <w:szCs w:val="24"/>
                <w:highlight w:val="none"/>
              </w:rPr>
            </w:pPr>
            <w:r>
              <w:rPr>
                <w:rFonts w:hint="eastAsia" w:hAnsi="Times New Roman" w:cs="Times New Roman"/>
                <w:color w:val="auto"/>
                <w:sz w:val="24"/>
                <w:szCs w:val="24"/>
                <w:highlight w:val="none"/>
                <w:lang w:val="en-US" w:eastAsia="zh-CN"/>
              </w:rPr>
              <w:t>变电站</w:t>
            </w:r>
            <w:r>
              <w:rPr>
                <w:rFonts w:hint="default" w:hAnsi="Times New Roman" w:cs="Times New Roman"/>
                <w:color w:val="auto"/>
                <w:sz w:val="24"/>
                <w:szCs w:val="24"/>
                <w:highlight w:val="none"/>
              </w:rPr>
              <w:t>：</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val="en-US" w:eastAsia="zh-CN"/>
              </w:rPr>
              <w:t>（1）变电站场内非硬化区域采用砾石全覆盖压沙处理</w:t>
            </w:r>
            <w:r>
              <w:rPr>
                <w:rFonts w:hint="default" w:ascii="Times New Roman" w:hAnsi="Times New Roman" w:eastAsia="宋体" w:cs="Times New Roman"/>
                <w:color w:val="auto"/>
                <w:highlight w:val="none"/>
                <w:lang w:val="en-US" w:eastAsia="zh-CN"/>
              </w:rPr>
              <w:t>。</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val="en-US" w:eastAsia="zh-CN"/>
              </w:rPr>
              <w:t>（2）</w:t>
            </w:r>
            <w:r>
              <w:rPr>
                <w:rFonts w:hint="default" w:ascii="Times New Roman" w:hAnsi="Times New Roman" w:eastAsia="宋体" w:cs="Times New Roman"/>
                <w:color w:val="auto"/>
                <w:highlight w:val="none"/>
                <w:lang w:val="en-US" w:eastAsia="zh-CN"/>
              </w:rPr>
              <w:t>变电站基础开挖、场地平整产生的弃土弃渣全部集中定点堆放，严密遮盖，完工后及时清运或平整压实。</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eastAsia" w:ascii="Times New Roman" w:hAnsi="Times New Roman" w:cs="Times New Roman"/>
                <w:color w:val="auto"/>
                <w:highlight w:val="none"/>
                <w:lang w:val="en-US" w:eastAsia="zh-CN"/>
              </w:rPr>
            </w:pPr>
            <w:r>
              <w:rPr>
                <w:rFonts w:hint="eastAsia" w:ascii="Times New Roman" w:hAnsi="Times New Roman" w:cs="Times New Roman"/>
                <w:color w:val="auto"/>
                <w:highlight w:val="none"/>
                <w:lang w:val="en-US" w:eastAsia="zh-CN"/>
              </w:rPr>
              <w:t>（3）变电站周围选用花花柴、红柳等本土耐旱、耐盐碱固沙植被，减少水体流水。</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通过落实上述措施，本项目对周边生态环境影响可得到有效减缓。项目主要生态环境保护措施设计图见附图1</w:t>
            </w:r>
            <w:r>
              <w:rPr>
                <w:rFonts w:hint="eastAsia" w:ascii="Times New Roman" w:hAnsi="Times New Roman" w:eastAsia="宋体" w:cs="Times New Roman"/>
                <w:color w:val="auto"/>
                <w:highlight w:val="none"/>
                <w:lang w:val="en-US" w:eastAsia="zh-CN"/>
              </w:rPr>
              <w:t>4</w:t>
            </w:r>
            <w:r>
              <w:rPr>
                <w:rFonts w:hint="default" w:ascii="Times New Roman" w:hAnsi="Times New Roman" w:eastAsia="宋体" w:cs="Times New Roman"/>
                <w:color w:val="auto"/>
                <w:highlight w:val="none"/>
                <w:lang w:val="en-US" w:eastAsia="zh-CN"/>
              </w:rPr>
              <w:t>。</w:t>
            </w:r>
          </w:p>
          <w:p>
            <w:pPr>
              <w:keepNext w:val="0"/>
              <w:keepLines w:val="0"/>
              <w:widowControl/>
              <w:suppressLineNumbers w:val="0"/>
              <w:adjustRightInd w:val="0"/>
              <w:snapToGrid w:val="0"/>
              <w:spacing w:before="0" w:beforeLines="0" w:beforeAutospacing="0" w:after="0" w:afterLines="0" w:afterAutospacing="0" w:line="360" w:lineRule="auto"/>
              <w:ind w:left="0" w:right="0"/>
              <w:rPr>
                <w:rFonts w:hint="default" w:ascii="Times New Roman" w:hAnsi="Times New Roman" w:eastAsia="宋体" w:cs="Times New Roman"/>
                <w:b/>
                <w:bCs w:val="0"/>
                <w:color w:val="auto"/>
                <w:highlight w:val="none"/>
                <w:lang w:val="en-US" w:eastAsia="zh-CN"/>
              </w:rPr>
            </w:pPr>
            <w:r>
              <w:rPr>
                <w:rFonts w:hint="eastAsia" w:ascii="Times New Roman" w:hAnsi="Times New Roman" w:cs="Times New Roman"/>
                <w:b/>
                <w:bCs w:val="0"/>
                <w:color w:val="auto"/>
                <w:sz w:val="24"/>
                <w:szCs w:val="24"/>
                <w:highlight w:val="none"/>
              </w:rPr>
              <w:t>1.</w:t>
            </w:r>
            <w:r>
              <w:rPr>
                <w:rFonts w:hint="eastAsia" w:ascii="Times New Roman" w:hAnsi="Times New Roman" w:cs="Times New Roman"/>
                <w:b/>
                <w:bCs w:val="0"/>
                <w:color w:val="auto"/>
                <w:sz w:val="24"/>
                <w:szCs w:val="24"/>
                <w:highlight w:val="none"/>
                <w:lang w:val="en-US" w:eastAsia="zh-CN"/>
              </w:rPr>
              <w:t xml:space="preserve">9 </w:t>
            </w:r>
            <w:r>
              <w:rPr>
                <w:rFonts w:hint="default" w:ascii="Times New Roman" w:hAnsi="Times New Roman" w:eastAsia="宋体" w:cs="Times New Roman"/>
                <w:b/>
                <w:bCs w:val="0"/>
                <w:color w:val="auto"/>
                <w:highlight w:val="none"/>
                <w:lang w:val="en-US" w:eastAsia="zh-CN"/>
              </w:rPr>
              <w:t>110kV</w:t>
            </w:r>
            <w:r>
              <w:rPr>
                <w:rFonts w:hint="eastAsia" w:ascii="Times New Roman" w:hAnsi="Times New Roman" w:eastAsia="宋体" w:cs="Times New Roman"/>
                <w:b/>
                <w:bCs w:val="0"/>
                <w:color w:val="auto"/>
                <w:highlight w:val="none"/>
                <w:lang w:val="en-US" w:eastAsia="zh-CN"/>
              </w:rPr>
              <w:t>输电线路各类用地保护措施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一、农用地保护措施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1.</w:t>
            </w:r>
            <w:r>
              <w:rPr>
                <w:rFonts w:hint="eastAsia" w:ascii="Times New Roman" w:hAnsi="Times New Roman" w:eastAsia="宋体" w:cs="Times New Roman"/>
                <w:color w:val="auto"/>
                <w:highlight w:val="none"/>
                <w:lang w:val="en-US" w:eastAsia="zh-CN"/>
              </w:rPr>
              <w:t>优化工程布置：优先避让永久基本农田及优质耕地，确需占用时采用高塔、窄基塔型，压缩塔基占地；施工场地优先利用闲置空地、田埂，减少农田新增占地。</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2.</w:t>
            </w:r>
            <w:r>
              <w:rPr>
                <w:rFonts w:hint="eastAsia" w:ascii="Times New Roman" w:hAnsi="Times New Roman" w:eastAsia="宋体" w:cs="Times New Roman"/>
                <w:color w:val="auto"/>
                <w:highlight w:val="none"/>
                <w:lang w:val="en-US" w:eastAsia="zh-CN"/>
              </w:rPr>
              <w:t>耕作层专项保护：施工前剥离表层</w:t>
            </w:r>
            <w:r>
              <w:rPr>
                <w:rFonts w:hint="default" w:ascii="Times New Roman" w:hAnsi="Times New Roman" w:eastAsia="宋体" w:cs="Times New Roman"/>
                <w:color w:val="auto"/>
                <w:highlight w:val="none"/>
                <w:lang w:val="en-US" w:eastAsia="zh-CN"/>
              </w:rPr>
              <w:t>30cm</w:t>
            </w:r>
            <w:r>
              <w:rPr>
                <w:rFonts w:hint="eastAsia" w:ascii="Times New Roman" w:hAnsi="Times New Roman" w:eastAsia="宋体" w:cs="Times New Roman"/>
                <w:color w:val="auto"/>
                <w:highlight w:val="none"/>
                <w:lang w:val="en-US" w:eastAsia="zh-CN"/>
              </w:rPr>
              <w:t>熟土，单独堆放并覆盖防护；施工完成后分层回填平整，恢复耕地耕作结构。</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3.</w:t>
            </w:r>
            <w:r>
              <w:rPr>
                <w:rFonts w:hint="eastAsia" w:ascii="Times New Roman" w:hAnsi="Times New Roman" w:eastAsia="宋体" w:cs="Times New Roman"/>
                <w:color w:val="auto"/>
                <w:highlight w:val="none"/>
                <w:lang w:val="en-US" w:eastAsia="zh-CN"/>
              </w:rPr>
              <w:t>严格施工管控：划定刚性施工边界，严禁超范围作业；完工后清理渣土、修复灌溉及田埂设施。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4.</w:t>
            </w:r>
            <w:r>
              <w:rPr>
                <w:rFonts w:hint="eastAsia" w:ascii="Times New Roman" w:hAnsi="Times New Roman" w:eastAsia="宋体" w:cs="Times New Roman"/>
                <w:color w:val="auto"/>
                <w:highlight w:val="none"/>
                <w:lang w:val="en-US" w:eastAsia="zh-CN"/>
              </w:rPr>
              <w:t>及时复耕恢复：临时占地完工后松土、培肥，快速恢复耕种条件；永久占地周边优化种植布局，适配线路廊道管控要求。</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5.</w:t>
            </w:r>
            <w:r>
              <w:rPr>
                <w:rFonts w:hint="eastAsia" w:ascii="Times New Roman" w:hAnsi="Times New Roman" w:eastAsia="宋体" w:cs="Times New Roman"/>
                <w:color w:val="auto"/>
                <w:highlight w:val="none"/>
                <w:lang w:val="en-US" w:eastAsia="zh-CN"/>
              </w:rPr>
              <w:t>水土保持防护：扰动区域布设临时排水、覆盖防护措施，雨季加强巡查，防止耕地水土流失。</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二、盐碱地保护措施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1.</w:t>
            </w:r>
            <w:r>
              <w:rPr>
                <w:rFonts w:hint="eastAsia" w:ascii="Times New Roman" w:hAnsi="Times New Roman" w:eastAsia="宋体" w:cs="Times New Roman"/>
                <w:color w:val="auto"/>
                <w:highlight w:val="none"/>
                <w:lang w:val="en-US" w:eastAsia="zh-CN"/>
              </w:rPr>
              <w:t>优化选址布局：依托大档距、高塔跨越工艺，减少地表开挖和扰动范围。</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2.</w:t>
            </w:r>
            <w:r>
              <w:rPr>
                <w:rFonts w:hint="eastAsia" w:ascii="Times New Roman" w:hAnsi="Times New Roman" w:eastAsia="宋体" w:cs="Times New Roman"/>
                <w:color w:val="auto"/>
                <w:highlight w:val="none"/>
                <w:lang w:val="en-US" w:eastAsia="zh-CN"/>
              </w:rPr>
              <w:t>严控次生盐碱化：避免深层土层扰动，分层开挖回填、不打乱土层结构；完工后平整场地、疏通排水，消除积水积盐隐患。</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3.</w:t>
            </w:r>
            <w:r>
              <w:rPr>
                <w:rFonts w:hint="eastAsia" w:ascii="Times New Roman" w:hAnsi="Times New Roman" w:eastAsia="宋体" w:cs="Times New Roman"/>
                <w:color w:val="auto"/>
                <w:highlight w:val="none"/>
                <w:lang w:val="en-US" w:eastAsia="zh-CN"/>
              </w:rPr>
              <w:t>分区生态修复：轻度盐碱地种植本地耐盐草灌恢复植被；重度盐碱地以地形平整、水土保育为主，循序渐进改良土壤。</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4.</w:t>
            </w:r>
            <w:r>
              <w:rPr>
                <w:rFonts w:hint="eastAsia" w:ascii="Times New Roman" w:hAnsi="Times New Roman" w:eastAsia="宋体" w:cs="Times New Roman"/>
                <w:color w:val="auto"/>
                <w:highlight w:val="none"/>
                <w:lang w:val="en-US" w:eastAsia="zh-CN"/>
              </w:rPr>
              <w:t>规范施工管理：施工垃圾全部清运，严禁渣土弃置；机械做好防渗防护，裸露地表全程覆盖，减少盐分迁移。</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三、其他草地保护措施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1.</w:t>
            </w:r>
            <w:r>
              <w:rPr>
                <w:rFonts w:hint="eastAsia" w:ascii="Times New Roman" w:hAnsi="Times New Roman" w:eastAsia="宋体" w:cs="Times New Roman"/>
                <w:color w:val="auto"/>
                <w:highlight w:val="none"/>
                <w:lang w:val="en-US" w:eastAsia="zh-CN"/>
              </w:rPr>
              <w:t>最小化扰动施工：划定严格施工红线，集中布置施工区域，避免草地大范围、碎片化扰动。</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2.</w:t>
            </w:r>
            <w:r>
              <w:rPr>
                <w:rFonts w:hint="eastAsia" w:ascii="Times New Roman" w:hAnsi="Times New Roman" w:eastAsia="宋体" w:cs="Times New Roman"/>
                <w:color w:val="auto"/>
                <w:highlight w:val="none"/>
                <w:lang w:val="en-US" w:eastAsia="zh-CN"/>
              </w:rPr>
              <w:t>保护原生植被：对施工范围内优质草本植被提前剥离，严禁超范围毁草。</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3.</w:t>
            </w:r>
            <w:r>
              <w:rPr>
                <w:rFonts w:hint="eastAsia" w:ascii="Times New Roman" w:hAnsi="Times New Roman" w:eastAsia="宋体" w:cs="Times New Roman"/>
                <w:color w:val="auto"/>
                <w:highlight w:val="none"/>
                <w:lang w:val="en-US" w:eastAsia="zh-CN"/>
              </w:rPr>
              <w:t>分区植被恢复：临时占地平整松土后播撒本地原生草种；永久占地周边补植乡土草本，修复草地生态。</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4.</w:t>
            </w:r>
            <w:r>
              <w:rPr>
                <w:rFonts w:hint="eastAsia" w:ascii="Times New Roman" w:hAnsi="Times New Roman" w:eastAsia="宋体" w:cs="Times New Roman"/>
                <w:color w:val="auto"/>
                <w:highlight w:val="none"/>
                <w:lang w:val="en-US" w:eastAsia="zh-CN"/>
              </w:rPr>
              <w:t>强化水土保持：裸露区域全程覆盖防护，布设临时固土排水设施，完工后彻底清理施工废弃物。</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eastAsia="宋体" w:cs="Times New Roman"/>
                <w:color w:val="auto"/>
                <w:highlight w:val="none"/>
                <w:lang w:val="en-US" w:eastAsia="zh-CN"/>
              </w:rPr>
              <w:t>四、林地保护措施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1.</w:t>
            </w:r>
            <w:r>
              <w:rPr>
                <w:rFonts w:hint="eastAsia" w:ascii="Times New Roman" w:hAnsi="Times New Roman" w:eastAsia="宋体" w:cs="Times New Roman"/>
                <w:color w:val="auto"/>
                <w:highlight w:val="none"/>
                <w:lang w:val="en-US" w:eastAsia="zh-CN"/>
              </w:rPr>
              <w:t>优先避让保护林地：需穿越林地时优化塔位、采用高塔跨越，最大限度减少林木砍伐和林地占用。</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2.</w:t>
            </w:r>
            <w:r>
              <w:rPr>
                <w:rFonts w:hint="eastAsia" w:ascii="Times New Roman" w:hAnsi="Times New Roman" w:eastAsia="宋体" w:cs="Times New Roman"/>
                <w:color w:val="auto"/>
                <w:highlight w:val="none"/>
                <w:lang w:val="en-US" w:eastAsia="zh-CN"/>
              </w:rPr>
              <w:t>规范林木处置：严格按林业审批方案采伐、移栽林木，杜绝超范围作业，规范林木台账管理。</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3.</w:t>
            </w:r>
            <w:r>
              <w:rPr>
                <w:rFonts w:hint="eastAsia" w:ascii="Times New Roman" w:hAnsi="Times New Roman" w:eastAsia="宋体" w:cs="Times New Roman"/>
                <w:color w:val="auto"/>
                <w:highlight w:val="none"/>
                <w:lang w:val="en-US" w:eastAsia="zh-CN"/>
              </w:rPr>
              <w:t>原位林地保护：施工避开林木根系密集区，采用轻型设备、架空施工，减少林地地表及土层扰动。</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4.</w:t>
            </w:r>
            <w:r>
              <w:rPr>
                <w:rFonts w:hint="eastAsia" w:ascii="Times New Roman" w:hAnsi="Times New Roman" w:eastAsia="宋体" w:cs="Times New Roman"/>
                <w:color w:val="auto"/>
                <w:highlight w:val="none"/>
                <w:lang w:val="en-US" w:eastAsia="zh-CN"/>
              </w:rPr>
              <w:t>落实生态补偿修复：完工后清理场地、平整土地，按照</w:t>
            </w:r>
            <w:r>
              <w:rPr>
                <w:rFonts w:hint="default" w:ascii="Times New Roman" w:hAnsi="Times New Roman" w:eastAsia="宋体" w:cs="Times New Roman"/>
                <w:color w:val="auto"/>
                <w:highlight w:val="none"/>
                <w:lang w:val="en-US" w:eastAsia="zh-CN"/>
              </w:rPr>
              <w:t>“</w:t>
            </w:r>
            <w:r>
              <w:rPr>
                <w:rFonts w:hint="eastAsia" w:ascii="Times New Roman" w:hAnsi="Times New Roman" w:eastAsia="宋体" w:cs="Times New Roman"/>
                <w:color w:val="auto"/>
                <w:highlight w:val="none"/>
                <w:lang w:val="en-US" w:eastAsia="zh-CN"/>
              </w:rPr>
              <w:t>占一补一</w:t>
            </w:r>
            <w:r>
              <w:rPr>
                <w:rFonts w:hint="default" w:ascii="Times New Roman" w:hAnsi="Times New Roman" w:eastAsia="宋体" w:cs="Times New Roman"/>
                <w:color w:val="auto"/>
                <w:highlight w:val="none"/>
                <w:lang w:val="en-US" w:eastAsia="zh-CN"/>
              </w:rPr>
              <w:t>”</w:t>
            </w:r>
            <w:r>
              <w:rPr>
                <w:rFonts w:hint="eastAsia" w:ascii="Times New Roman" w:hAnsi="Times New Roman" w:eastAsia="宋体" w:cs="Times New Roman"/>
                <w:color w:val="auto"/>
                <w:highlight w:val="none"/>
                <w:lang w:val="en-US" w:eastAsia="zh-CN"/>
              </w:rPr>
              <w:t>原则补植乡土林草，养护受损林木，恢复林地生态功能。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lang w:val="en-US" w:eastAsia="zh-CN"/>
              </w:rPr>
              <w:t>5.</w:t>
            </w:r>
            <w:r>
              <w:rPr>
                <w:rFonts w:hint="eastAsia" w:ascii="Times New Roman" w:hAnsi="Times New Roman" w:eastAsia="宋体" w:cs="Times New Roman"/>
                <w:color w:val="auto"/>
                <w:highlight w:val="none"/>
                <w:lang w:val="en-US" w:eastAsia="zh-CN"/>
              </w:rPr>
              <w:t>强化林地安全管控：施工期严控野外动火、防范林地火灾，管控施工污染；运营期定期清理廊道超高植被，兼顾线路安全与林地生态平衡。</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val="en-US" w:eastAsia="zh-CN"/>
              </w:rPr>
            </w:pPr>
            <w:r>
              <w:rPr>
                <w:rFonts w:hint="default" w:ascii="Times New Roman" w:hAnsi="Times New Roman" w:eastAsia="宋体" w:cs="Times New Roman"/>
                <w:color w:val="auto"/>
                <w:highlight w:val="none"/>
                <w:lang w:val="en-US" w:eastAsia="zh-CN"/>
              </w:rPr>
              <w:t>6.</w:t>
            </w:r>
            <w:r>
              <w:rPr>
                <w:rFonts w:hint="eastAsia" w:ascii="Times New Roman" w:hAnsi="Times New Roman" w:eastAsia="宋体" w:cs="Times New Roman"/>
                <w:color w:val="auto"/>
                <w:highlight w:val="none"/>
                <w:lang w:val="en-US" w:eastAsia="zh-CN"/>
              </w:rPr>
              <w:t>保护生物多样性：保留原生植被群落，合理设置野生动物迁徙通道，降低工程对林地动植物栖息的干扰。</w:t>
            </w:r>
          </w:p>
          <w:bookmarkEnd w:id="92"/>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2废气污染防治措施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施工期的大气污染主要来源于材料运输和堆放、车辆行驶、土石方开掘等产生的扬尘，以及施工机械和机动车辆排出的尾气。</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本项目施工期较短，随着施工期结束，影响也随之结束。为了最大限度减小施工扬尘及车辆尾气对环境的影响，项目施工期采取以下措施。</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2.1扬尘防治措施</w:t>
            </w:r>
          </w:p>
          <w:p>
            <w:pPr>
              <w:keepNext w:val="0"/>
              <w:keepLines w:val="0"/>
              <w:widowControl/>
              <w:suppressLineNumbers w:val="0"/>
              <w:adjustRightInd w:val="0"/>
              <w:snapToGrid w:val="0"/>
              <w:spacing w:before="0" w:beforeAutospacing="0" w:after="0" w:afterAutospacing="0" w:line="360" w:lineRule="auto"/>
              <w:ind w:left="0" w:right="0" w:firstLine="480" w:firstLineChars="200"/>
              <w:textAlignment w:val="baseline"/>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1</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加强施工管理，做到文明施工，严禁大风天气进行易产尘施工作业。</w:t>
            </w:r>
          </w:p>
          <w:p>
            <w:pPr>
              <w:keepNext w:val="0"/>
              <w:keepLines w:val="0"/>
              <w:widowControl/>
              <w:suppressLineNumbers w:val="0"/>
              <w:adjustRightInd w:val="0"/>
              <w:snapToGrid w:val="0"/>
              <w:spacing w:before="0" w:beforeAutospacing="0" w:after="0" w:afterAutospacing="0" w:line="360" w:lineRule="auto"/>
              <w:ind w:left="0" w:right="0" w:firstLine="480" w:firstLineChars="200"/>
              <w:textAlignment w:val="baseline"/>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2</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做好施工规划，合理安排土石方临时堆放场地，对临时堆放土石方表面进行遮盖、四周进行围挡或定期对临时堆放土石方表面洒水。施工过程中，建设单位应当对裸露地面进行覆盖；暂时不能开工的建设用地超过三个月的，应当进行绿化、铺装或者遮盖。</w:t>
            </w:r>
          </w:p>
          <w:p>
            <w:pPr>
              <w:keepNext w:val="0"/>
              <w:keepLines w:val="0"/>
              <w:widowControl/>
              <w:suppressLineNumbers w:val="0"/>
              <w:adjustRightInd w:val="0"/>
              <w:snapToGrid w:val="0"/>
              <w:spacing w:before="0" w:beforeAutospacing="0" w:after="0" w:afterAutospacing="0" w:line="360" w:lineRule="auto"/>
              <w:ind w:left="0" w:right="0" w:firstLine="480" w:firstLineChars="200"/>
              <w:textAlignment w:val="baseline"/>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3</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对施工场地和运输道路每天洒水2～3次，遇大风或干燥天气应适当增加洒水次数，对于施工场地裸露地面，应采取覆盖防尘布或防尘网，定时定量洒水。</w:t>
            </w:r>
          </w:p>
          <w:p>
            <w:pPr>
              <w:keepNext w:val="0"/>
              <w:keepLines w:val="0"/>
              <w:widowControl/>
              <w:suppressLineNumbers w:val="0"/>
              <w:adjustRightInd w:val="0"/>
              <w:snapToGrid w:val="0"/>
              <w:spacing w:before="0" w:beforeAutospacing="0" w:after="0" w:afterAutospacing="0" w:line="360" w:lineRule="auto"/>
              <w:ind w:left="0" w:right="0" w:firstLine="480" w:firstLineChars="200"/>
              <w:textAlignment w:val="baseline"/>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4</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对运输粉砂状建筑材料和施工垃圾的车辆应加盖篷布或采取密闭运输方式，运输车辆的装载量应适当，严禁超载，应严格按照规定行车路线和速度行驶，并定期对运输道路路面进行清扫和洒水，保持道路清洁。</w:t>
            </w:r>
          </w:p>
          <w:p>
            <w:pPr>
              <w:keepNext w:val="0"/>
              <w:keepLines w:val="0"/>
              <w:widowControl/>
              <w:suppressLineNumbers w:val="0"/>
              <w:adjustRightInd w:val="0"/>
              <w:snapToGrid w:val="0"/>
              <w:spacing w:before="0" w:beforeAutospacing="0" w:after="0" w:afterAutospacing="0" w:line="360" w:lineRule="auto"/>
              <w:ind w:left="0" w:right="0" w:firstLine="480" w:firstLineChars="200"/>
              <w:textAlignment w:val="baseline"/>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5</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合理集中安排建筑材料临时堆放场所和施工垃圾临时堆放场所，尽量设置在远离人群集中场所的下风向且避风处，严禁露天堆放粉砂状建筑材料和施工垃圾，应对其表面进行遮盖或四周进行围挡，并尽量采用成品建筑材料。</w:t>
            </w:r>
          </w:p>
          <w:p>
            <w:pPr>
              <w:keepNext w:val="0"/>
              <w:keepLines w:val="0"/>
              <w:widowControl/>
              <w:suppressLineNumbers w:val="0"/>
              <w:adjustRightInd w:val="0"/>
              <w:snapToGrid w:val="0"/>
              <w:spacing w:before="0" w:beforeAutospacing="0" w:after="0" w:afterAutospacing="0" w:line="360" w:lineRule="auto"/>
              <w:ind w:left="0" w:right="0" w:firstLine="480" w:firstLineChars="200"/>
              <w:textAlignment w:val="baseline"/>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6</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装卸粉砂状建筑材料和施工垃圾过程中应采用隔板阻挡以防洒落，对不慎洒落的应及时进行清理，并尽量降低装卸落差。</w:t>
            </w:r>
          </w:p>
          <w:p>
            <w:pPr>
              <w:keepNext w:val="0"/>
              <w:keepLines w:val="0"/>
              <w:widowControl/>
              <w:suppressLineNumbers w:val="0"/>
              <w:adjustRightInd w:val="0"/>
              <w:snapToGrid w:val="0"/>
              <w:spacing w:before="0" w:beforeAutospacing="0" w:after="0" w:afterAutospacing="0" w:line="360" w:lineRule="auto"/>
              <w:ind w:left="0" w:right="0" w:firstLine="480" w:firstLineChars="200"/>
              <w:textAlignment w:val="baseline"/>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7</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施工现场禁止将包装物、可燃垃圾等固体废弃物就地焚烧。</w:t>
            </w:r>
          </w:p>
          <w:p>
            <w:pPr>
              <w:keepNext w:val="0"/>
              <w:keepLines w:val="0"/>
              <w:widowControl/>
              <w:suppressLineNumbers w:val="0"/>
              <w:adjustRightInd w:val="0"/>
              <w:snapToGrid w:val="0"/>
              <w:spacing w:before="0" w:beforeAutospacing="0" w:after="0" w:afterAutospacing="0" w:line="360" w:lineRule="auto"/>
              <w:ind w:left="0" w:right="0" w:firstLine="480" w:firstLineChars="200"/>
              <w:textAlignment w:val="baseline"/>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8</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施工完毕后应及时清理施工场地，拆除无用临时建筑设施，对扰动地表进行平整工作。</w:t>
            </w:r>
          </w:p>
          <w:p>
            <w:pPr>
              <w:keepNext w:val="0"/>
              <w:keepLines w:val="0"/>
              <w:widowControl/>
              <w:suppressLineNumbers w:val="0"/>
              <w:adjustRightInd w:val="0"/>
              <w:snapToGrid w:val="0"/>
              <w:spacing w:before="0" w:beforeAutospacing="0" w:after="0" w:afterAutospacing="0" w:line="360" w:lineRule="auto"/>
              <w:ind w:left="0" w:right="0" w:firstLine="480" w:firstLineChars="200"/>
              <w:textAlignment w:val="baseline"/>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9</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加强施工人员个体防护措施，如在进行易产尘作业时佩戴防尘面罩等。</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2.2设备燃油废气防治措施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1</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加强施工车辆运行管理与维护保养。</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2</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使用满足《车用柴油》</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GB19147-2016</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标准的柴油，柴油机废气排放满足《重型柴油车污染物排放限值及测量方法</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中国第六阶段</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GB17691-2018</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及《非道路移动柴油机械排气烟度限值及测量方法》</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GB 36886-2018</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采取以上措施后对大气环境的影响会有所降低，施工期产生的扬尘会随施工结束而消失，不会长期影响周边大气环境质量。</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3废水防治措施</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highlight w:val="none"/>
              </w:rPr>
            </w:pPr>
            <w:r>
              <w:rPr>
                <w:rFonts w:hint="eastAsia" w:ascii="Times New Roman" w:hAnsi="Times New Roman" w:cs="Times New Roman"/>
                <w:color w:val="auto"/>
                <w:kern w:val="2"/>
                <w:highlight w:val="none"/>
                <w:lang w:eastAsia="zh-CN"/>
              </w:rPr>
              <w:t>（</w:t>
            </w:r>
            <w:r>
              <w:rPr>
                <w:rFonts w:hint="default" w:ascii="Times New Roman" w:hAnsi="Times New Roman" w:eastAsia="宋体" w:cs="Times New Roman"/>
                <w:color w:val="auto"/>
                <w:kern w:val="2"/>
                <w:highlight w:val="none"/>
              </w:rPr>
              <w:t>1</w:t>
            </w:r>
            <w:r>
              <w:rPr>
                <w:rFonts w:hint="eastAsia" w:ascii="Times New Roman" w:hAnsi="Times New Roman" w:cs="Times New Roman"/>
                <w:color w:val="auto"/>
                <w:kern w:val="2"/>
                <w:highlight w:val="none"/>
                <w:lang w:eastAsia="zh-CN"/>
              </w:rPr>
              <w:t>）</w:t>
            </w:r>
            <w:r>
              <w:rPr>
                <w:rFonts w:hint="default" w:ascii="Times New Roman" w:hAnsi="Times New Roman" w:eastAsia="宋体" w:cs="Times New Roman"/>
                <w:color w:val="auto"/>
                <w:kern w:val="2"/>
                <w:highlight w:val="none"/>
              </w:rPr>
              <w:t>在变电站施工区设置一处</w:t>
            </w:r>
            <w:r>
              <w:rPr>
                <w:rFonts w:hint="default" w:ascii="Times New Roman" w:hAnsi="Times New Roman" w:eastAsia="宋体" w:cs="Times New Roman"/>
                <w:color w:val="auto"/>
                <w:kern w:val="2"/>
                <w:highlight w:val="none"/>
                <w:lang w:val="en-US" w:eastAsia="zh-CN"/>
              </w:rPr>
              <w:t>移动厕所</w:t>
            </w:r>
            <w:r>
              <w:rPr>
                <w:rFonts w:hint="default" w:ascii="Times New Roman" w:hAnsi="Times New Roman" w:eastAsia="宋体" w:cs="Times New Roman"/>
                <w:color w:val="auto"/>
                <w:kern w:val="2"/>
                <w:highlight w:val="none"/>
              </w:rPr>
              <w:t>，</w:t>
            </w:r>
            <w:r>
              <w:rPr>
                <w:rFonts w:hint="default" w:ascii="Times New Roman" w:hAnsi="Times New Roman" w:eastAsia="宋体" w:cs="Times New Roman"/>
                <w:color w:val="auto"/>
                <w:kern w:val="2"/>
                <w:highlight w:val="none"/>
                <w:lang w:val="en-US" w:eastAsia="zh-CN"/>
              </w:rPr>
              <w:t>生活污水产生后</w:t>
            </w:r>
            <w:r>
              <w:rPr>
                <w:rFonts w:hint="default" w:ascii="Times New Roman" w:hAnsi="Times New Roman" w:eastAsia="宋体" w:cs="Times New Roman"/>
                <w:color w:val="auto"/>
                <w:kern w:val="2"/>
                <w:highlight w:val="none"/>
              </w:rPr>
              <w:t>委托环卫部门抽吸清运</w:t>
            </w:r>
            <w:r>
              <w:rPr>
                <w:rFonts w:hint="default" w:ascii="Times New Roman" w:hAnsi="Times New Roman" w:eastAsia="宋体" w:cs="Times New Roman"/>
                <w:color w:val="auto"/>
                <w:kern w:val="2"/>
                <w:highlight w:val="none"/>
                <w:lang w:val="en-US" w:eastAsia="zh-CN"/>
              </w:rPr>
              <w:t>至</w:t>
            </w:r>
            <w:r>
              <w:rPr>
                <w:rFonts w:hint="default" w:ascii="Times New Roman" w:hAnsi="Times New Roman" w:cs="Times New Roman"/>
                <w:color w:val="auto"/>
                <w:kern w:val="2"/>
                <w:highlight w:val="none"/>
                <w:lang w:val="en-US" w:eastAsia="zh-CN"/>
              </w:rPr>
              <w:t>岳普湖县</w:t>
            </w:r>
            <w:r>
              <w:rPr>
                <w:rFonts w:hint="default" w:ascii="Times New Roman" w:hAnsi="Times New Roman" w:eastAsia="宋体" w:cs="Times New Roman"/>
                <w:color w:val="auto"/>
                <w:kern w:val="2"/>
                <w:highlight w:val="none"/>
                <w:lang w:val="en-US" w:eastAsia="zh-CN"/>
              </w:rPr>
              <w:t>污水处理厂</w:t>
            </w:r>
            <w:r>
              <w:rPr>
                <w:rFonts w:hint="default" w:ascii="Times New Roman" w:hAnsi="Times New Roman" w:eastAsia="宋体" w:cs="Times New Roman"/>
                <w:color w:val="auto"/>
                <w:kern w:val="2"/>
                <w:highlight w:val="none"/>
              </w:rPr>
              <w:t>。</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highlight w:val="none"/>
              </w:rPr>
            </w:pPr>
            <w:r>
              <w:rPr>
                <w:rFonts w:hint="eastAsia" w:ascii="Times New Roman" w:hAnsi="Times New Roman" w:cs="Times New Roman"/>
                <w:color w:val="auto"/>
                <w:kern w:val="2"/>
                <w:highlight w:val="none"/>
                <w:lang w:eastAsia="zh-CN"/>
              </w:rPr>
              <w:t>（</w:t>
            </w:r>
            <w:r>
              <w:rPr>
                <w:rFonts w:hint="default" w:ascii="Times New Roman" w:hAnsi="Times New Roman" w:eastAsia="宋体" w:cs="Times New Roman"/>
                <w:color w:val="auto"/>
                <w:kern w:val="2"/>
                <w:highlight w:val="none"/>
                <w:lang w:val="en-US" w:eastAsia="zh-CN"/>
              </w:rPr>
              <w:t>2</w:t>
            </w:r>
            <w:r>
              <w:rPr>
                <w:rFonts w:hint="eastAsia" w:ascii="Times New Roman" w:hAnsi="Times New Roman" w:cs="Times New Roman"/>
                <w:color w:val="auto"/>
                <w:kern w:val="2"/>
                <w:highlight w:val="none"/>
                <w:lang w:eastAsia="zh-CN"/>
              </w:rPr>
              <w:t>）</w:t>
            </w:r>
            <w:r>
              <w:rPr>
                <w:rFonts w:hint="default" w:ascii="Times New Roman" w:hAnsi="Times New Roman" w:eastAsia="宋体" w:cs="Times New Roman"/>
                <w:color w:val="auto"/>
                <w:kern w:val="2"/>
                <w:highlight w:val="none"/>
                <w:lang w:eastAsia="zh-CN"/>
              </w:rPr>
              <w:t>施工现场设置</w:t>
            </w:r>
            <w:r>
              <w:rPr>
                <w:rFonts w:hint="default" w:ascii="Times New Roman" w:hAnsi="Times New Roman" w:eastAsia="宋体" w:cs="Times New Roman"/>
                <w:color w:val="auto"/>
                <w:kern w:val="2"/>
                <w:highlight w:val="none"/>
              </w:rPr>
              <w:t>防渗污水收集池</w:t>
            </w:r>
            <w:r>
              <w:rPr>
                <w:rFonts w:hint="default" w:ascii="Times New Roman" w:hAnsi="Times New Roman" w:eastAsia="宋体" w:cs="Times New Roman"/>
                <w:color w:val="auto"/>
                <w:kern w:val="2"/>
                <w:highlight w:val="none"/>
                <w:lang w:eastAsia="zh-CN"/>
              </w:rPr>
              <w:t>，施工废水</w:t>
            </w:r>
            <w:r>
              <w:rPr>
                <w:rFonts w:hint="default" w:ascii="Times New Roman" w:hAnsi="Times New Roman" w:eastAsia="宋体" w:cs="Times New Roman"/>
                <w:color w:val="auto"/>
                <w:kern w:val="2"/>
                <w:highlight w:val="none"/>
              </w:rPr>
              <w:t>收集沉淀后，用于施工区洒水降尘。</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highlight w:val="none"/>
                <w:lang w:eastAsia="zh-CN"/>
              </w:rPr>
            </w:pPr>
            <w:r>
              <w:rPr>
                <w:rFonts w:hint="default" w:ascii="Times New Roman" w:hAnsi="Times New Roman" w:eastAsia="宋体" w:cs="Times New Roman"/>
                <w:color w:val="auto"/>
                <w:kern w:val="2"/>
                <w:highlight w:val="none"/>
                <w:lang w:eastAsia="zh-CN"/>
              </w:rPr>
              <w:t>（</w:t>
            </w:r>
            <w:r>
              <w:rPr>
                <w:rFonts w:hint="default" w:ascii="Times New Roman" w:hAnsi="Times New Roman" w:eastAsia="宋体" w:cs="Times New Roman"/>
                <w:color w:val="auto"/>
                <w:kern w:val="2"/>
                <w:highlight w:val="none"/>
                <w:lang w:val="en-US" w:eastAsia="zh-CN"/>
              </w:rPr>
              <w:t>3</w:t>
            </w:r>
            <w:r>
              <w:rPr>
                <w:rFonts w:hint="default" w:ascii="Times New Roman" w:hAnsi="Times New Roman" w:eastAsia="宋体" w:cs="Times New Roman"/>
                <w:color w:val="auto"/>
                <w:kern w:val="2"/>
                <w:highlight w:val="none"/>
                <w:lang w:eastAsia="zh-CN"/>
              </w:rPr>
              <w:t>）</w:t>
            </w:r>
            <w:r>
              <w:rPr>
                <w:rFonts w:hint="default" w:ascii="Times New Roman" w:hAnsi="Times New Roman" w:eastAsia="宋体" w:cs="Times New Roman"/>
                <w:color w:val="auto"/>
                <w:kern w:val="2"/>
                <w:highlight w:val="none"/>
              </w:rPr>
              <w:t>加强施工机械的维护和保养，防止“跑、冒、滴、漏”，避免泥浆等污染物进入水体，确保污染物不落地，不得在临河区域内检修机械，</w:t>
            </w:r>
            <w:r>
              <w:rPr>
                <w:rFonts w:hint="default" w:ascii="Times New Roman" w:hAnsi="Times New Roman" w:eastAsia="宋体" w:cs="Times New Roman"/>
                <w:color w:val="auto"/>
                <w:kern w:val="2"/>
                <w:highlight w:val="none"/>
                <w:lang w:val="en-US" w:eastAsia="zh-CN"/>
              </w:rPr>
              <w:t>清洗机械设备</w:t>
            </w:r>
            <w:r>
              <w:rPr>
                <w:rFonts w:hint="default" w:ascii="Times New Roman" w:hAnsi="Times New Roman" w:eastAsia="宋体" w:cs="Times New Roman"/>
                <w:color w:val="auto"/>
                <w:kern w:val="2"/>
                <w:highlight w:val="none"/>
                <w:lang w:eastAsia="zh-CN"/>
              </w:rPr>
              <w:t>。</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highlight w:val="none"/>
              </w:rPr>
            </w:pPr>
            <w:r>
              <w:rPr>
                <w:rFonts w:hint="default" w:ascii="Times New Roman" w:hAnsi="Times New Roman" w:eastAsia="宋体" w:cs="Times New Roman"/>
                <w:color w:val="auto"/>
                <w:kern w:val="2"/>
                <w:highlight w:val="none"/>
                <w:lang w:eastAsia="zh-CN"/>
              </w:rPr>
              <w:t>（</w:t>
            </w:r>
            <w:r>
              <w:rPr>
                <w:rFonts w:hint="default" w:ascii="Times New Roman" w:hAnsi="Times New Roman" w:eastAsia="宋体" w:cs="Times New Roman"/>
                <w:color w:val="auto"/>
                <w:kern w:val="2"/>
                <w:highlight w:val="none"/>
                <w:lang w:val="en-US" w:eastAsia="zh-CN"/>
              </w:rPr>
              <w:t>4</w:t>
            </w:r>
            <w:r>
              <w:rPr>
                <w:rFonts w:hint="default" w:ascii="Times New Roman" w:hAnsi="Times New Roman" w:eastAsia="宋体" w:cs="Times New Roman"/>
                <w:color w:val="auto"/>
                <w:kern w:val="2"/>
                <w:highlight w:val="none"/>
                <w:lang w:eastAsia="zh-CN"/>
              </w:rPr>
              <w:t>）</w:t>
            </w:r>
            <w:r>
              <w:rPr>
                <w:rFonts w:hint="default" w:ascii="Times New Roman" w:hAnsi="Times New Roman" w:eastAsia="宋体" w:cs="Times New Roman"/>
                <w:color w:val="auto"/>
                <w:kern w:val="24"/>
                <w:highlight w:val="none"/>
              </w:rPr>
              <w:t>输电线路塔基施工产生塔基基础养护废水，单位产生量较少，施工过程中控制养护水量，使其受干燥气候影响很快自然蒸发，确保其不影响周边区域；</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highlight w:val="none"/>
              </w:rPr>
            </w:pPr>
            <w:r>
              <w:rPr>
                <w:rFonts w:hint="default" w:ascii="Times New Roman" w:hAnsi="Times New Roman" w:eastAsia="宋体" w:cs="Times New Roman"/>
                <w:color w:val="auto"/>
                <w:kern w:val="2"/>
                <w:highlight w:val="none"/>
                <w:lang w:eastAsia="zh-CN"/>
              </w:rPr>
              <w:t>（</w:t>
            </w:r>
            <w:r>
              <w:rPr>
                <w:rFonts w:hint="default" w:ascii="Times New Roman" w:hAnsi="Times New Roman" w:eastAsia="宋体" w:cs="Times New Roman"/>
                <w:color w:val="auto"/>
                <w:kern w:val="2"/>
                <w:highlight w:val="none"/>
                <w:lang w:val="en-US" w:eastAsia="zh-CN"/>
              </w:rPr>
              <w:t>5</w:t>
            </w:r>
            <w:r>
              <w:rPr>
                <w:rFonts w:hint="default" w:ascii="Times New Roman" w:hAnsi="Times New Roman" w:eastAsia="宋体" w:cs="Times New Roman"/>
                <w:color w:val="auto"/>
                <w:kern w:val="2"/>
                <w:highlight w:val="none"/>
                <w:lang w:eastAsia="zh-CN"/>
              </w:rPr>
              <w:t>）</w:t>
            </w:r>
            <w:r>
              <w:rPr>
                <w:rFonts w:hint="default" w:ascii="Times New Roman" w:hAnsi="Times New Roman" w:eastAsia="宋体" w:cs="Times New Roman"/>
                <w:color w:val="auto"/>
                <w:kern w:val="2"/>
                <w:highlight w:val="none"/>
              </w:rPr>
              <w:t>加强对施工人员环保知识的宣传教育，制定相应的管理制度防止发生污染沿线河流水质的行为。</w:t>
            </w:r>
          </w:p>
          <w:p>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highlight w:val="none"/>
              </w:rPr>
            </w:pPr>
            <w:r>
              <w:rPr>
                <w:rFonts w:hint="default" w:ascii="Times New Roman" w:hAnsi="Times New Roman" w:eastAsia="宋体" w:cs="Times New Roman"/>
                <w:color w:val="auto"/>
                <w:kern w:val="2"/>
                <w:highlight w:val="none"/>
              </w:rPr>
              <w:t>施工期产生的废水得到了有效的处理，无废水外排，不会对周边水环境产生大的影响。</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4噪声防治措施</w:t>
            </w:r>
          </w:p>
          <w:p>
            <w:pPr>
              <w:keepNext w:val="0"/>
              <w:keepLines w:val="0"/>
              <w:widowControl/>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highlight w:val="none"/>
              </w:rPr>
            </w:pPr>
            <w:r>
              <w:rPr>
                <w:rFonts w:hint="eastAsia" w:ascii="Times New Roman" w:hAnsi="Times New Roman" w:cs="Times New Roman"/>
                <w:color w:val="auto"/>
                <w:kern w:val="2"/>
                <w:highlight w:val="none"/>
                <w:lang w:eastAsia="zh-CN"/>
              </w:rPr>
              <w:t>（</w:t>
            </w:r>
            <w:r>
              <w:rPr>
                <w:rFonts w:hint="default" w:ascii="Times New Roman" w:hAnsi="Times New Roman" w:eastAsia="宋体" w:cs="Times New Roman"/>
                <w:color w:val="auto"/>
                <w:kern w:val="2"/>
                <w:highlight w:val="none"/>
              </w:rPr>
              <w:t>1</w:t>
            </w:r>
            <w:r>
              <w:rPr>
                <w:rFonts w:hint="eastAsia" w:ascii="Times New Roman" w:hAnsi="Times New Roman" w:cs="Times New Roman"/>
                <w:color w:val="auto"/>
                <w:kern w:val="2"/>
                <w:highlight w:val="none"/>
                <w:lang w:eastAsia="zh-CN"/>
              </w:rPr>
              <w:t>）</w:t>
            </w:r>
            <w:r>
              <w:rPr>
                <w:rFonts w:hint="default" w:ascii="Times New Roman" w:hAnsi="Times New Roman" w:eastAsia="宋体" w:cs="Times New Roman"/>
                <w:color w:val="auto"/>
                <w:kern w:val="2"/>
                <w:highlight w:val="none"/>
              </w:rPr>
              <w:t>施工机械尽量选择低噪声设备，并对高噪声设备采取适当的减振降噪措施，将噪声控制在国家环境保护允许的范围以内；</w:t>
            </w:r>
          </w:p>
          <w:p>
            <w:pPr>
              <w:keepNext w:val="0"/>
              <w:keepLines w:val="0"/>
              <w:widowControl/>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highlight w:val="none"/>
                <w:lang w:val="en-US" w:eastAsia="zh-CN"/>
              </w:rPr>
            </w:pPr>
            <w:r>
              <w:rPr>
                <w:rFonts w:hint="eastAsia" w:ascii="Times New Roman" w:hAnsi="Times New Roman" w:cs="Times New Roman"/>
                <w:color w:val="auto"/>
                <w:kern w:val="2"/>
                <w:highlight w:val="none"/>
                <w:lang w:eastAsia="zh-CN"/>
              </w:rPr>
              <w:t>（</w:t>
            </w:r>
            <w:r>
              <w:rPr>
                <w:rFonts w:hint="default" w:ascii="Times New Roman" w:hAnsi="Times New Roman" w:eastAsia="宋体" w:cs="Times New Roman"/>
                <w:color w:val="auto"/>
                <w:kern w:val="2"/>
                <w:highlight w:val="none"/>
              </w:rPr>
              <w:t>2</w:t>
            </w:r>
            <w:r>
              <w:rPr>
                <w:rFonts w:hint="eastAsia" w:ascii="Times New Roman" w:hAnsi="Times New Roman" w:cs="Times New Roman"/>
                <w:color w:val="auto"/>
                <w:kern w:val="2"/>
                <w:highlight w:val="none"/>
                <w:lang w:eastAsia="zh-CN"/>
              </w:rPr>
              <w:t>）</w:t>
            </w:r>
            <w:r>
              <w:rPr>
                <w:rFonts w:hint="default" w:ascii="Times New Roman" w:hAnsi="Times New Roman" w:eastAsia="宋体" w:cs="Times New Roman"/>
                <w:color w:val="auto"/>
                <w:kern w:val="2"/>
                <w:highlight w:val="none"/>
              </w:rPr>
              <w:t>避免夜间施工</w:t>
            </w:r>
            <w:r>
              <w:rPr>
                <w:rFonts w:hint="default" w:ascii="Times New Roman" w:hAnsi="Times New Roman" w:eastAsia="宋体" w:cs="Times New Roman"/>
                <w:color w:val="auto"/>
                <w:kern w:val="2"/>
                <w:highlight w:val="none"/>
                <w:lang w:eastAsia="zh-CN"/>
              </w:rPr>
              <w:t>，</w:t>
            </w:r>
            <w:r>
              <w:rPr>
                <w:rFonts w:hint="default" w:ascii="Times New Roman" w:hAnsi="Times New Roman" w:eastAsia="宋体" w:cs="Times New Roman"/>
                <w:color w:val="auto"/>
                <w:kern w:val="2"/>
                <w:highlight w:val="none"/>
                <w:lang w:val="en-US" w:eastAsia="zh-CN"/>
              </w:rPr>
              <w:t>输电线路施工时严格</w:t>
            </w:r>
            <w:r>
              <w:rPr>
                <w:rFonts w:hint="default" w:ascii="Times New Roman" w:hAnsi="Times New Roman" w:cs="Times New Roman"/>
                <w:color w:val="auto"/>
                <w:kern w:val="2"/>
                <w:highlight w:val="none"/>
                <w:lang w:val="en-US" w:eastAsia="zh-CN"/>
              </w:rPr>
              <w:t>限制</w:t>
            </w:r>
            <w:r>
              <w:rPr>
                <w:rFonts w:hint="default" w:ascii="Times New Roman" w:hAnsi="Times New Roman" w:eastAsia="宋体" w:cs="Times New Roman"/>
                <w:color w:val="auto"/>
                <w:kern w:val="2"/>
                <w:highlight w:val="none"/>
                <w:lang w:val="en-US" w:eastAsia="zh-CN"/>
              </w:rPr>
              <w:t>施工时间；</w:t>
            </w:r>
          </w:p>
          <w:p>
            <w:pPr>
              <w:keepNext w:val="0"/>
              <w:keepLines w:val="0"/>
              <w:widowControl/>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highlight w:val="none"/>
              </w:rPr>
            </w:pPr>
            <w:r>
              <w:rPr>
                <w:rFonts w:hint="eastAsia" w:ascii="Times New Roman" w:hAnsi="Times New Roman" w:cs="Times New Roman"/>
                <w:color w:val="auto"/>
                <w:kern w:val="2"/>
                <w:highlight w:val="none"/>
                <w:lang w:eastAsia="zh-CN"/>
              </w:rPr>
              <w:t>（</w:t>
            </w:r>
            <w:r>
              <w:rPr>
                <w:rFonts w:hint="default" w:ascii="Times New Roman" w:hAnsi="Times New Roman" w:eastAsia="宋体" w:cs="Times New Roman"/>
                <w:color w:val="auto"/>
                <w:kern w:val="2"/>
                <w:highlight w:val="none"/>
              </w:rPr>
              <w:t>3</w:t>
            </w:r>
            <w:r>
              <w:rPr>
                <w:rFonts w:hint="eastAsia" w:ascii="Times New Roman" w:hAnsi="Times New Roman" w:cs="Times New Roman"/>
                <w:color w:val="auto"/>
                <w:kern w:val="2"/>
                <w:highlight w:val="none"/>
                <w:lang w:eastAsia="zh-CN"/>
              </w:rPr>
              <w:t>）</w:t>
            </w:r>
            <w:r>
              <w:rPr>
                <w:rFonts w:hint="default" w:ascii="Times New Roman" w:hAnsi="Times New Roman" w:eastAsia="宋体" w:cs="Times New Roman"/>
                <w:color w:val="auto"/>
                <w:kern w:val="2"/>
                <w:highlight w:val="none"/>
              </w:rPr>
              <w:t>将高噪声源布置在距居民住宅相对较远的地方；</w:t>
            </w:r>
          </w:p>
          <w:p>
            <w:pPr>
              <w:keepNext w:val="0"/>
              <w:keepLines w:val="0"/>
              <w:widowControl/>
              <w:suppressLineNumbers w:val="0"/>
              <w:adjustRightInd w:val="0"/>
              <w:snapToGrid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highlight w:val="none"/>
              </w:rPr>
            </w:pPr>
            <w:r>
              <w:rPr>
                <w:rFonts w:hint="eastAsia" w:ascii="Times New Roman" w:hAnsi="Times New Roman" w:cs="Times New Roman"/>
                <w:color w:val="auto"/>
                <w:kern w:val="2"/>
                <w:highlight w:val="none"/>
                <w:lang w:eastAsia="zh-CN"/>
              </w:rPr>
              <w:t>（</w:t>
            </w:r>
            <w:r>
              <w:rPr>
                <w:rFonts w:hint="default" w:ascii="Times New Roman" w:hAnsi="Times New Roman" w:eastAsia="宋体" w:cs="Times New Roman"/>
                <w:color w:val="auto"/>
                <w:kern w:val="2"/>
                <w:highlight w:val="none"/>
              </w:rPr>
              <w:t>4</w:t>
            </w:r>
            <w:r>
              <w:rPr>
                <w:rFonts w:hint="eastAsia" w:ascii="Times New Roman" w:hAnsi="Times New Roman" w:cs="Times New Roman"/>
                <w:color w:val="auto"/>
                <w:kern w:val="2"/>
                <w:highlight w:val="none"/>
                <w:lang w:eastAsia="zh-CN"/>
              </w:rPr>
              <w:t>）</w:t>
            </w:r>
            <w:r>
              <w:rPr>
                <w:rFonts w:hint="default" w:ascii="Times New Roman" w:hAnsi="Times New Roman" w:eastAsia="宋体" w:cs="Times New Roman"/>
                <w:color w:val="auto"/>
                <w:kern w:val="2"/>
                <w:highlight w:val="none"/>
              </w:rPr>
              <w:t>提前告知邻近居民，并与其沟通，尽量减少施工噪声对周围居民正常生活的影响。</w:t>
            </w:r>
          </w:p>
          <w:p>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highlight w:val="none"/>
              </w:rPr>
            </w:pPr>
            <w:r>
              <w:rPr>
                <w:rFonts w:hint="default" w:ascii="Times New Roman" w:hAnsi="Times New Roman" w:eastAsia="宋体" w:cs="Times New Roman"/>
                <w:color w:val="auto"/>
                <w:kern w:val="2"/>
                <w:highlight w:val="none"/>
              </w:rPr>
              <w:t>本项目</w:t>
            </w:r>
            <w:r>
              <w:rPr>
                <w:rFonts w:hint="default" w:ascii="Times New Roman" w:hAnsi="Times New Roman" w:eastAsia="宋体" w:cs="Times New Roman"/>
                <w:color w:val="auto"/>
                <w:kern w:val="2"/>
                <w:highlight w:val="none"/>
                <w:lang w:val="en-US" w:eastAsia="zh-CN"/>
              </w:rPr>
              <w:t>周边居民较少</w:t>
            </w:r>
            <w:r>
              <w:rPr>
                <w:rFonts w:hint="default" w:ascii="Times New Roman" w:hAnsi="Times New Roman" w:eastAsia="宋体" w:cs="Times New Roman"/>
                <w:color w:val="auto"/>
                <w:kern w:val="2"/>
                <w:highlight w:val="none"/>
              </w:rPr>
              <w:t>，施工设备产生的噪声通过落实上述措施后对周边环境影响较小，在可接受范围内。</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bookmarkStart w:id="93" w:name="_Hlk202783770"/>
            <w:r>
              <w:rPr>
                <w:rFonts w:hint="default" w:ascii="Times New Roman" w:hAnsi="Times New Roman" w:eastAsia="宋体" w:cs="Times New Roman"/>
                <w:b/>
                <w:bCs/>
                <w:color w:val="auto"/>
                <w:highlight w:val="none"/>
              </w:rPr>
              <w:t>5固体废物防治措施</w:t>
            </w:r>
          </w:p>
          <w:bookmarkEnd w:id="93"/>
          <w:p>
            <w:pPr>
              <w:keepNext w:val="0"/>
              <w:keepLines w:val="0"/>
              <w:widowControl/>
              <w:suppressLineNumbers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1</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临时土方用于回填及塔基垫高或护坡，严禁随意倾倒，施工完成后及时做好迹地清理工作。</w:t>
            </w:r>
          </w:p>
          <w:p>
            <w:pPr>
              <w:keepNext w:val="0"/>
              <w:keepLines w:val="0"/>
              <w:widowControl/>
              <w:suppressLineNumbers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2</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包装袋由施工单位统一回收</w:t>
            </w:r>
            <w:r>
              <w:rPr>
                <w:rFonts w:hint="default" w:ascii="Times New Roman" w:hAnsi="Times New Roman" w:eastAsia="宋体" w:cs="Times New Roman"/>
                <w:color w:val="auto"/>
                <w:highlight w:val="none"/>
                <w:lang w:eastAsia="zh-CN"/>
              </w:rPr>
              <w:t>，金具设备包装</w:t>
            </w:r>
            <w:r>
              <w:rPr>
                <w:rFonts w:hint="default" w:ascii="Times New Roman" w:hAnsi="Times New Roman" w:eastAsia="宋体" w:cs="Times New Roman"/>
                <w:color w:val="auto"/>
                <w:highlight w:val="none"/>
                <w:lang w:val="en-US" w:eastAsia="zh-CN"/>
              </w:rPr>
              <w:t>厂家</w:t>
            </w:r>
            <w:r>
              <w:rPr>
                <w:rFonts w:hint="default" w:ascii="Times New Roman" w:hAnsi="Times New Roman" w:eastAsia="宋体" w:cs="Times New Roman"/>
                <w:color w:val="auto"/>
                <w:highlight w:val="none"/>
                <w:lang w:eastAsia="zh-CN"/>
              </w:rPr>
              <w:t>回收再利用，</w:t>
            </w:r>
            <w:r>
              <w:rPr>
                <w:rFonts w:hint="default" w:ascii="Times New Roman" w:hAnsi="Times New Roman" w:eastAsia="宋体" w:cs="Times New Roman"/>
                <w:color w:val="auto"/>
                <w:highlight w:val="none"/>
                <w:lang w:val="en-US" w:eastAsia="zh-CN"/>
              </w:rPr>
              <w:t>生活垃圾委托环卫部门清运</w:t>
            </w:r>
            <w:r>
              <w:rPr>
                <w:rFonts w:hint="default" w:ascii="Times New Roman" w:hAnsi="Times New Roman" w:eastAsia="宋体" w:cs="Times New Roman"/>
                <w:color w:val="auto"/>
                <w:highlight w:val="none"/>
              </w:rPr>
              <w:t>。</w:t>
            </w:r>
          </w:p>
          <w:p>
            <w:pPr>
              <w:pStyle w:val="14"/>
              <w:keepNext w:val="0"/>
              <w:keepLines w:val="0"/>
              <w:widowControl/>
              <w:suppressLineNumbers w:val="0"/>
              <w:adjustRightInd w:val="0"/>
              <w:snapToGrid w:val="0"/>
              <w:spacing w:before="0" w:beforeAutospacing="0" w:after="0" w:afterAutospacing="0"/>
              <w:ind w:left="0" w:right="0" w:firstLine="48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本项目施工期各固体废物均得到了合理处置，不会造成周边环境的污染。</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color w:val="auto"/>
                <w:highlight w:val="none"/>
              </w:rPr>
            </w:pPr>
            <w:r>
              <w:rPr>
                <w:rFonts w:hint="default" w:ascii="Times New Roman" w:hAnsi="Times New Roman" w:eastAsia="宋体" w:cs="Times New Roman"/>
                <w:b/>
                <w:color w:val="auto"/>
                <w:highlight w:val="none"/>
              </w:rPr>
              <w:t>6</w:t>
            </w:r>
            <w:r>
              <w:rPr>
                <w:rFonts w:hint="default" w:ascii="Times New Roman" w:hAnsi="Times New Roman" w:eastAsia="宋体" w:cs="Times New Roman"/>
                <w:b/>
                <w:bCs/>
                <w:color w:val="auto"/>
                <w:highlight w:val="none"/>
              </w:rPr>
              <w:t>生态环境保护措施及预期效果</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b/>
                <w:color w:val="auto"/>
                <w:highlight w:val="none"/>
              </w:rPr>
            </w:pPr>
            <w:r>
              <w:rPr>
                <w:rFonts w:hint="default" w:ascii="Times New Roman" w:hAnsi="Times New Roman" w:eastAsia="宋体" w:cs="Times New Roman"/>
                <w:color w:val="auto"/>
                <w:highlight w:val="none"/>
              </w:rPr>
              <w:t>本项目施工期主要生态环境保护措施及预期效果详见表5-1，包括：生态环境保护措施实施的部位、时间、责任主体、实施保障、实施效果等。</w:t>
            </w:r>
          </w:p>
          <w:p>
            <w:pPr>
              <w:keepNext w:val="0"/>
              <w:keepLines w:val="0"/>
              <w:widowControl/>
              <w:suppressLineNumbers w:val="0"/>
              <w:overflowPunct w:val="0"/>
              <w:adjustRightInd w:val="0"/>
              <w:snapToGrid w:val="0"/>
              <w:spacing w:before="0" w:beforeAutospacing="0" w:after="0" w:afterAutospacing="0"/>
              <w:ind w:left="0" w:right="0"/>
              <w:jc w:val="center"/>
              <w:rPr>
                <w:rFonts w:hint="default" w:ascii="Times New Roman" w:hAnsi="Times New Roman" w:eastAsia="宋体" w:cs="Times New Roman"/>
                <w:b/>
                <w:color w:val="auto"/>
                <w:highlight w:val="none"/>
              </w:rPr>
            </w:pPr>
            <w:r>
              <w:rPr>
                <w:rFonts w:hint="default" w:ascii="Times New Roman" w:hAnsi="Times New Roman" w:eastAsia="宋体" w:cs="Times New Roman"/>
                <w:b/>
                <w:color w:val="auto"/>
                <w:highlight w:val="none"/>
              </w:rPr>
              <w:t xml:space="preserve">表5-1 </w:t>
            </w:r>
            <w:r>
              <w:rPr>
                <w:rFonts w:hint="eastAsia" w:ascii="Times New Roman" w:hAnsi="Times New Roman" w:cs="Times New Roman"/>
                <w:b/>
                <w:color w:val="auto"/>
                <w:highlight w:val="none"/>
                <w:lang w:val="en-US" w:eastAsia="zh-CN"/>
              </w:rPr>
              <w:t xml:space="preserve"> </w:t>
            </w:r>
            <w:r>
              <w:rPr>
                <w:rFonts w:hint="default" w:ascii="Times New Roman" w:hAnsi="Times New Roman" w:eastAsia="宋体" w:cs="Times New Roman"/>
                <w:b/>
                <w:color w:val="auto"/>
                <w:highlight w:val="none"/>
              </w:rPr>
              <w:t>施工期生态环境保护措施及预期效果一览表</w:t>
            </w:r>
          </w:p>
          <w:tbl>
            <w:tblPr>
              <w:tblStyle w:val="28"/>
              <w:tblW w:w="8296"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588"/>
              <w:gridCol w:w="2572"/>
              <w:gridCol w:w="857"/>
              <w:gridCol w:w="714"/>
              <w:gridCol w:w="715"/>
              <w:gridCol w:w="1116"/>
              <w:gridCol w:w="1734"/>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588"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序号</w:t>
                  </w:r>
                </w:p>
              </w:tc>
              <w:tc>
                <w:tcPr>
                  <w:tcW w:w="2572"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生态保护措施要求</w:t>
                  </w:r>
                </w:p>
              </w:tc>
              <w:tc>
                <w:tcPr>
                  <w:tcW w:w="857"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实施部位</w:t>
                  </w:r>
                </w:p>
              </w:tc>
              <w:tc>
                <w:tcPr>
                  <w:tcW w:w="71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实施时间</w:t>
                  </w:r>
                </w:p>
              </w:tc>
              <w:tc>
                <w:tcPr>
                  <w:tcW w:w="715"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责任主体</w:t>
                  </w:r>
                </w:p>
              </w:tc>
              <w:tc>
                <w:tcPr>
                  <w:tcW w:w="1116"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实施保障</w:t>
                  </w:r>
                </w:p>
              </w:tc>
              <w:tc>
                <w:tcPr>
                  <w:tcW w:w="173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实施效果</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588"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2572"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应在施工前及时办理土地征用手续</w:t>
                  </w:r>
                </w:p>
              </w:tc>
              <w:tc>
                <w:tcPr>
                  <w:tcW w:w="857" w:type="dxa"/>
                  <w:vMerge w:val="restart"/>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本项目施工场所、区域</w:t>
                  </w:r>
                </w:p>
              </w:tc>
              <w:tc>
                <w:tcPr>
                  <w:tcW w:w="71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开工前</w:t>
                  </w:r>
                </w:p>
              </w:tc>
              <w:tc>
                <w:tcPr>
                  <w:tcW w:w="715"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建设单位</w:t>
                  </w:r>
                </w:p>
              </w:tc>
              <w:tc>
                <w:tcPr>
                  <w:tcW w:w="1116" w:type="dxa"/>
                  <w:vMerge w:val="restart"/>
                  <w:noWrap/>
                  <w:vAlign w:val="center"/>
                </w:tcPr>
                <w:p>
                  <w:pPr>
                    <w:keepNext w:val="0"/>
                    <w:keepLines w:val="0"/>
                    <w:widowControl/>
                    <w:suppressLineNumbers w:val="0"/>
                    <w:adjustRightInd w:val="0"/>
                    <w:snapToGrid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①建立环境管理机构，配备专职或兼职环保管理人员；</w:t>
                  </w:r>
                </w:p>
                <w:p>
                  <w:pPr>
                    <w:keepNext w:val="0"/>
                    <w:keepLines w:val="0"/>
                    <w:widowControl/>
                    <w:suppressLineNumbers w:val="0"/>
                    <w:adjustRightInd w:val="0"/>
                    <w:snapToGrid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②制定相关方环境管理条例、质量管理规定；</w:t>
                  </w:r>
                </w:p>
                <w:p>
                  <w:pPr>
                    <w:keepNext w:val="0"/>
                    <w:keepLines w:val="0"/>
                    <w:widowControl/>
                    <w:suppressLineNumbers w:val="0"/>
                    <w:adjustRightInd w:val="0"/>
                    <w:snapToGrid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③加强环境监理，开展经常性检查、监督，发现问题及时解决、纠正</w:t>
                  </w:r>
                </w:p>
              </w:tc>
              <w:tc>
                <w:tcPr>
                  <w:tcW w:w="173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取得征地手续</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588"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2572"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尽量减少占地、控制施工范围、减少扰动面积，作业区四周设置彩带控制作业范围</w:t>
                  </w:r>
                </w:p>
              </w:tc>
              <w:tc>
                <w:tcPr>
                  <w:tcW w:w="857"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714" w:type="dxa"/>
                  <w:vMerge w:val="restart"/>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全部施工期</w:t>
                  </w:r>
                </w:p>
              </w:tc>
              <w:tc>
                <w:tcPr>
                  <w:tcW w:w="715" w:type="dxa"/>
                  <w:vMerge w:val="restart"/>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施工单位</w:t>
                  </w:r>
                </w:p>
              </w:tc>
              <w:tc>
                <w:tcPr>
                  <w:tcW w:w="1116"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173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划定施工作业范围，将施工占地控制在最小范围</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588"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2572"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对地表层腐殖质土进行分层剥离与堆放，分层开挖分层回填，同时采取拦护等措施</w:t>
                  </w:r>
                </w:p>
              </w:tc>
              <w:tc>
                <w:tcPr>
                  <w:tcW w:w="857"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714"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715"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1116"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1734" w:type="dxa"/>
                  <w:vMerge w:val="restart"/>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减少土壤养分的流失，恢复土壤肥力和土壤理化性质，使土壤、植被受影响程度最低</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588"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2572"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减少地表开挖裸露时间、避开大风天气施工、及时进行迹地恢复等</w:t>
                  </w:r>
                </w:p>
              </w:tc>
              <w:tc>
                <w:tcPr>
                  <w:tcW w:w="857"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714"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715"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1116"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1734"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588"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w:t>
                  </w:r>
                </w:p>
              </w:tc>
              <w:tc>
                <w:tcPr>
                  <w:tcW w:w="2572"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对本项目临时占用的土地进行恢复</w:t>
                  </w:r>
                </w:p>
              </w:tc>
              <w:tc>
                <w:tcPr>
                  <w:tcW w:w="857"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71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施工后期</w:t>
                  </w:r>
                </w:p>
              </w:tc>
              <w:tc>
                <w:tcPr>
                  <w:tcW w:w="715"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建设单位</w:t>
                  </w:r>
                </w:p>
              </w:tc>
              <w:tc>
                <w:tcPr>
                  <w:tcW w:w="1116"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1734"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jc w:val="center"/>
              </w:trPr>
              <w:tc>
                <w:tcPr>
                  <w:tcW w:w="588"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w:t>
                  </w:r>
                </w:p>
              </w:tc>
              <w:tc>
                <w:tcPr>
                  <w:tcW w:w="2572"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对</w:t>
                  </w:r>
                  <w:r>
                    <w:rPr>
                      <w:rFonts w:hint="default" w:ascii="Times New Roman" w:hAnsi="Times New Roman" w:eastAsia="宋体" w:cs="Times New Roman"/>
                      <w:snapToGrid w:val="0"/>
                      <w:color w:val="auto"/>
                      <w:sz w:val="21"/>
                      <w:szCs w:val="21"/>
                      <w:highlight w:val="none"/>
                    </w:rPr>
                    <w:t>牵张场、施工道路等临时占地区域，在</w:t>
                  </w:r>
                  <w:r>
                    <w:rPr>
                      <w:rFonts w:hint="default" w:ascii="Times New Roman" w:hAnsi="Times New Roman" w:eastAsia="宋体" w:cs="Times New Roman"/>
                      <w:color w:val="auto"/>
                      <w:sz w:val="21"/>
                      <w:szCs w:val="21"/>
                      <w:highlight w:val="none"/>
                    </w:rPr>
                    <w:t>施工结束后，对占地范围内清理平整，对扰动区域适当洒水增湿，使其自然恢复，逐渐恢复为原有地貌</w:t>
                  </w:r>
                </w:p>
              </w:tc>
              <w:tc>
                <w:tcPr>
                  <w:tcW w:w="857"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71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施工后期</w:t>
                  </w:r>
                </w:p>
              </w:tc>
              <w:tc>
                <w:tcPr>
                  <w:tcW w:w="715" w:type="dxa"/>
                  <w:vMerge w:val="restart"/>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施工单位</w:t>
                  </w:r>
                </w:p>
              </w:tc>
              <w:tc>
                <w:tcPr>
                  <w:tcW w:w="1116"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173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施工后做到工完料净场地清</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45" w:hRule="atLeast"/>
                <w:jc w:val="center"/>
              </w:trPr>
              <w:tc>
                <w:tcPr>
                  <w:tcW w:w="588"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w:t>
                  </w:r>
                </w:p>
              </w:tc>
              <w:tc>
                <w:tcPr>
                  <w:tcW w:w="2572"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加强宣传教育，设置环保宣传牌</w:t>
                  </w:r>
                </w:p>
              </w:tc>
              <w:tc>
                <w:tcPr>
                  <w:tcW w:w="857"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71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全部施工期</w:t>
                  </w:r>
                </w:p>
              </w:tc>
              <w:tc>
                <w:tcPr>
                  <w:tcW w:w="715"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1116"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173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避免发生施工人员随意惊吓、捕猎、宰杀野生动物，踩踏、破坏植被的现象</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129" w:hRule="atLeast"/>
                <w:jc w:val="center"/>
              </w:trPr>
              <w:tc>
                <w:tcPr>
                  <w:tcW w:w="588"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w:t>
                  </w:r>
                </w:p>
              </w:tc>
              <w:tc>
                <w:tcPr>
                  <w:tcW w:w="2572"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道路及施工面洒水降尘、物料运输篷布遮盖、土石方采用防尘布</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网</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苫盖、禁止焚烧可燃垃圾</w:t>
                  </w:r>
                </w:p>
              </w:tc>
              <w:tc>
                <w:tcPr>
                  <w:tcW w:w="857" w:type="dxa"/>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本项目施工场所、区域</w:t>
                  </w:r>
                </w:p>
              </w:tc>
              <w:tc>
                <w:tcPr>
                  <w:tcW w:w="71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全部施工期</w:t>
                  </w:r>
                </w:p>
              </w:tc>
              <w:tc>
                <w:tcPr>
                  <w:tcW w:w="715" w:type="dxa"/>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施工单位</w:t>
                  </w:r>
                </w:p>
              </w:tc>
              <w:tc>
                <w:tcPr>
                  <w:tcW w:w="1116"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173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对周边大气环境影响较小</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73" w:hRule="atLeast"/>
                <w:jc w:val="center"/>
              </w:trPr>
              <w:tc>
                <w:tcPr>
                  <w:tcW w:w="588"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9</w:t>
                  </w:r>
                </w:p>
              </w:tc>
              <w:tc>
                <w:tcPr>
                  <w:tcW w:w="2572"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pacing w:val="-4"/>
                      <w:sz w:val="21"/>
                      <w:szCs w:val="21"/>
                      <w:highlight w:val="none"/>
                    </w:rPr>
                    <w:t>施工</w:t>
                  </w:r>
                  <w:r>
                    <w:rPr>
                      <w:rFonts w:hint="default" w:ascii="Times New Roman" w:hAnsi="Times New Roman" w:eastAsia="宋体" w:cs="Times New Roman"/>
                      <w:color w:val="auto"/>
                      <w:sz w:val="21"/>
                      <w:szCs w:val="21"/>
                      <w:highlight w:val="none"/>
                    </w:rPr>
                    <w:t>土方用于回填及塔基垫高或</w:t>
                  </w:r>
                  <w:r>
                    <w:rPr>
                      <w:rFonts w:hint="default" w:ascii="Times New Roman" w:hAnsi="Times New Roman" w:eastAsia="宋体" w:cs="Times New Roman"/>
                      <w:color w:val="auto"/>
                      <w:spacing w:val="-4"/>
                      <w:sz w:val="21"/>
                      <w:szCs w:val="21"/>
                      <w:highlight w:val="none"/>
                    </w:rPr>
                    <w:t>护坡</w:t>
                  </w:r>
                  <w:r>
                    <w:rPr>
                      <w:rFonts w:hint="default" w:ascii="Times New Roman" w:hAnsi="Times New Roman" w:eastAsia="宋体" w:cs="Times New Roman"/>
                      <w:color w:val="auto"/>
                      <w:sz w:val="21"/>
                      <w:szCs w:val="21"/>
                      <w:highlight w:val="none"/>
                    </w:rPr>
                    <w:t>；可用包装袋统一回收、综合利用</w:t>
                  </w:r>
                </w:p>
              </w:tc>
              <w:tc>
                <w:tcPr>
                  <w:tcW w:w="857" w:type="dxa"/>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本项目施工场所、区域</w:t>
                  </w:r>
                </w:p>
              </w:tc>
              <w:tc>
                <w:tcPr>
                  <w:tcW w:w="71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全部施工期</w:t>
                  </w:r>
                </w:p>
              </w:tc>
              <w:tc>
                <w:tcPr>
                  <w:tcW w:w="715" w:type="dxa"/>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施工单位</w:t>
                  </w:r>
                </w:p>
              </w:tc>
              <w:tc>
                <w:tcPr>
                  <w:tcW w:w="1116"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173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固废均得到有效处置，施工迹地得以恢复</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73" w:hRule="atLeast"/>
                <w:jc w:val="center"/>
              </w:trPr>
              <w:tc>
                <w:tcPr>
                  <w:tcW w:w="588"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10</w:t>
                  </w:r>
                </w:p>
              </w:tc>
              <w:tc>
                <w:tcPr>
                  <w:tcW w:w="2572"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施工采用低噪声设备，加强维护保养，严格操作规程。</w:t>
                  </w:r>
                </w:p>
              </w:tc>
              <w:tc>
                <w:tcPr>
                  <w:tcW w:w="857" w:type="dxa"/>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施工场所</w:t>
                  </w:r>
                </w:p>
              </w:tc>
              <w:tc>
                <w:tcPr>
                  <w:tcW w:w="71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全部施工期</w:t>
                  </w:r>
                </w:p>
              </w:tc>
              <w:tc>
                <w:tcPr>
                  <w:tcW w:w="715" w:type="dxa"/>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施工单位</w:t>
                  </w:r>
                </w:p>
              </w:tc>
              <w:tc>
                <w:tcPr>
                  <w:tcW w:w="1116" w:type="dxa"/>
                  <w:vMerge w:val="continue"/>
                  <w:noWrap/>
                  <w:vAlign w:val="center"/>
                </w:tcPr>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p>
              </w:tc>
              <w:tc>
                <w:tcPr>
                  <w:tcW w:w="1734" w:type="dxa"/>
                  <w:noWrap/>
                  <w:vAlign w:val="center"/>
                </w:tcPr>
                <w:p>
                  <w:pPr>
                    <w:keepNext w:val="0"/>
                    <w:keepLines w:val="0"/>
                    <w:widowControl/>
                    <w:suppressLineNumbers w:val="0"/>
                    <w:adjustRightInd w:val="0"/>
                    <w:snapToGrid w:val="0"/>
                    <w:spacing w:before="0" w:beforeAutospacing="0" w:after="0" w:afterAutospacing="0" w:line="24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对周边声环境影响较小</w:t>
                  </w:r>
                </w:p>
              </w:tc>
            </w:tr>
          </w:tbl>
          <w:p>
            <w:pPr>
              <w:pStyle w:val="14"/>
              <w:keepNext w:val="0"/>
              <w:keepLines w:val="0"/>
              <w:widowControl/>
              <w:suppressLineNumbers w:val="0"/>
              <w:adjustRightInd w:val="0"/>
              <w:snapToGrid w:val="0"/>
              <w:spacing w:before="0" w:beforeAutospacing="0" w:after="0" w:afterAutospacing="0"/>
              <w:ind w:left="0" w:right="0" w:firstLine="480"/>
              <w:rPr>
                <w:rFonts w:hint="default" w:ascii="Times New Roman" w:hAnsi="Times New Roman" w:eastAsia="宋体" w:cs="Times New Roman"/>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noWrap/>
            <w:tcMar>
              <w:left w:w="28" w:type="dxa"/>
              <w:right w:w="28" w:type="dxa"/>
            </w:tcMar>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spacing w:val="10"/>
                <w:szCs w:val="21"/>
                <w:highlight w:val="none"/>
              </w:rPr>
            </w:pPr>
            <w:r>
              <w:rPr>
                <w:rFonts w:hint="default" w:ascii="Times New Roman" w:hAnsi="Times New Roman" w:eastAsia="宋体" w:cs="Times New Roman"/>
                <w:bCs/>
                <w:color w:val="auto"/>
                <w:spacing w:val="10"/>
                <w:highlight w:val="none"/>
              </w:rPr>
              <w:t>运营期生态环境保护措施</w:t>
            </w:r>
          </w:p>
        </w:tc>
        <w:tc>
          <w:tcPr>
            <w:tcW w:w="8457" w:type="dxa"/>
            <w:noWrap/>
          </w:tcPr>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1生态环境保护措施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val="en-US" w:eastAsia="zh-CN"/>
              </w:rPr>
              <w:t>1</w:t>
            </w: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rPr>
              <w:t>巡检通行利用已有道路作为输电线路巡检道路，施工结束后可在道路两旁种植绿化带</w:t>
            </w:r>
            <w:r>
              <w:rPr>
                <w:rFonts w:hint="default" w:ascii="Times New Roman" w:hAnsi="Times New Roman" w:eastAsia="宋体" w:cs="Times New Roman"/>
                <w:color w:val="auto"/>
                <w:highlight w:val="none"/>
                <w:lang w:eastAsia="zh-CN"/>
              </w:rPr>
              <w:t>。</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val="en-US" w:eastAsia="zh-CN"/>
              </w:rPr>
              <w:t>2</w:t>
            </w:r>
            <w:r>
              <w:rPr>
                <w:rFonts w:hint="default" w:ascii="Times New Roman" w:hAnsi="Times New Roman" w:eastAsia="宋体" w:cs="Times New Roman"/>
                <w:color w:val="auto"/>
                <w:highlight w:val="none"/>
                <w:lang w:eastAsia="zh-CN"/>
              </w:rPr>
              <w:t>）运营期巡检车辆应按指定规划的巡检道路行驶，不得随意变更巡检行驶线路。</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eastAsia="zh-CN"/>
              </w:rPr>
            </w:pPr>
            <w:r>
              <w:rPr>
                <w:rFonts w:hint="default" w:ascii="Times New Roman" w:hAnsi="Times New Roman" w:eastAsia="宋体" w:cs="Times New Roman"/>
                <w:color w:val="auto"/>
                <w:highlight w:val="none"/>
                <w:lang w:eastAsia="zh-CN"/>
              </w:rPr>
              <w:t>（</w:t>
            </w:r>
            <w:r>
              <w:rPr>
                <w:rFonts w:hint="default" w:ascii="Times New Roman" w:hAnsi="Times New Roman" w:eastAsia="宋体" w:cs="Times New Roman"/>
                <w:color w:val="auto"/>
                <w:highlight w:val="none"/>
                <w:lang w:val="en-US" w:eastAsia="zh-CN"/>
              </w:rPr>
              <w:t>3</w:t>
            </w:r>
            <w:r>
              <w:rPr>
                <w:rFonts w:hint="default" w:ascii="Times New Roman" w:hAnsi="Times New Roman" w:eastAsia="宋体" w:cs="Times New Roman"/>
                <w:color w:val="auto"/>
                <w:highlight w:val="none"/>
                <w:lang w:eastAsia="zh-CN"/>
              </w:rPr>
              <w:t>）及时开展水土保持设施竣工验收工作。</w:t>
            </w:r>
          </w:p>
          <w:p>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color w:val="auto"/>
                <w:kern w:val="2"/>
                <w:sz w:val="21"/>
                <w:szCs w:val="21"/>
                <w:highlight w:val="none"/>
              </w:rPr>
            </w:pPr>
            <w:bookmarkStart w:id="94" w:name="_Hlk202784262"/>
            <w:r>
              <w:rPr>
                <w:rFonts w:hint="default" w:ascii="Times New Roman" w:hAnsi="Times New Roman" w:eastAsia="宋体" w:cs="Times New Roman"/>
                <w:color w:val="auto"/>
                <w:kern w:val="2"/>
                <w:highlight w:val="none"/>
                <w:lang w:eastAsia="zh-CN"/>
              </w:rPr>
              <w:t>（</w:t>
            </w:r>
            <w:r>
              <w:rPr>
                <w:rFonts w:hint="default" w:ascii="Times New Roman" w:hAnsi="Times New Roman" w:eastAsia="宋体" w:cs="Times New Roman"/>
                <w:color w:val="auto"/>
                <w:kern w:val="2"/>
                <w:highlight w:val="none"/>
                <w:lang w:val="en-US" w:eastAsia="zh-CN"/>
              </w:rPr>
              <w:t>4</w:t>
            </w:r>
            <w:r>
              <w:rPr>
                <w:rFonts w:hint="default" w:ascii="Times New Roman" w:hAnsi="Times New Roman" w:eastAsia="宋体" w:cs="Times New Roman"/>
                <w:color w:val="auto"/>
                <w:kern w:val="2"/>
                <w:highlight w:val="none"/>
                <w:lang w:eastAsia="zh-CN"/>
              </w:rPr>
              <w:t>）</w:t>
            </w:r>
            <w:r>
              <w:rPr>
                <w:rFonts w:hint="default" w:ascii="Times New Roman" w:hAnsi="Times New Roman" w:eastAsia="宋体" w:cs="Times New Roman"/>
                <w:color w:val="auto"/>
                <w:kern w:val="2"/>
                <w:highlight w:val="none"/>
              </w:rPr>
              <w:t>本项目输电线路全线安装防鸟刺，防鸟刺能有效防止体型较大鸟类在</w:t>
            </w:r>
            <w:r>
              <w:rPr>
                <w:rFonts w:hint="default" w:ascii="Times New Roman" w:hAnsi="Times New Roman" w:eastAsia="宋体" w:cs="Times New Roman"/>
                <w:color w:val="auto"/>
                <w:kern w:val="2"/>
                <w:highlight w:val="none"/>
                <w:lang w:val="en-US" w:eastAsia="zh-CN"/>
              </w:rPr>
              <w:t>铁塔</w:t>
            </w:r>
            <w:r>
              <w:rPr>
                <w:rFonts w:hint="default" w:ascii="Times New Roman" w:hAnsi="Times New Roman" w:eastAsia="宋体" w:cs="Times New Roman"/>
                <w:color w:val="auto"/>
                <w:kern w:val="2"/>
                <w:highlight w:val="none"/>
              </w:rPr>
              <w:t>上筑巢和长时间停留，减少因在输电线路正常运营活动而产生的伤害事件。</w:t>
            </w:r>
          </w:p>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2电磁环境保护措施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1</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线路建成后，应加强输电线路防护距离宣传教育和督查工作。</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2</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线路选用的导线质量应符合国家相关标准的要求，防止由于导线缺陷导致的电晕增加，降低线路运行时产生的噪声。</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3</w:t>
            </w:r>
            <w:r>
              <w:rPr>
                <w:rFonts w:hint="eastAsia" w:ascii="Times New Roman" w:hAnsi="Times New Roman" w:cs="Times New Roman"/>
                <w:color w:val="auto"/>
                <w:highlight w:val="none"/>
                <w:lang w:eastAsia="zh-CN"/>
              </w:rPr>
              <w:t>）线路沿线杆塔</w:t>
            </w:r>
            <w:r>
              <w:rPr>
                <w:rFonts w:hint="eastAsia" w:ascii="Times New Roman" w:hAnsi="Times New Roman" w:cs="Times New Roman"/>
                <w:color w:val="auto"/>
                <w:highlight w:val="none"/>
                <w:lang w:val="en-US" w:eastAsia="zh-CN"/>
              </w:rPr>
              <w:t>和变电站内带电架构</w:t>
            </w:r>
            <w:r>
              <w:rPr>
                <w:rFonts w:hint="default" w:ascii="Times New Roman" w:hAnsi="Times New Roman" w:eastAsia="宋体" w:cs="Times New Roman"/>
                <w:color w:val="auto"/>
                <w:highlight w:val="none"/>
              </w:rPr>
              <w:t>做好警示和防护指示标志的悬挂设立工作，禁止无关人员靠近带电架构。</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4</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建设单位应设立一名兼职的环保工作人员，负责输电线路运行期间的环境保护工作，并做好对线路沿线群众的电磁环境知识的宣传。</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5</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对员工进行电磁基础知识培训，在巡检带电维修过程中，尽可能减少曝露在电磁场中的时间。</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6</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本项目线路工频电场、工频磁场满足设计规范要求，线路跨越公路、通讯线、电力线时，严格按照有关规范要求留有足够净空距离，控制地面最大场强，使线路运行产生的电场强度对交叉跨越的对象无影响。</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7</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制定安全操作规程，加强职工安全教育，加强电磁水平监测。</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8</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通过社区讲座、宣传册、线上平台等方式，向公众普及电磁辐射知识，解释电磁场的产生原理、强度标准及防护措施。</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9</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建立投诉与反馈机制，及时回应公众对电磁辐射的关切，对合理诉求进行整改。</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通过落实上述措施，能够减少本项目运营期线路产生的电磁场对周边环境影响。</w:t>
            </w:r>
          </w:p>
          <w:bookmarkEnd w:id="94"/>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b/>
                <w:bCs/>
                <w:color w:val="auto"/>
                <w:highlight w:val="none"/>
              </w:rPr>
            </w:pPr>
            <w:r>
              <w:rPr>
                <w:rFonts w:hint="default" w:ascii="Times New Roman" w:hAnsi="Times New Roman" w:eastAsia="宋体" w:cs="Times New Roman"/>
                <w:b/>
                <w:bCs/>
                <w:color w:val="auto"/>
                <w:highlight w:val="none"/>
              </w:rPr>
              <w:t>3声环境保护措施</w:t>
            </w:r>
          </w:p>
          <w:p>
            <w:pPr>
              <w:pStyle w:val="4"/>
              <w:keepNext w:val="0"/>
              <w:keepLines w:val="0"/>
              <w:widowControl/>
              <w:suppressLineNumbers w:val="0"/>
              <w:spacing w:before="0" w:beforeAutospacing="0" w:after="0" w:afterAutospacing="0"/>
              <w:ind w:left="0" w:right="0" w:firstLine="480" w:firstLineChars="200"/>
              <w:rPr>
                <w:rFonts w:hint="default" w:ascii="Times New Roman" w:hAnsi="Times New Roman" w:eastAsia="宋体" w:cs="Times New Roman"/>
                <w:color w:val="auto"/>
                <w:sz w:val="24"/>
                <w:highlight w:val="none"/>
              </w:rPr>
            </w:pPr>
            <w:bookmarkStart w:id="95" w:name="_Toc77246642"/>
            <w:bookmarkStart w:id="96" w:name="_Toc123038787"/>
            <w:bookmarkStart w:id="97" w:name="_Toc67826164"/>
            <w:bookmarkStart w:id="98" w:name="_Toc70007228"/>
            <w:bookmarkStart w:id="99" w:name="_Toc70009653"/>
            <w:bookmarkStart w:id="100" w:name="_Toc67825870"/>
            <w:bookmarkStart w:id="101" w:name="_Toc123061340"/>
            <w:bookmarkStart w:id="102" w:name="_Toc72921446"/>
            <w:bookmarkStart w:id="103" w:name="_Toc96878384"/>
            <w:bookmarkStart w:id="104" w:name="_Toc70009841"/>
            <w:bookmarkStart w:id="105" w:name="_Toc201659320"/>
            <w:r>
              <w:rPr>
                <w:rFonts w:hint="eastAsia" w:ascii="Times New Roman" w:hAnsi="Times New Roman" w:eastAsia="宋体" w:cs="Times New Roman"/>
                <w:color w:val="auto"/>
                <w:sz w:val="24"/>
                <w:highlight w:val="none"/>
                <w:lang w:val="en-US" w:eastAsia="zh-CN"/>
              </w:rPr>
              <w:t>变电站</w:t>
            </w:r>
            <w:r>
              <w:rPr>
                <w:rFonts w:hint="default" w:ascii="Times New Roman" w:hAnsi="Times New Roman" w:eastAsia="宋体" w:cs="Times New Roman"/>
                <w:color w:val="auto"/>
                <w:sz w:val="24"/>
                <w:highlight w:val="none"/>
                <w:lang w:eastAsia="zh-CN"/>
              </w:rPr>
              <w:t>选取低噪声设备，</w:t>
            </w:r>
            <w:r>
              <w:rPr>
                <w:rFonts w:hint="default" w:ascii="Times New Roman" w:hAnsi="Times New Roman" w:eastAsia="宋体" w:cs="Times New Roman"/>
                <w:color w:val="auto"/>
                <w:sz w:val="24"/>
                <w:highlight w:val="none"/>
              </w:rPr>
              <w:t>加强对变电站及线路沿线声环境监测，及时发现问题并按照相关要求进行处理。</w:t>
            </w:r>
            <w:bookmarkEnd w:id="95"/>
            <w:r>
              <w:rPr>
                <w:rFonts w:hint="default" w:ascii="Times New Roman" w:hAnsi="Times New Roman" w:eastAsia="宋体" w:cs="Times New Roman"/>
                <w:color w:val="auto"/>
                <w:sz w:val="24"/>
                <w:highlight w:val="none"/>
              </w:rPr>
              <w:t>线路选用的导线质量应符合国家相关标准的要求。</w:t>
            </w:r>
            <w:bookmarkEnd w:id="96"/>
            <w:bookmarkEnd w:id="97"/>
            <w:bookmarkEnd w:id="98"/>
            <w:bookmarkEnd w:id="99"/>
            <w:bookmarkEnd w:id="100"/>
            <w:bookmarkEnd w:id="101"/>
            <w:bookmarkEnd w:id="102"/>
            <w:bookmarkEnd w:id="103"/>
            <w:bookmarkEnd w:id="104"/>
            <w:r>
              <w:rPr>
                <w:rFonts w:hint="default" w:ascii="Times New Roman" w:hAnsi="Times New Roman" w:eastAsia="宋体" w:cs="Times New Roman"/>
                <w:color w:val="auto"/>
                <w:sz w:val="24"/>
                <w:highlight w:val="none"/>
              </w:rPr>
              <w:t>本项目运营期产生的噪声对周边环境影响较小，在可接受范围内。</w:t>
            </w:r>
            <w:bookmarkEnd w:id="105"/>
          </w:p>
          <w:p>
            <w:pPr>
              <w:keepNext w:val="0"/>
              <w:keepLines w:val="0"/>
              <w:widowControl/>
              <w:suppressLineNumbers w:val="0"/>
              <w:spacing w:before="0" w:beforeAutospacing="0" w:after="0" w:afterAutospacing="0" w:line="360" w:lineRule="auto"/>
              <w:ind w:left="0" w:right="0"/>
              <w:rPr>
                <w:rFonts w:hint="default" w:ascii="Times New Roman" w:hAnsi="Times New Roman" w:eastAsia="宋体" w:cs="Times New Roman"/>
                <w:color w:val="auto"/>
                <w:highlight w:val="none"/>
              </w:rPr>
            </w:pPr>
            <w:r>
              <w:rPr>
                <w:rFonts w:hint="default" w:ascii="Times New Roman" w:hAnsi="Times New Roman" w:eastAsia="宋体" w:cs="Times New Roman"/>
                <w:b/>
                <w:bCs/>
                <w:color w:val="auto"/>
                <w:highlight w:val="none"/>
              </w:rPr>
              <w:t>4废水防治措施</w:t>
            </w:r>
          </w:p>
          <w:p>
            <w:pPr>
              <w:keepNext w:val="0"/>
              <w:keepLines w:val="0"/>
              <w:widowControl/>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lang w:val="en-US" w:eastAsia="zh-CN"/>
              </w:rPr>
            </w:pPr>
            <w:r>
              <w:rPr>
                <w:rFonts w:hint="eastAsia" w:ascii="Times New Roman" w:hAnsi="Times New Roman" w:cs="Times New Roman"/>
                <w:color w:val="auto"/>
                <w:highlight w:val="none"/>
                <w:lang w:val="en-US" w:eastAsia="zh-CN"/>
              </w:rPr>
              <w:t>本项目运营期不产生废水</w:t>
            </w:r>
            <w:r>
              <w:rPr>
                <w:rFonts w:hint="default" w:ascii="Times New Roman" w:hAnsi="Times New Roman" w:eastAsia="宋体" w:cs="Times New Roman"/>
                <w:color w:val="auto"/>
                <w:highlight w:val="none"/>
                <w:lang w:val="en-US" w:eastAsia="zh-CN"/>
              </w:rPr>
              <w:t>。</w:t>
            </w:r>
          </w:p>
          <w:p>
            <w:pPr>
              <w:keepNext w:val="0"/>
              <w:keepLines w:val="0"/>
              <w:widowControl/>
              <w:suppressLineNumbers w:val="0"/>
              <w:spacing w:before="0" w:beforeAutospacing="0" w:after="0" w:afterAutospacing="0" w:line="360" w:lineRule="auto"/>
              <w:ind w:left="0" w:right="0"/>
              <w:rPr>
                <w:rFonts w:hint="default" w:ascii="Times New Roman" w:hAnsi="Times New Roman" w:eastAsia="宋体" w:cs="Times New Roman"/>
                <w:color w:val="auto"/>
                <w:highlight w:val="none"/>
              </w:rPr>
            </w:pPr>
            <w:r>
              <w:rPr>
                <w:rFonts w:hint="default" w:ascii="Times New Roman" w:hAnsi="Times New Roman" w:eastAsia="宋体" w:cs="Times New Roman"/>
                <w:b/>
                <w:bCs/>
                <w:color w:val="auto"/>
                <w:highlight w:val="none"/>
              </w:rPr>
              <w:t>5</w:t>
            </w:r>
            <w:r>
              <w:rPr>
                <w:rFonts w:hint="default" w:ascii="Times New Roman" w:hAnsi="Times New Roman" w:eastAsia="宋体" w:cs="Times New Roman"/>
                <w:b/>
                <w:color w:val="auto"/>
                <w:highlight w:val="none"/>
              </w:rPr>
              <w:t>固体废物</w:t>
            </w:r>
            <w:r>
              <w:rPr>
                <w:rFonts w:hint="default" w:ascii="Times New Roman" w:hAnsi="Times New Roman" w:eastAsia="宋体" w:cs="Times New Roman"/>
                <w:b/>
                <w:bCs/>
                <w:color w:val="auto"/>
                <w:highlight w:val="none"/>
              </w:rPr>
              <w:t>防治措施</w:t>
            </w:r>
          </w:p>
          <w:p>
            <w:pPr>
              <w:keepNext w:val="0"/>
              <w:keepLines w:val="0"/>
              <w:widowControl/>
              <w:numPr>
                <w:ilvl w:val="0"/>
                <w:numId w:val="0"/>
              </w:numPr>
              <w:suppressLineNumbers w:val="0"/>
              <w:adjustRightInd w:val="0"/>
              <w:snapToGrid w:val="0"/>
              <w:spacing w:before="0" w:beforeAutospacing="0" w:after="0" w:afterAutospacing="0" w:line="360" w:lineRule="auto"/>
              <w:ind w:left="0" w:right="0" w:rightChars="0" w:firstLine="480" w:firstLineChars="200"/>
              <w:rPr>
                <w:rFonts w:hint="default" w:ascii="Times New Roman" w:hAnsi="Times New Roman" w:eastAsia="宋体" w:cs="Times New Roman"/>
                <w:color w:val="auto"/>
                <w:highlight w:val="none"/>
                <w:lang w:val="en-US" w:eastAsia="zh-CN"/>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val="en-US" w:eastAsia="zh-CN"/>
              </w:rPr>
              <w:t>1</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线路检修时产生少量检修废弃物、人员生活垃圾在变电站内采用垃圾箱临时存放，由环卫部门统一送至</w:t>
            </w:r>
            <w:r>
              <w:rPr>
                <w:rFonts w:hint="default" w:ascii="Times New Roman" w:hAnsi="Times New Roman" w:cs="Times New Roman"/>
                <w:color w:val="auto"/>
                <w:highlight w:val="none"/>
                <w:lang w:val="en-US" w:eastAsia="zh-CN"/>
              </w:rPr>
              <w:t>岳普湖县</w:t>
            </w:r>
            <w:r>
              <w:rPr>
                <w:rFonts w:hint="default" w:ascii="Times New Roman" w:hAnsi="Times New Roman" w:eastAsia="宋体" w:cs="Times New Roman"/>
                <w:color w:val="auto"/>
                <w:highlight w:val="none"/>
                <w:lang w:val="en-US" w:eastAsia="zh-CN"/>
              </w:rPr>
              <w:t>垃圾填埋场</w:t>
            </w:r>
            <w:r>
              <w:rPr>
                <w:rFonts w:hint="default" w:ascii="Times New Roman" w:hAnsi="Times New Roman" w:eastAsia="宋体" w:cs="Times New Roman"/>
                <w:color w:val="auto"/>
                <w:highlight w:val="none"/>
              </w:rPr>
              <w:t>处理。</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val="en-US" w:eastAsia="zh-CN"/>
              </w:rPr>
              <w:t>2</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val="en-US" w:eastAsia="zh-CN"/>
              </w:rPr>
              <w:t>110kV</w:t>
            </w:r>
            <w:r>
              <w:rPr>
                <w:rFonts w:hint="default" w:ascii="Times New Roman" w:hAnsi="Times New Roman" w:cs="Times New Roman"/>
                <w:color w:val="auto"/>
                <w:highlight w:val="none"/>
                <w:lang w:val="en-US" w:eastAsia="zh-CN"/>
              </w:rPr>
              <w:t>变电站</w:t>
            </w:r>
            <w:r>
              <w:rPr>
                <w:rFonts w:hint="default" w:ascii="Times New Roman" w:hAnsi="Times New Roman" w:eastAsia="宋体" w:cs="Times New Roman"/>
                <w:color w:val="auto"/>
                <w:highlight w:val="none"/>
              </w:rPr>
              <w:t>内设计有事故油池1座，用于收集事故废油，事故废油产生后尽快交由与公司签订合作协议的具有相关资质的单位进行回收处理，不在变电站内长时间储存。</w:t>
            </w:r>
            <w:r>
              <w:rPr>
                <w:rFonts w:hint="default" w:ascii="Times New Roman" w:hAnsi="Times New Roman" w:eastAsia="宋体" w:cs="Times New Roman"/>
                <w:color w:val="auto"/>
                <w:highlight w:val="none"/>
                <w:lang w:eastAsia="zh-CN"/>
              </w:rPr>
              <w:t>变压器检修废油使用密闭铁桶收集，暂存于危险废物</w:t>
            </w:r>
            <w:r>
              <w:rPr>
                <w:rFonts w:hint="default" w:ascii="Times New Roman" w:hAnsi="Times New Roman" w:eastAsia="宋体" w:cs="Times New Roman"/>
                <w:color w:val="auto"/>
                <w:highlight w:val="none"/>
                <w:lang w:val="en-US" w:eastAsia="zh-CN"/>
              </w:rPr>
              <w:t>贮存库</w:t>
            </w:r>
            <w:r>
              <w:rPr>
                <w:rFonts w:hint="default" w:ascii="Times New Roman" w:hAnsi="Times New Roman" w:eastAsia="宋体" w:cs="Times New Roman"/>
                <w:color w:val="auto"/>
                <w:highlight w:val="none"/>
                <w:lang w:eastAsia="zh-CN"/>
              </w:rPr>
              <w:t>中，由资质单位回收处置，检修产生的</w:t>
            </w:r>
            <w:r>
              <w:rPr>
                <w:rFonts w:hint="default" w:ascii="Times New Roman" w:hAnsi="Times New Roman" w:eastAsia="宋体" w:cs="Times New Roman"/>
                <w:color w:val="auto"/>
                <w:highlight w:val="none"/>
                <w:lang w:val="en-US" w:eastAsia="zh-CN"/>
              </w:rPr>
              <w:t>含油抹布、劳保用品按危险废物管理</w:t>
            </w:r>
            <w:r>
              <w:rPr>
                <w:rFonts w:hint="default" w:ascii="Times New Roman" w:hAnsi="Times New Roman" w:eastAsia="宋体" w:cs="Times New Roman"/>
                <w:color w:val="auto"/>
                <w:highlight w:val="none"/>
                <w:lang w:eastAsia="zh-CN"/>
              </w:rPr>
              <w:t>。</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val="en-US" w:eastAsia="zh-CN"/>
              </w:rPr>
              <w:t>3</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产生的废铅蓄电池</w:t>
            </w:r>
            <w:r>
              <w:rPr>
                <w:rFonts w:hint="default" w:ascii="Times New Roman" w:hAnsi="Times New Roman" w:eastAsia="宋体" w:cs="Times New Roman"/>
                <w:color w:val="auto"/>
                <w:highlight w:val="none"/>
                <w:lang w:eastAsia="zh-CN"/>
              </w:rPr>
              <w:t>暂存于危险废物</w:t>
            </w:r>
            <w:r>
              <w:rPr>
                <w:rFonts w:hint="default" w:ascii="Times New Roman" w:hAnsi="Times New Roman" w:eastAsia="宋体" w:cs="Times New Roman"/>
                <w:color w:val="auto"/>
                <w:highlight w:val="none"/>
                <w:lang w:val="en-US" w:eastAsia="zh-CN"/>
              </w:rPr>
              <w:t>贮存库</w:t>
            </w:r>
            <w:r>
              <w:rPr>
                <w:rFonts w:hint="default" w:ascii="Times New Roman" w:hAnsi="Times New Roman" w:eastAsia="宋体" w:cs="Times New Roman"/>
                <w:color w:val="auto"/>
                <w:highlight w:val="none"/>
                <w:lang w:eastAsia="zh-CN"/>
              </w:rPr>
              <w:t>中，有资质单位回收处置</w:t>
            </w:r>
            <w:r>
              <w:rPr>
                <w:rFonts w:hint="default" w:ascii="Times New Roman" w:hAnsi="Times New Roman" w:eastAsia="宋体" w:cs="Times New Roman"/>
                <w:color w:val="auto"/>
                <w:highlight w:val="none"/>
              </w:rPr>
              <w:t>。</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val="en-US" w:eastAsia="zh-CN"/>
              </w:rPr>
              <w:t>4</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为做好防渗，变压器下方及周边、导流槽及事故油池为重点防渗区，依据《危险废物贮存污染控制标准》</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lang w:eastAsia="zh-CN"/>
              </w:rPr>
              <w:t>GB 18597-2023</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中防渗要求：变电站事故贮油池及贮油坑基础防渗要求防渗层为至少1m厚粘土层</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渗透系数≤10</w:t>
            </w:r>
            <w:r>
              <w:rPr>
                <w:rFonts w:hint="default" w:ascii="Times New Roman" w:hAnsi="Times New Roman" w:eastAsia="宋体" w:cs="Times New Roman"/>
                <w:color w:val="auto"/>
                <w:highlight w:val="none"/>
                <w:vertAlign w:val="superscript"/>
              </w:rPr>
              <w:t>-7</w:t>
            </w:r>
            <w:r>
              <w:rPr>
                <w:rFonts w:hint="default" w:ascii="Times New Roman" w:hAnsi="Times New Roman" w:eastAsia="宋体" w:cs="Times New Roman"/>
                <w:color w:val="auto"/>
                <w:highlight w:val="none"/>
              </w:rPr>
              <w:t>cm/s</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，或2mm厚高密度聚乙烯，或至少2mm厚的其他人工材料，渗透系数≤10</w:t>
            </w:r>
            <w:r>
              <w:rPr>
                <w:rFonts w:hint="default" w:ascii="Times New Roman" w:hAnsi="Times New Roman" w:eastAsia="宋体" w:cs="Times New Roman"/>
                <w:color w:val="auto"/>
                <w:highlight w:val="none"/>
                <w:vertAlign w:val="superscript"/>
              </w:rPr>
              <w:t>-10</w:t>
            </w:r>
            <w:r>
              <w:rPr>
                <w:rFonts w:hint="default" w:ascii="Times New Roman" w:hAnsi="Times New Roman" w:eastAsia="宋体" w:cs="Times New Roman"/>
                <w:color w:val="auto"/>
                <w:highlight w:val="none"/>
              </w:rPr>
              <w:t>cm/s</w:t>
            </w:r>
            <w:r>
              <w:rPr>
                <w:rFonts w:hint="default" w:ascii="Times New Roman" w:hAnsi="Times New Roman" w:eastAsia="宋体" w:cs="Times New Roman"/>
                <w:color w:val="auto"/>
                <w:highlight w:val="none"/>
                <w:lang w:eastAsia="zh-CN"/>
              </w:rPr>
              <w:t>。</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w:t>
            </w:r>
            <w:r>
              <w:rPr>
                <w:rFonts w:hint="default" w:ascii="Times New Roman" w:hAnsi="Times New Roman" w:eastAsia="宋体" w:cs="Times New Roman"/>
                <w:color w:val="auto"/>
                <w:sz w:val="24"/>
                <w:szCs w:val="24"/>
                <w:highlight w:val="none"/>
                <w:lang w:val="en-US" w:eastAsia="zh-CN" w:bidi="ar"/>
              </w:rPr>
              <w:t>5</w:t>
            </w:r>
            <w:r>
              <w:rPr>
                <w:rFonts w:hint="default" w:ascii="Times New Roman" w:hAnsi="Times New Roman" w:eastAsia="宋体" w:cs="Times New Roman"/>
                <w:color w:val="auto"/>
                <w:sz w:val="24"/>
                <w:szCs w:val="24"/>
                <w:highlight w:val="none"/>
                <w:lang w:bidi="ar"/>
              </w:rPr>
              <w:t>）危险废物暂存要求</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①采用适当的容器收集危险废物。废变压器使用密封铁桶收集，废铅蓄电池使用耐酸耐腐蚀的转运箱收集，含油抹布劳保用品使用一般容器收集。盛装危险废物的容器上必须贴符合《危险废物贮存污染控制标准》（GB18597-2023）要求的标签，注明危险废物的贮存时间、化学成分、危险特性、安全措施等。</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②危险废物进入贮存区后，建设单位须建立危废管理台账，制订危险废物管理计划。</w:t>
            </w:r>
            <w:r>
              <w:rPr>
                <w:rFonts w:hint="default" w:ascii="Times New Roman" w:hAnsi="Times New Roman" w:cs="Times New Roman"/>
                <w:color w:val="auto"/>
                <w:sz w:val="24"/>
                <w:szCs w:val="24"/>
                <w:highlight w:val="none"/>
                <w:lang w:eastAsia="zh-CN" w:bidi="ar"/>
              </w:rPr>
              <w:t>台账</w:t>
            </w:r>
            <w:r>
              <w:rPr>
                <w:rFonts w:hint="default" w:ascii="Times New Roman" w:hAnsi="Times New Roman" w:eastAsia="宋体" w:cs="Times New Roman"/>
                <w:color w:val="auto"/>
                <w:sz w:val="24"/>
                <w:szCs w:val="24"/>
                <w:highlight w:val="none"/>
                <w:lang w:bidi="ar"/>
              </w:rPr>
              <w:t>如实记载产生危险废物的种类、数量、利用、贮存、处置、流向等信息，以此作为申报危险废物管理计划的依据。同时必须建立健全产生建设单位内部管理制度，包括落实危险废物产生信息公开制度，建立员工培训和固体废物管理员制度，完善危险废物相关档案管理制度；建立和完善突发危险废物环境应急预案，并报当地生态环境部门备案。</w:t>
            </w:r>
          </w:p>
          <w:p>
            <w:pPr>
              <w:keepNext w:val="0"/>
              <w:keepLines w:val="0"/>
              <w:widowControl/>
              <w:suppressLineNumbers w:val="0"/>
              <w:autoSpaceDE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③危险废物贮存区域须满足防火、防爆要求，设置防爆型照明、应急事故照明、烟感器、导出静电装置、警示标志、安全疏散指示标志，以及设置事故防护装备和工具、</w:t>
            </w:r>
            <w:r>
              <w:rPr>
                <w:rFonts w:hint="default" w:ascii="Times New Roman" w:hAnsi="Times New Roman" w:cs="Times New Roman"/>
                <w:color w:val="auto"/>
                <w:sz w:val="24"/>
                <w:szCs w:val="24"/>
                <w:highlight w:val="none"/>
                <w:lang w:eastAsia="zh-CN" w:bidi="ar"/>
              </w:rPr>
              <w:t>泄漏</w:t>
            </w:r>
            <w:r>
              <w:rPr>
                <w:rFonts w:hint="default" w:ascii="Times New Roman" w:hAnsi="Times New Roman" w:eastAsia="宋体" w:cs="Times New Roman"/>
                <w:color w:val="auto"/>
                <w:sz w:val="24"/>
                <w:szCs w:val="24"/>
                <w:highlight w:val="none"/>
                <w:lang w:bidi="ar"/>
              </w:rPr>
              <w:t>应急处理设备等，定期对所贮存的危险废物容器及贮存设施进行检查，发现破损及时更换，确保</w:t>
            </w:r>
            <w:r>
              <w:rPr>
                <w:rFonts w:hint="default" w:ascii="Times New Roman" w:hAnsi="Times New Roman" w:eastAsia="宋体" w:cs="Times New Roman"/>
                <w:color w:val="auto"/>
                <w:sz w:val="24"/>
                <w:szCs w:val="24"/>
                <w:highlight w:val="none"/>
                <w:lang w:eastAsia="zh-CN" w:bidi="ar"/>
              </w:rPr>
              <w:t>危险废物</w:t>
            </w:r>
            <w:r>
              <w:rPr>
                <w:rFonts w:hint="default" w:ascii="Times New Roman" w:hAnsi="Times New Roman" w:eastAsia="宋体" w:cs="Times New Roman"/>
                <w:color w:val="auto"/>
                <w:sz w:val="24"/>
                <w:szCs w:val="24"/>
                <w:highlight w:val="none"/>
                <w:lang w:val="en-US" w:eastAsia="zh-CN" w:bidi="ar"/>
              </w:rPr>
              <w:t>贮存库</w:t>
            </w:r>
            <w:r>
              <w:rPr>
                <w:rFonts w:hint="default" w:ascii="Times New Roman" w:hAnsi="Times New Roman" w:eastAsia="宋体" w:cs="Times New Roman"/>
                <w:color w:val="auto"/>
                <w:sz w:val="24"/>
                <w:szCs w:val="24"/>
                <w:highlight w:val="none"/>
                <w:lang w:bidi="ar"/>
              </w:rPr>
              <w:t>的安全运行。</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lang w:val="en-US" w:eastAsia="zh-CN" w:bidi="ar"/>
              </w:rPr>
            </w:pPr>
            <w:r>
              <w:rPr>
                <w:rFonts w:hint="default" w:ascii="Times New Roman" w:hAnsi="Times New Roman" w:eastAsia="宋体" w:cs="Times New Roman"/>
                <w:color w:val="auto"/>
                <w:sz w:val="24"/>
                <w:szCs w:val="24"/>
                <w:highlight w:val="none"/>
                <w:lang w:val="en-US" w:eastAsia="zh-CN" w:bidi="ar"/>
              </w:rPr>
              <w:t>④本项目16m</w:t>
            </w:r>
            <w:r>
              <w:rPr>
                <w:rFonts w:hint="default" w:ascii="Times New Roman" w:hAnsi="Times New Roman" w:eastAsia="宋体" w:cs="Times New Roman"/>
                <w:color w:val="auto"/>
                <w:sz w:val="24"/>
                <w:szCs w:val="24"/>
                <w:highlight w:val="none"/>
                <w:vertAlign w:val="superscript"/>
                <w:lang w:val="en-US" w:eastAsia="zh-CN" w:bidi="ar"/>
              </w:rPr>
              <w:t>2</w:t>
            </w:r>
            <w:r>
              <w:rPr>
                <w:rFonts w:hint="default" w:ascii="Times New Roman" w:hAnsi="Times New Roman" w:eastAsia="宋体" w:cs="Times New Roman"/>
                <w:color w:val="auto"/>
                <w:sz w:val="24"/>
                <w:szCs w:val="24"/>
                <w:highlight w:val="none"/>
                <w:lang w:val="en-US" w:eastAsia="zh-CN" w:bidi="ar"/>
              </w:rPr>
              <w:t>成品危险废物贮存库内设置2个间隔，隔板采用防腐防火夹芯板，单个间隔面积</w:t>
            </w:r>
            <w:bookmarkStart w:id="106" w:name="OLE_LINK142"/>
            <w:r>
              <w:rPr>
                <w:rFonts w:hint="default" w:ascii="Times New Roman" w:hAnsi="Times New Roman" w:eastAsia="宋体" w:cs="Times New Roman"/>
                <w:color w:val="auto"/>
                <w:sz w:val="24"/>
                <w:szCs w:val="24"/>
                <w:highlight w:val="none"/>
                <w:lang w:val="en-US" w:eastAsia="zh-CN" w:bidi="ar"/>
              </w:rPr>
              <w:t>约</w:t>
            </w:r>
            <w:bookmarkEnd w:id="106"/>
            <w:r>
              <w:rPr>
                <w:rFonts w:hint="default" w:ascii="Times New Roman" w:hAnsi="Times New Roman" w:eastAsia="宋体" w:cs="Times New Roman"/>
                <w:color w:val="auto"/>
                <w:sz w:val="24"/>
                <w:szCs w:val="24"/>
                <w:highlight w:val="none"/>
                <w:lang w:val="en-US" w:eastAsia="zh-CN" w:bidi="ar"/>
              </w:rPr>
              <w:t>为</w:t>
            </w:r>
            <w:bookmarkStart w:id="107" w:name="OLE_LINK139"/>
            <w:r>
              <w:rPr>
                <w:rFonts w:hint="default" w:ascii="Times New Roman" w:hAnsi="Times New Roman" w:eastAsia="宋体" w:cs="Times New Roman"/>
                <w:color w:val="auto"/>
                <w:sz w:val="24"/>
                <w:szCs w:val="24"/>
                <w:highlight w:val="none"/>
                <w:lang w:val="en-US" w:eastAsia="zh-CN" w:bidi="ar"/>
              </w:rPr>
              <w:t>8m</w:t>
            </w:r>
            <w:r>
              <w:rPr>
                <w:rFonts w:hint="default" w:ascii="Times New Roman" w:hAnsi="Times New Roman" w:eastAsia="宋体" w:cs="Times New Roman"/>
                <w:color w:val="auto"/>
                <w:sz w:val="24"/>
                <w:szCs w:val="24"/>
                <w:highlight w:val="none"/>
                <w:vertAlign w:val="superscript"/>
                <w:lang w:val="en-US" w:eastAsia="zh-CN" w:bidi="ar"/>
              </w:rPr>
              <w:t>2</w:t>
            </w:r>
            <w:bookmarkEnd w:id="107"/>
            <w:r>
              <w:rPr>
                <w:rFonts w:hint="default" w:ascii="Times New Roman" w:hAnsi="Times New Roman" w:eastAsia="宋体" w:cs="Times New Roman"/>
                <w:color w:val="auto"/>
                <w:sz w:val="24"/>
                <w:szCs w:val="24"/>
                <w:highlight w:val="none"/>
                <w:vertAlign w:val="baseline"/>
                <w:lang w:val="en-US" w:eastAsia="zh-CN" w:bidi="ar"/>
              </w:rPr>
              <w:t>，间隔内设置30cm高耐腐蚀裙角堵截危险废物泄漏</w:t>
            </w:r>
            <w:r>
              <w:rPr>
                <w:rFonts w:hint="default" w:ascii="Times New Roman" w:hAnsi="Times New Roman" w:eastAsia="宋体" w:cs="Times New Roman"/>
                <w:color w:val="auto"/>
                <w:sz w:val="24"/>
                <w:szCs w:val="24"/>
                <w:highlight w:val="none"/>
                <w:lang w:val="en-US" w:eastAsia="zh-CN" w:bidi="ar"/>
              </w:rPr>
              <w:t>。2处暂存区域分为废铅蓄电池暂存区以及废变压器油、含油抹布劳保用品暂存区。</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lang w:val="en-US" w:eastAsia="zh-CN" w:bidi="ar"/>
              </w:rPr>
            </w:pPr>
            <w:r>
              <w:rPr>
                <w:rFonts w:hint="default" w:ascii="Times New Roman" w:hAnsi="Times New Roman" w:eastAsia="宋体" w:cs="Times New Roman"/>
                <w:color w:val="auto"/>
                <w:sz w:val="24"/>
                <w:szCs w:val="24"/>
                <w:highlight w:val="none"/>
                <w:lang w:val="en-US" w:eastAsia="zh-CN" w:bidi="ar"/>
              </w:rPr>
              <w:t>废铅蓄电池贮存间隔采用耐腐蚀防渗设计，防止酸液腐蚀渗漏；配备密闭转运箱、防泄漏托盘，避免电解液外泄；分区存放、有序摆放，防止倾倒破裂，避免酸液泄漏；配备吸附棉、中和剂、应急收集桶，用于泄漏应急处置；做好通风，减少酸雾积聚，设置防腐、防腐蚀警示标识。</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lang w:val="en-US" w:eastAsia="zh-CN" w:bidi="ar"/>
              </w:rPr>
            </w:pPr>
            <w:r>
              <w:rPr>
                <w:rFonts w:hint="default" w:ascii="Times New Roman" w:hAnsi="Times New Roman" w:eastAsia="宋体" w:cs="Times New Roman"/>
                <w:color w:val="auto"/>
                <w:sz w:val="24"/>
                <w:szCs w:val="24"/>
                <w:highlight w:val="none"/>
                <w:lang w:val="en-US" w:eastAsia="zh-CN" w:bidi="ar"/>
              </w:rPr>
              <w:t>废油贮存间隔采用防静电处理，设置防火分隔；采用防漏油托盘、挡油围堰，防止废油漫流、渗漏；配备吸油毡、围油栏、沙土及消防灭火器材；严禁烟火，加强通风，设置防火、防静电警示标识；容器密封完好，防止挥发、泄漏及引发火灾隐患。</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w:t>
            </w:r>
            <w:r>
              <w:rPr>
                <w:rFonts w:hint="default" w:ascii="Times New Roman" w:hAnsi="Times New Roman" w:eastAsia="宋体" w:cs="Times New Roman"/>
                <w:color w:val="auto"/>
                <w:sz w:val="24"/>
                <w:szCs w:val="24"/>
                <w:highlight w:val="none"/>
                <w:lang w:val="en-US" w:eastAsia="zh-CN" w:bidi="ar"/>
              </w:rPr>
              <w:t>6</w:t>
            </w:r>
            <w:r>
              <w:rPr>
                <w:rFonts w:hint="default" w:ascii="Times New Roman" w:hAnsi="Times New Roman" w:eastAsia="宋体" w:cs="Times New Roman"/>
                <w:color w:val="auto"/>
                <w:sz w:val="24"/>
                <w:szCs w:val="24"/>
                <w:highlight w:val="none"/>
                <w:lang w:bidi="ar"/>
              </w:rPr>
              <w:t>）危险废物转移要求</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本项目危险废物的转运主要是从变电站至危废</w:t>
            </w:r>
            <w:r>
              <w:rPr>
                <w:rFonts w:hint="default" w:ascii="Times New Roman" w:hAnsi="Times New Roman" w:eastAsia="宋体" w:cs="Times New Roman"/>
                <w:color w:val="auto"/>
                <w:sz w:val="24"/>
                <w:szCs w:val="24"/>
                <w:highlight w:val="none"/>
                <w:lang w:val="en-US" w:eastAsia="zh-CN" w:bidi="ar"/>
              </w:rPr>
              <w:t>间</w:t>
            </w:r>
            <w:r>
              <w:rPr>
                <w:rFonts w:hint="default" w:ascii="Times New Roman" w:hAnsi="Times New Roman" w:eastAsia="宋体" w:cs="Times New Roman"/>
                <w:color w:val="auto"/>
                <w:sz w:val="24"/>
                <w:szCs w:val="24"/>
                <w:highlight w:val="none"/>
                <w:lang w:bidi="ar"/>
              </w:rPr>
              <w:t>的内部转运及危险废物处置单位的外部运输，转运过程中可能产生散落、泄漏所引起的环境影响。为了减少转运过程中的环境影响应采取如下措施：</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①危险废物在运输过程中要严格按照《危险废物收集 贮存 运输技术规范》（H</w:t>
            </w:r>
            <w:r>
              <w:rPr>
                <w:rFonts w:hint="default" w:ascii="Times New Roman" w:hAnsi="Times New Roman" w:cs="Times New Roman"/>
                <w:color w:val="auto"/>
                <w:sz w:val="24"/>
                <w:szCs w:val="24"/>
                <w:highlight w:val="none"/>
                <w:lang w:val="en-US" w:eastAsia="zh-CN" w:bidi="ar"/>
              </w:rPr>
              <w:t>J</w:t>
            </w:r>
            <w:r>
              <w:rPr>
                <w:rFonts w:hint="default" w:ascii="Times New Roman" w:hAnsi="Times New Roman" w:eastAsia="宋体" w:cs="Times New Roman"/>
                <w:color w:val="auto"/>
                <w:sz w:val="24"/>
                <w:szCs w:val="24"/>
                <w:highlight w:val="none"/>
                <w:lang w:bidi="ar"/>
              </w:rPr>
              <w:t>2025-2012）、《道路危险货物运输管理规定》</w:t>
            </w:r>
            <w:r>
              <w:rPr>
                <w:rFonts w:hint="default" w:ascii="Times New Roman" w:hAnsi="Times New Roman" w:cs="Times New Roman"/>
                <w:color w:val="auto"/>
                <w:sz w:val="24"/>
                <w:szCs w:val="24"/>
                <w:highlight w:val="none"/>
                <w:lang w:eastAsia="zh-CN" w:bidi="ar"/>
              </w:rPr>
              <w:t>（2026年2月6日《交通运输部关于修改〈道路危险货物运输管理规定〉的决定》第四次修正）</w:t>
            </w:r>
            <w:r>
              <w:rPr>
                <w:rFonts w:hint="default" w:ascii="Times New Roman" w:hAnsi="Times New Roman" w:eastAsia="宋体" w:cs="Times New Roman"/>
                <w:color w:val="auto"/>
                <w:sz w:val="24"/>
                <w:szCs w:val="24"/>
                <w:highlight w:val="none"/>
                <w:lang w:bidi="ar"/>
              </w:rPr>
              <w:t>等有关规定的要求安全运输，运输中途不更换容器，禁止在转移过程中擅自拆解、破碎，特殊情况容器出现破裂，需要及时更换，运输、搬运过程</w:t>
            </w:r>
            <w:r>
              <w:rPr>
                <w:rFonts w:hint="default" w:ascii="Times New Roman" w:hAnsi="Times New Roman" w:eastAsia="宋体" w:cs="Times New Roman"/>
                <w:color w:val="auto"/>
                <w:sz w:val="24"/>
                <w:szCs w:val="24"/>
                <w:highlight w:val="none"/>
                <w:lang w:val="en-US" w:eastAsia="zh-CN" w:bidi="ar"/>
              </w:rPr>
              <w:t>中</w:t>
            </w:r>
            <w:r>
              <w:rPr>
                <w:rFonts w:hint="default" w:ascii="Times New Roman" w:hAnsi="Times New Roman" w:eastAsia="宋体" w:cs="Times New Roman"/>
                <w:color w:val="auto"/>
                <w:sz w:val="24"/>
                <w:szCs w:val="24"/>
                <w:highlight w:val="none"/>
                <w:lang w:bidi="ar"/>
              </w:rPr>
              <w:t>轻拿轻放，保证货物不倾泄、翻出，减少运输过程中的二次污染和可能造成的环境风险。</w:t>
            </w:r>
          </w:p>
          <w:p>
            <w:pPr>
              <w:keepNext w:val="0"/>
              <w:keepLines w:val="0"/>
              <w:widowControl/>
              <w:suppressLineNumbers w:val="0"/>
              <w:spacing w:before="0" w:beforeAutospacing="0" w:after="0" w:afterAutospacing="0" w:line="360" w:lineRule="auto"/>
              <w:ind w:left="0" w:right="0" w:firstLine="480" w:firstLineChars="200"/>
              <w:jc w:val="left"/>
              <w:rPr>
                <w:rFonts w:hint="default" w:ascii="Times New Roman" w:hAnsi="Times New Roman" w:cs="Times New Roman"/>
                <w:color w:val="auto"/>
                <w:highlight w:val="none"/>
              </w:rPr>
            </w:pPr>
            <w:r>
              <w:rPr>
                <w:rFonts w:hint="default" w:ascii="Times New Roman" w:hAnsi="Times New Roman" w:eastAsia="宋体" w:cs="Times New Roman"/>
                <w:color w:val="auto"/>
                <w:kern w:val="0"/>
                <w:sz w:val="24"/>
                <w:szCs w:val="24"/>
                <w:highlight w:val="none"/>
                <w:lang w:val="en-US" w:eastAsia="zh-CN" w:bidi="ar"/>
              </w:rPr>
              <w:t>危险废物的厂内运输应满足如下要求：</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cs="Times New Roman"/>
                <w:color w:val="auto"/>
                <w:sz w:val="24"/>
                <w:szCs w:val="24"/>
                <w:highlight w:val="none"/>
                <w:lang w:val="en-US" w:eastAsia="zh-CN" w:bidi="ar"/>
              </w:rPr>
            </w:pPr>
            <w:r>
              <w:rPr>
                <w:rFonts w:hint="default" w:ascii="Times New Roman" w:hAnsi="Times New Roman" w:cs="Times New Roman"/>
                <w:color w:val="auto"/>
                <w:sz w:val="24"/>
                <w:szCs w:val="24"/>
                <w:highlight w:val="none"/>
                <w:lang w:val="en-US" w:eastAsia="zh-CN" w:bidi="ar"/>
              </w:rPr>
              <w:t>①在危险货物装卸过程中，应当根据危险货物的性质，轻装轻卸，堆码整齐，防止混杂、撒漏、破损，不得与普通货物混合堆放。</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cs="Times New Roman"/>
                <w:color w:val="auto"/>
                <w:sz w:val="24"/>
                <w:szCs w:val="24"/>
                <w:highlight w:val="none"/>
                <w:lang w:eastAsia="zh-CN" w:bidi="ar"/>
              </w:rPr>
            </w:pPr>
            <w:r>
              <w:rPr>
                <w:rFonts w:hint="default" w:ascii="Times New Roman" w:hAnsi="Times New Roman" w:cs="Times New Roman"/>
                <w:color w:val="auto"/>
                <w:sz w:val="24"/>
                <w:szCs w:val="24"/>
                <w:highlight w:val="none"/>
                <w:lang w:val="en-US" w:eastAsia="zh-CN" w:bidi="ar"/>
              </w:rPr>
              <w:t>②危险废物内部转运应综合考虑厂区的实际情况确定转运路线，尽量避开办公区和生活区。</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cs="Times New Roman"/>
                <w:color w:val="auto"/>
                <w:sz w:val="24"/>
                <w:szCs w:val="24"/>
                <w:highlight w:val="none"/>
                <w:lang w:eastAsia="zh-CN" w:bidi="ar"/>
              </w:rPr>
            </w:pPr>
            <w:r>
              <w:rPr>
                <w:rFonts w:hint="default" w:ascii="Times New Roman" w:hAnsi="Times New Roman" w:cs="Times New Roman"/>
                <w:color w:val="auto"/>
                <w:sz w:val="24"/>
                <w:szCs w:val="24"/>
                <w:highlight w:val="none"/>
                <w:lang w:val="en-US" w:eastAsia="zh-CN" w:bidi="ar"/>
              </w:rPr>
              <w:t>③危险废物内部转运作业应采用专用的工具，危险废物内部转运应参照本标准附录B填写《危险废物厂内转运记录表》。</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危险废物的厂外运输应满足如下要求：</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①危险废物的转移和运输应按《危险废物转移管理办法》（生态环境部令 第23号）的规定报批危险废物转移计划。转移危险废物的，应当通过国家危险废物信息管理系统（以下简称信息系统）填写、运行危险废物电子转移联单，并依照国家有关规定公开危险废物转移相关污染环境防治信息。</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②危险废物转移联单应当根据危险废物管理计划中填报的危险废物转移等备案信息填写、运行。移出人每转移一车（船或者其他运输工具）次同类危险废物，应当填写、运行一份危险废物转移联单；每车（船或者其他运输工具）次转移多类危险废物的，可以填写、运行一份危险废物转移联单，也可以每一类危险废物填写、运行一份危险废物转移联单。使用同一车（船或者其他运输工具）一次为多个移出人转移危险废物的，每个移出人应当分别填写、运行危险废物转移联单。</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③危险废物处置单位的运输人员必须掌握危险化学品运输的安全知识，了解所运载的危险化学品的性质、危害特性、包装容器的使用特性和发生意外时的应急措施。运输车辆必须具有车辆危险货物运输许可证。驾驶人员必须由取得驾驶执照的熟练人员担任。</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④危险废物处置单位在运输危险废弃物时必须配备押运人员，并随时处于押运人员的监管之下，不得超装、超载，严格按照所在城市规定的行车时间和行车路线行驶，不得进入危险化学品运输车辆禁止通行的区域。</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bidi="ar"/>
              </w:rPr>
              <w:t>⑤危险废物在运输途中若发生被盗、丢失、流散、泄漏等情况时，企业及押运人员必须立即向当地公安部门报告，并采取一切可能的警示措施。</w:t>
            </w:r>
          </w:p>
          <w:p>
            <w:pPr>
              <w:keepNext w:val="0"/>
              <w:keepLines w:val="0"/>
              <w:widowControl/>
              <w:suppressLineNumbers w:val="0"/>
              <w:autoSpaceDE w:val="0"/>
              <w:adjustRightInd w:val="0"/>
              <w:snapToGrid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cs="Times New Roman"/>
                <w:color w:val="auto"/>
                <w:sz w:val="24"/>
                <w:szCs w:val="24"/>
                <w:highlight w:val="none"/>
                <w:lang w:val="en-US" w:eastAsia="zh-CN" w:bidi="ar"/>
              </w:rPr>
              <w:t>⑥</w:t>
            </w:r>
            <w:r>
              <w:rPr>
                <w:rFonts w:hint="default" w:ascii="Times New Roman" w:hAnsi="Times New Roman" w:eastAsia="宋体" w:cs="Times New Roman"/>
                <w:color w:val="auto"/>
                <w:sz w:val="24"/>
                <w:szCs w:val="24"/>
                <w:highlight w:val="none"/>
                <w:lang w:bidi="ar"/>
              </w:rPr>
              <w:t>一旦发生废弃物泄漏事故，企业和废弃物处置单位都应积极协助有关部门采取必要的安全措施，减少事故损失，防止事故蔓延、扩大；针对事故对人体、动植物、土壤、水源、空气造成的现实危害和可能产生的危害，应迅速采取封闭、隔离、洗消等措施，并对事故造成的危害进行监测、处置，直至符合国家环境保护标准。</w:t>
            </w:r>
          </w:p>
          <w:p>
            <w:pPr>
              <w:keepNext w:val="0"/>
              <w:keepLines w:val="0"/>
              <w:widowControl/>
              <w:suppressLineNumbers w:val="0"/>
              <w:spacing w:before="0" w:beforeLines="0" w:beforeAutospacing="0" w:after="0" w:afterLines="0" w:afterAutospacing="0" w:line="360" w:lineRule="auto"/>
              <w:ind w:left="0" w:right="0" w:firstLine="240" w:firstLineChars="100"/>
              <w:rPr>
                <w:rFonts w:hint="default" w:ascii="Times New Roman" w:hAnsi="Times New Roman" w:eastAsia="宋体" w:cs="Times New Roman"/>
                <w:color w:val="auto"/>
                <w:sz w:val="24"/>
                <w:szCs w:val="24"/>
                <w:highlight w:val="none"/>
                <w:lang w:val="en-US" w:eastAsia="zh-CN" w:bidi="ar"/>
              </w:rPr>
            </w:pPr>
            <w:r>
              <w:rPr>
                <w:rFonts w:hint="default" w:ascii="Times New Roman" w:hAnsi="Times New Roman" w:eastAsia="宋体" w:cs="Times New Roman"/>
                <w:color w:val="auto"/>
                <w:sz w:val="24"/>
                <w:szCs w:val="24"/>
                <w:highlight w:val="none"/>
                <w:lang w:val="en-US" w:eastAsia="zh-CN" w:bidi="ar"/>
              </w:rPr>
              <w:t>（7）项目和《危险废物贮存污染控制标准》（GB 18597-2023）贮存库建设专项要求分析：</w:t>
            </w:r>
          </w:p>
          <w:p>
            <w:pPr>
              <w:keepNext w:val="0"/>
              <w:keepLines w:val="0"/>
              <w:widowControl/>
              <w:suppressLineNumbers w:val="0"/>
              <w:spacing w:before="0" w:beforeLines="0" w:beforeAutospacing="0" w:after="0" w:afterLines="0" w:afterAutospacing="0" w:line="360" w:lineRule="auto"/>
              <w:ind w:left="0" w:right="0" w:firstLine="241" w:firstLineChars="100"/>
              <w:jc w:val="center"/>
              <w:rPr>
                <w:rFonts w:hint="default" w:ascii="Times New Roman" w:hAnsi="Times New Roman" w:eastAsia="宋体" w:cs="Times New Roman"/>
                <w:b/>
                <w:bCs/>
                <w:color w:val="auto"/>
                <w:sz w:val="24"/>
                <w:szCs w:val="24"/>
                <w:highlight w:val="none"/>
                <w:lang w:val="en-US" w:eastAsia="zh-CN" w:bidi="ar"/>
              </w:rPr>
            </w:pPr>
            <w:r>
              <w:rPr>
                <w:rFonts w:hint="default" w:ascii="Times New Roman" w:hAnsi="Times New Roman" w:eastAsia="宋体" w:cs="Times New Roman"/>
                <w:b/>
                <w:bCs/>
                <w:color w:val="auto"/>
                <w:sz w:val="24"/>
                <w:szCs w:val="24"/>
                <w:highlight w:val="none"/>
                <w:lang w:val="en-US" w:eastAsia="zh-CN" w:bidi="ar"/>
              </w:rPr>
              <w:t>表5-2  项目危险废物贮存库与GB 18597-2023中管理要求符合性分析</w:t>
            </w:r>
          </w:p>
          <w:tbl>
            <w:tblPr>
              <w:tblStyle w:val="29"/>
              <w:tblW w:w="8241" w:type="dxa"/>
              <w:tblInd w:w="-1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265"/>
              <w:gridCol w:w="3011"/>
              <w:gridCol w:w="96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265" w:type="dxa"/>
                  <w:tcBorders>
                    <w:tl2br w:val="nil"/>
                    <w:tr2bl w:val="nil"/>
                  </w:tcBorders>
                  <w:vAlign w:val="center"/>
                </w:tcPr>
                <w:p>
                  <w:pPr>
                    <w:keepNext w:val="0"/>
                    <w:keepLines w:val="0"/>
                    <w:widowControl/>
                    <w:suppressLineNumbers w:val="0"/>
                    <w:spacing w:before="0" w:beforeLines="0" w:beforeAutospacing="0" w:after="0" w:afterLines="0" w:afterAutospacing="0" w:line="240" w:lineRule="auto"/>
                    <w:ind w:right="0"/>
                    <w:jc w:val="center"/>
                    <w:rPr>
                      <w:rFonts w:hint="default" w:ascii="Times New Roman" w:hAnsi="Times New Roman" w:eastAsia="宋体" w:cs="Times New Roman"/>
                      <w:color w:val="auto"/>
                      <w:sz w:val="21"/>
                      <w:szCs w:val="21"/>
                      <w:highlight w:val="none"/>
                      <w:vertAlign w:val="baseline"/>
                      <w:lang w:val="en-US" w:eastAsia="zh-CN" w:bidi="ar"/>
                    </w:rPr>
                  </w:pPr>
                  <w:r>
                    <w:rPr>
                      <w:rFonts w:hint="default" w:ascii="Times New Roman" w:hAnsi="Times New Roman" w:eastAsia="宋体" w:cs="Times New Roman"/>
                      <w:color w:val="auto"/>
                      <w:sz w:val="21"/>
                      <w:szCs w:val="21"/>
                      <w:highlight w:val="none"/>
                      <w:vertAlign w:val="baseline"/>
                      <w:lang w:val="en-US" w:eastAsia="zh-CN" w:bidi="ar"/>
                    </w:rPr>
                    <w:t>管理要求</w:t>
                  </w:r>
                </w:p>
              </w:tc>
              <w:tc>
                <w:tcPr>
                  <w:tcW w:w="3011" w:type="dxa"/>
                  <w:tcBorders>
                    <w:tl2br w:val="nil"/>
                    <w:tr2bl w:val="nil"/>
                  </w:tcBorders>
                  <w:vAlign w:val="center"/>
                </w:tcPr>
                <w:p>
                  <w:pPr>
                    <w:keepNext w:val="0"/>
                    <w:keepLines w:val="0"/>
                    <w:widowControl/>
                    <w:suppressLineNumbers w:val="0"/>
                    <w:spacing w:before="0" w:beforeLines="0" w:beforeAutospacing="0" w:after="0" w:afterLines="0" w:afterAutospacing="0" w:line="240" w:lineRule="auto"/>
                    <w:ind w:right="0"/>
                    <w:jc w:val="center"/>
                    <w:rPr>
                      <w:rFonts w:hint="default" w:ascii="Times New Roman" w:hAnsi="Times New Roman" w:eastAsia="宋体" w:cs="Times New Roman"/>
                      <w:color w:val="auto"/>
                      <w:sz w:val="21"/>
                      <w:szCs w:val="21"/>
                      <w:highlight w:val="none"/>
                      <w:vertAlign w:val="baseline"/>
                      <w:lang w:val="en-US" w:eastAsia="zh-CN" w:bidi="ar"/>
                    </w:rPr>
                  </w:pPr>
                  <w:r>
                    <w:rPr>
                      <w:rFonts w:hint="default" w:ascii="Times New Roman" w:hAnsi="Times New Roman" w:eastAsia="宋体" w:cs="Times New Roman"/>
                      <w:color w:val="auto"/>
                      <w:sz w:val="21"/>
                      <w:szCs w:val="21"/>
                      <w:highlight w:val="none"/>
                      <w:vertAlign w:val="baseline"/>
                      <w:lang w:val="en-US" w:eastAsia="zh-CN" w:bidi="ar"/>
                    </w:rPr>
                    <w:t>本项目情况</w:t>
                  </w:r>
                </w:p>
              </w:tc>
              <w:tc>
                <w:tcPr>
                  <w:tcW w:w="965" w:type="dxa"/>
                  <w:tcBorders>
                    <w:tl2br w:val="nil"/>
                    <w:tr2bl w:val="nil"/>
                  </w:tcBorders>
                  <w:vAlign w:val="center"/>
                </w:tcPr>
                <w:p>
                  <w:pPr>
                    <w:keepNext w:val="0"/>
                    <w:keepLines w:val="0"/>
                    <w:widowControl/>
                    <w:suppressLineNumbers w:val="0"/>
                    <w:spacing w:before="0" w:beforeLines="0" w:beforeAutospacing="0" w:after="0" w:afterLines="0" w:afterAutospacing="0" w:line="240" w:lineRule="auto"/>
                    <w:ind w:right="0"/>
                    <w:jc w:val="center"/>
                    <w:rPr>
                      <w:rFonts w:hint="default" w:ascii="Times New Roman" w:hAnsi="Times New Roman" w:eastAsia="宋体" w:cs="Times New Roman"/>
                      <w:color w:val="auto"/>
                      <w:sz w:val="21"/>
                      <w:szCs w:val="21"/>
                      <w:highlight w:val="none"/>
                      <w:vertAlign w:val="baseline"/>
                      <w:lang w:val="en-US" w:eastAsia="zh-CN" w:bidi="ar"/>
                    </w:rPr>
                  </w:pPr>
                  <w:r>
                    <w:rPr>
                      <w:rFonts w:hint="default" w:ascii="Times New Roman" w:hAnsi="Times New Roman" w:eastAsia="宋体" w:cs="Times New Roman"/>
                      <w:color w:val="auto"/>
                      <w:sz w:val="21"/>
                      <w:szCs w:val="21"/>
                      <w:highlight w:val="none"/>
                      <w:vertAlign w:val="baseline"/>
                      <w:lang w:val="en-US" w:eastAsia="zh-CN" w:bidi="ar"/>
                    </w:rPr>
                    <w:t>符合性分析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265" w:type="dxa"/>
                  <w:tcBorders>
                    <w:tl2br w:val="nil"/>
                    <w:tr2bl w:val="nil"/>
                  </w:tcBorders>
                  <w:vAlign w:val="center"/>
                </w:tcPr>
                <w:p>
                  <w:pPr>
                    <w:keepNext w:val="0"/>
                    <w:keepLines w:val="0"/>
                    <w:widowControl/>
                    <w:suppressLineNumbers w:val="0"/>
                    <w:spacing w:before="0" w:beforeLines="0" w:beforeAutospacing="0" w:after="0" w:afterLines="0" w:afterAutospacing="0" w:line="240" w:lineRule="auto"/>
                    <w:ind w:right="0"/>
                    <w:jc w:val="left"/>
                    <w:rPr>
                      <w:rFonts w:hint="default" w:ascii="Times New Roman" w:hAnsi="Times New Roman" w:eastAsia="宋体" w:cs="Times New Roman"/>
                      <w:color w:val="auto"/>
                      <w:sz w:val="21"/>
                      <w:szCs w:val="21"/>
                      <w:highlight w:val="none"/>
                      <w:vertAlign w:val="baseline"/>
                      <w:lang w:val="en-US" w:eastAsia="zh-CN" w:bidi="ar"/>
                    </w:rPr>
                  </w:pPr>
                  <w:r>
                    <w:rPr>
                      <w:rFonts w:hint="default" w:ascii="Times New Roman" w:hAnsi="Times New Roman" w:eastAsia="宋体" w:cs="Times New Roman"/>
                      <w:color w:val="auto"/>
                      <w:sz w:val="21"/>
                      <w:szCs w:val="21"/>
                      <w:highlight w:val="none"/>
                      <w:vertAlign w:val="baseline"/>
                      <w:lang w:val="en-US" w:eastAsia="zh-CN" w:bidi="ar"/>
                    </w:rPr>
                    <w:t>6.2.1 贮存库内不同贮存分区之间应采取隔离措施。隔离措施可根据危险废物特性采用过道、隔板或 隔墙等方式。</w:t>
                  </w:r>
                </w:p>
              </w:tc>
              <w:tc>
                <w:tcPr>
                  <w:tcW w:w="3011" w:type="dxa"/>
                  <w:tcBorders>
                    <w:tl2br w:val="nil"/>
                    <w:tr2bl w:val="nil"/>
                  </w:tcBorders>
                  <w:vAlign w:val="center"/>
                </w:tcPr>
                <w:p>
                  <w:pPr>
                    <w:keepNext w:val="0"/>
                    <w:keepLines w:val="0"/>
                    <w:widowControl/>
                    <w:suppressLineNumbers w:val="0"/>
                    <w:spacing w:before="0" w:beforeLines="0" w:beforeAutospacing="0" w:after="0" w:afterLines="0" w:afterAutospacing="0" w:line="240" w:lineRule="auto"/>
                    <w:ind w:right="0"/>
                    <w:jc w:val="left"/>
                    <w:rPr>
                      <w:rFonts w:hint="default" w:ascii="Times New Roman" w:hAnsi="Times New Roman" w:eastAsia="宋体" w:cs="Times New Roman"/>
                      <w:color w:val="auto"/>
                      <w:sz w:val="21"/>
                      <w:szCs w:val="21"/>
                      <w:highlight w:val="none"/>
                      <w:vertAlign w:val="baseline"/>
                      <w:lang w:val="en-US" w:eastAsia="zh-CN" w:bidi="ar"/>
                    </w:rPr>
                  </w:pPr>
                  <w:r>
                    <w:rPr>
                      <w:rFonts w:hint="default" w:ascii="Times New Roman" w:hAnsi="Times New Roman" w:eastAsia="宋体" w:cs="Times New Roman"/>
                      <w:color w:val="auto"/>
                      <w:sz w:val="21"/>
                      <w:szCs w:val="21"/>
                      <w:highlight w:val="none"/>
                      <w:vertAlign w:val="baseline"/>
                      <w:lang w:val="en-US" w:eastAsia="zh-CN" w:bidi="ar"/>
                    </w:rPr>
                    <w:t>本项目16m</w:t>
                  </w:r>
                  <w:r>
                    <w:rPr>
                      <w:rFonts w:hint="default" w:ascii="Times New Roman" w:hAnsi="Times New Roman" w:eastAsia="宋体" w:cs="Times New Roman"/>
                      <w:color w:val="auto"/>
                      <w:sz w:val="21"/>
                      <w:szCs w:val="21"/>
                      <w:highlight w:val="none"/>
                      <w:vertAlign w:val="superscript"/>
                      <w:lang w:val="en-US" w:eastAsia="zh-CN" w:bidi="ar"/>
                    </w:rPr>
                    <w:t>2</w:t>
                  </w:r>
                  <w:r>
                    <w:rPr>
                      <w:rFonts w:hint="default" w:ascii="Times New Roman" w:hAnsi="Times New Roman" w:eastAsia="宋体" w:cs="Times New Roman"/>
                      <w:color w:val="auto"/>
                      <w:sz w:val="21"/>
                      <w:szCs w:val="21"/>
                      <w:highlight w:val="none"/>
                      <w:vertAlign w:val="baseline"/>
                      <w:lang w:val="en-US" w:eastAsia="zh-CN" w:bidi="ar"/>
                    </w:rPr>
                    <w:t>成品危险废物贮存库内设置2个间隔，隔板采用防腐防火夹芯板，单个间隔面积约为8m</w:t>
                  </w:r>
                  <w:r>
                    <w:rPr>
                      <w:rFonts w:hint="default" w:ascii="Times New Roman" w:hAnsi="Times New Roman" w:eastAsia="宋体" w:cs="Times New Roman"/>
                      <w:color w:val="auto"/>
                      <w:sz w:val="21"/>
                      <w:szCs w:val="21"/>
                      <w:highlight w:val="none"/>
                      <w:vertAlign w:val="superscript"/>
                      <w:lang w:val="en-US" w:eastAsia="zh-CN" w:bidi="ar"/>
                    </w:rPr>
                    <w:t>2</w:t>
                  </w:r>
                  <w:r>
                    <w:rPr>
                      <w:rFonts w:hint="default" w:ascii="Times New Roman" w:hAnsi="Times New Roman" w:eastAsia="宋体" w:cs="Times New Roman"/>
                      <w:color w:val="auto"/>
                      <w:sz w:val="21"/>
                      <w:szCs w:val="21"/>
                      <w:highlight w:val="none"/>
                      <w:vertAlign w:val="baseline"/>
                      <w:lang w:val="en-US" w:eastAsia="zh-CN" w:bidi="ar"/>
                    </w:rPr>
                    <w:t>。2处暂存区域分为废铅蓄电池暂存区以及废变压器油、含油抹布劳保用品暂存区。</w:t>
                  </w:r>
                </w:p>
              </w:tc>
              <w:tc>
                <w:tcPr>
                  <w:tcW w:w="965" w:type="dxa"/>
                  <w:tcBorders>
                    <w:tl2br w:val="nil"/>
                    <w:tr2bl w:val="nil"/>
                  </w:tcBorders>
                  <w:vAlign w:val="center"/>
                </w:tcPr>
                <w:p>
                  <w:pPr>
                    <w:keepNext w:val="0"/>
                    <w:keepLines w:val="0"/>
                    <w:widowControl/>
                    <w:suppressLineNumbers w:val="0"/>
                    <w:spacing w:before="0" w:beforeLines="0" w:beforeAutospacing="0" w:after="0" w:afterLines="0" w:afterAutospacing="0" w:line="240" w:lineRule="auto"/>
                    <w:ind w:right="0"/>
                    <w:jc w:val="left"/>
                    <w:rPr>
                      <w:rFonts w:hint="default" w:ascii="Times New Roman" w:hAnsi="Times New Roman" w:eastAsia="宋体" w:cs="Times New Roman"/>
                      <w:color w:val="auto"/>
                      <w:sz w:val="21"/>
                      <w:szCs w:val="21"/>
                      <w:highlight w:val="none"/>
                      <w:vertAlign w:val="baseline"/>
                      <w:lang w:val="en-US" w:eastAsia="zh-CN" w:bidi="ar"/>
                    </w:rPr>
                  </w:pPr>
                  <w:r>
                    <w:rPr>
                      <w:rFonts w:hint="default" w:ascii="Times New Roman" w:hAnsi="Times New Roman" w:eastAsia="宋体" w:cs="Times New Roman"/>
                      <w:color w:val="auto"/>
                      <w:sz w:val="21"/>
                      <w:szCs w:val="21"/>
                      <w:highlight w:val="none"/>
                      <w:vertAlign w:val="baseline"/>
                      <w:lang w:val="en-US" w:eastAsia="zh-CN" w:bidi="ar"/>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23" w:hRule="atLeast"/>
              </w:trPr>
              <w:tc>
                <w:tcPr>
                  <w:tcW w:w="4265" w:type="dxa"/>
                  <w:tcBorders>
                    <w:tl2br w:val="nil"/>
                    <w:tr2bl w:val="nil"/>
                  </w:tcBorders>
                  <w:vAlign w:val="center"/>
                </w:tcPr>
                <w:p>
                  <w:pPr>
                    <w:keepNext w:val="0"/>
                    <w:keepLines w:val="0"/>
                    <w:widowControl/>
                    <w:suppressLineNumbers w:val="0"/>
                    <w:spacing w:before="0" w:beforeLines="0" w:beforeAutospacing="0" w:after="0" w:afterLines="0" w:afterAutospacing="0" w:line="240" w:lineRule="auto"/>
                    <w:ind w:right="0"/>
                    <w:jc w:val="left"/>
                    <w:rPr>
                      <w:rFonts w:hint="default" w:ascii="Times New Roman" w:hAnsi="Times New Roman" w:eastAsia="宋体" w:cs="Times New Roman"/>
                      <w:color w:val="auto"/>
                      <w:sz w:val="21"/>
                      <w:szCs w:val="21"/>
                      <w:highlight w:val="none"/>
                      <w:vertAlign w:val="baseline"/>
                      <w:lang w:eastAsia="zh-CN" w:bidi="ar"/>
                    </w:rPr>
                  </w:pPr>
                  <w:r>
                    <w:rPr>
                      <w:rFonts w:hint="default" w:ascii="Times New Roman" w:hAnsi="Times New Roman" w:eastAsia="宋体" w:cs="Times New Roman"/>
                      <w:color w:val="auto"/>
                      <w:sz w:val="21"/>
                      <w:szCs w:val="21"/>
                      <w:highlight w:val="none"/>
                      <w:vertAlign w:val="baseline"/>
                      <w:lang w:val="en-US" w:eastAsia="zh-CN" w:bidi="ar"/>
                    </w:rPr>
                    <w:t>6.2.2 在贮存库内或通过贮存分区方式贮存液态危险废物的，应具有液体泄漏堵截设施，堵截设施最小容积不应低于对应贮存区域最大液态废物容器容积或液态废物总储量1/10（二者取较大者）；用于贮存可能产生渗滤液的危险废物的贮存库或贮存分区应设计渗滤液收集设施，收集设施容积应满足渗滤液的收集要求。</w:t>
                  </w:r>
                </w:p>
              </w:tc>
              <w:tc>
                <w:tcPr>
                  <w:tcW w:w="3011" w:type="dxa"/>
                  <w:tcBorders>
                    <w:tl2br w:val="nil"/>
                    <w:tr2bl w:val="nil"/>
                  </w:tcBorders>
                  <w:vAlign w:val="center"/>
                </w:tcPr>
                <w:p>
                  <w:pPr>
                    <w:keepNext w:val="0"/>
                    <w:keepLines w:val="0"/>
                    <w:widowControl/>
                    <w:suppressLineNumbers w:val="0"/>
                    <w:spacing w:before="0" w:beforeLines="0" w:beforeAutospacing="0" w:after="0" w:afterLines="0" w:afterAutospacing="0" w:line="240" w:lineRule="auto"/>
                    <w:ind w:right="0"/>
                    <w:jc w:val="left"/>
                    <w:rPr>
                      <w:rFonts w:hint="default" w:ascii="Times New Roman" w:hAnsi="Times New Roman" w:eastAsia="宋体" w:cs="Times New Roman"/>
                      <w:color w:val="auto"/>
                      <w:sz w:val="21"/>
                      <w:szCs w:val="21"/>
                      <w:highlight w:val="none"/>
                      <w:vertAlign w:val="baseline"/>
                      <w:lang w:val="en-US" w:eastAsia="zh-CN" w:bidi="ar"/>
                    </w:rPr>
                  </w:pPr>
                  <w:r>
                    <w:rPr>
                      <w:rFonts w:hint="default" w:ascii="Times New Roman" w:hAnsi="Times New Roman" w:eastAsia="宋体" w:cs="Times New Roman"/>
                      <w:color w:val="auto"/>
                      <w:sz w:val="21"/>
                      <w:szCs w:val="21"/>
                      <w:highlight w:val="none"/>
                      <w:vertAlign w:val="baseline"/>
                      <w:lang w:val="en-US" w:eastAsia="zh-CN" w:bidi="ar"/>
                    </w:rPr>
                    <w:t>间隔内设置30cm高耐腐蚀裙角堵截危险废物泄漏，可以容纳2.4m</w:t>
                  </w:r>
                  <w:r>
                    <w:rPr>
                      <w:rFonts w:hint="default" w:ascii="Times New Roman" w:hAnsi="Times New Roman" w:eastAsia="宋体" w:cs="Times New Roman"/>
                      <w:color w:val="auto"/>
                      <w:sz w:val="21"/>
                      <w:szCs w:val="21"/>
                      <w:highlight w:val="none"/>
                      <w:vertAlign w:val="superscript"/>
                      <w:lang w:val="en-US" w:eastAsia="zh-CN" w:bidi="ar"/>
                    </w:rPr>
                    <w:t>3</w:t>
                  </w:r>
                  <w:r>
                    <w:rPr>
                      <w:rFonts w:hint="default" w:ascii="Times New Roman" w:hAnsi="Times New Roman" w:eastAsia="宋体" w:cs="Times New Roman"/>
                      <w:color w:val="auto"/>
                      <w:sz w:val="21"/>
                      <w:szCs w:val="21"/>
                      <w:highlight w:val="none"/>
                      <w:vertAlign w:val="baseline"/>
                      <w:lang w:val="en-US" w:eastAsia="zh-CN" w:bidi="ar"/>
                    </w:rPr>
                    <w:t>的危险废物，满足贮存区域危险废物的泄漏物贮存要求。</w:t>
                  </w:r>
                </w:p>
              </w:tc>
              <w:tc>
                <w:tcPr>
                  <w:tcW w:w="965" w:type="dxa"/>
                  <w:tcBorders>
                    <w:tl2br w:val="nil"/>
                    <w:tr2bl w:val="nil"/>
                  </w:tcBorders>
                  <w:vAlign w:val="center"/>
                </w:tcPr>
                <w:p>
                  <w:pPr>
                    <w:keepNext w:val="0"/>
                    <w:keepLines w:val="0"/>
                    <w:widowControl/>
                    <w:suppressLineNumbers w:val="0"/>
                    <w:spacing w:before="0" w:beforeLines="0" w:beforeAutospacing="0" w:after="0" w:afterLines="0" w:afterAutospacing="0" w:line="240" w:lineRule="auto"/>
                    <w:ind w:right="0" w:rightChars="0"/>
                    <w:jc w:val="left"/>
                    <w:rPr>
                      <w:rFonts w:hint="default" w:ascii="Times New Roman" w:hAnsi="Times New Roman" w:eastAsia="宋体" w:cs="Times New Roman"/>
                      <w:color w:val="auto"/>
                      <w:sz w:val="21"/>
                      <w:szCs w:val="21"/>
                      <w:highlight w:val="none"/>
                      <w:vertAlign w:val="baseline"/>
                      <w:lang w:val="en-US" w:eastAsia="zh-CN" w:bidi="ar"/>
                    </w:rPr>
                  </w:pPr>
                  <w:r>
                    <w:rPr>
                      <w:rFonts w:hint="default" w:ascii="Times New Roman" w:hAnsi="Times New Roman" w:eastAsia="宋体" w:cs="Times New Roman"/>
                      <w:color w:val="auto"/>
                      <w:sz w:val="21"/>
                      <w:szCs w:val="21"/>
                      <w:highlight w:val="none"/>
                      <w:vertAlign w:val="baseline"/>
                      <w:lang w:val="en-US" w:eastAsia="zh-CN" w:bidi="ar"/>
                    </w:rPr>
                    <w:t>符合</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4265" w:type="dxa"/>
                  <w:tcBorders>
                    <w:tl2br w:val="nil"/>
                    <w:tr2bl w:val="nil"/>
                  </w:tcBorders>
                  <w:vAlign w:val="center"/>
                </w:tcPr>
                <w:p>
                  <w:pPr>
                    <w:keepNext w:val="0"/>
                    <w:keepLines w:val="0"/>
                    <w:widowControl/>
                    <w:suppressLineNumbers w:val="0"/>
                    <w:spacing w:before="0" w:beforeLines="0" w:beforeAutospacing="0" w:after="0" w:afterLines="0" w:afterAutospacing="0" w:line="240" w:lineRule="auto"/>
                    <w:ind w:right="0"/>
                    <w:jc w:val="left"/>
                    <w:rPr>
                      <w:rFonts w:hint="default" w:ascii="Times New Roman" w:hAnsi="Times New Roman" w:eastAsia="宋体" w:cs="Times New Roman"/>
                      <w:color w:val="auto"/>
                      <w:sz w:val="21"/>
                      <w:szCs w:val="21"/>
                      <w:highlight w:val="none"/>
                      <w:vertAlign w:val="baseline"/>
                      <w:lang w:eastAsia="zh-CN" w:bidi="ar"/>
                    </w:rPr>
                  </w:pPr>
                  <w:r>
                    <w:rPr>
                      <w:rFonts w:hint="default" w:ascii="Times New Roman" w:hAnsi="Times New Roman" w:eastAsia="宋体" w:cs="Times New Roman"/>
                      <w:color w:val="auto"/>
                      <w:sz w:val="21"/>
                      <w:szCs w:val="21"/>
                      <w:highlight w:val="none"/>
                      <w:vertAlign w:val="baseline"/>
                      <w:lang w:val="en-US" w:eastAsia="zh-CN" w:bidi="ar"/>
                    </w:rPr>
                    <w:t>6.2.3 贮存易产生粉尘、VOCs、酸雾、有毒有害大气污染物和刺激性气味气体的危险废物贮存库，应设置气体收集装置和气体净化设施；气体净化设施的排气筒高度应符合 GB 16297 要求。</w:t>
                  </w:r>
                </w:p>
              </w:tc>
              <w:tc>
                <w:tcPr>
                  <w:tcW w:w="3011" w:type="dxa"/>
                  <w:tcBorders>
                    <w:tl2br w:val="nil"/>
                    <w:tr2bl w:val="nil"/>
                  </w:tcBorders>
                  <w:vAlign w:val="center"/>
                </w:tcPr>
                <w:p>
                  <w:pPr>
                    <w:keepNext w:val="0"/>
                    <w:keepLines w:val="0"/>
                    <w:widowControl/>
                    <w:suppressLineNumbers w:val="0"/>
                    <w:spacing w:before="0" w:beforeLines="0" w:beforeAutospacing="0" w:after="0" w:afterLines="0" w:afterAutospacing="0" w:line="240" w:lineRule="auto"/>
                    <w:ind w:right="0"/>
                    <w:jc w:val="left"/>
                    <w:rPr>
                      <w:rFonts w:hint="default" w:ascii="Times New Roman" w:hAnsi="Times New Roman" w:eastAsia="宋体" w:cs="Times New Roman"/>
                      <w:color w:val="auto"/>
                      <w:sz w:val="21"/>
                      <w:szCs w:val="21"/>
                      <w:highlight w:val="none"/>
                      <w:vertAlign w:val="baseline"/>
                      <w:lang w:val="en-US" w:eastAsia="zh-CN" w:bidi="ar"/>
                    </w:rPr>
                  </w:pPr>
                  <w:r>
                    <w:rPr>
                      <w:rFonts w:hint="default" w:ascii="Times New Roman" w:hAnsi="Times New Roman" w:eastAsia="宋体" w:cs="Times New Roman"/>
                      <w:color w:val="auto"/>
                      <w:sz w:val="21"/>
                      <w:szCs w:val="21"/>
                      <w:highlight w:val="none"/>
                      <w:vertAlign w:val="baseline"/>
                      <w:lang w:val="en-US" w:eastAsia="zh-CN" w:bidi="ar"/>
                    </w:rPr>
                    <w:t>本项目废变压器油使用密闭铁桶收集贮存，铅蓄电池配备密闭转运箱、防泄漏托盘，暂存库内配有防爆排风系统，可以避免产生有毒有害气体的产生。</w:t>
                  </w:r>
                </w:p>
              </w:tc>
              <w:tc>
                <w:tcPr>
                  <w:tcW w:w="965" w:type="dxa"/>
                  <w:tcBorders>
                    <w:tl2br w:val="nil"/>
                    <w:tr2bl w:val="nil"/>
                  </w:tcBorders>
                  <w:vAlign w:val="center"/>
                </w:tcPr>
                <w:p>
                  <w:pPr>
                    <w:keepNext w:val="0"/>
                    <w:keepLines w:val="0"/>
                    <w:widowControl/>
                    <w:suppressLineNumbers w:val="0"/>
                    <w:spacing w:before="0" w:beforeLines="0" w:beforeAutospacing="0" w:after="0" w:afterLines="0" w:afterAutospacing="0" w:line="240" w:lineRule="auto"/>
                    <w:ind w:right="0"/>
                    <w:jc w:val="left"/>
                    <w:rPr>
                      <w:rFonts w:hint="default" w:ascii="Times New Roman" w:hAnsi="Times New Roman" w:eastAsia="宋体" w:cs="Times New Roman"/>
                      <w:color w:val="auto"/>
                      <w:sz w:val="21"/>
                      <w:szCs w:val="21"/>
                      <w:highlight w:val="none"/>
                      <w:vertAlign w:val="baseline"/>
                      <w:lang w:val="en-US" w:eastAsia="zh-CN" w:bidi="ar"/>
                    </w:rPr>
                  </w:pPr>
                  <w:r>
                    <w:rPr>
                      <w:rFonts w:hint="default" w:ascii="Times New Roman" w:hAnsi="Times New Roman" w:eastAsia="宋体" w:cs="Times New Roman"/>
                      <w:color w:val="auto"/>
                      <w:sz w:val="21"/>
                      <w:szCs w:val="21"/>
                      <w:highlight w:val="none"/>
                      <w:vertAlign w:val="baseline"/>
                      <w:lang w:val="en-US" w:eastAsia="zh-CN" w:bidi="ar"/>
                    </w:rPr>
                    <w:t>符合</w:t>
                  </w:r>
                </w:p>
              </w:tc>
            </w:tr>
          </w:tbl>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lang w:eastAsia="zh-CN" w:bidi="ar"/>
              </w:rPr>
            </w:pPr>
            <w:r>
              <w:rPr>
                <w:rFonts w:hint="default" w:ascii="Times New Roman" w:hAnsi="Times New Roman" w:eastAsia="宋体" w:cs="Times New Roman"/>
                <w:color w:val="auto"/>
                <w:sz w:val="24"/>
                <w:szCs w:val="24"/>
                <w:highlight w:val="none"/>
                <w:lang w:eastAsia="zh-CN" w:bidi="ar"/>
              </w:rPr>
              <w:t>（</w:t>
            </w:r>
            <w:r>
              <w:rPr>
                <w:rFonts w:hint="default" w:ascii="Times New Roman" w:hAnsi="Times New Roman" w:eastAsia="宋体" w:cs="Times New Roman"/>
                <w:color w:val="auto"/>
                <w:sz w:val="24"/>
                <w:szCs w:val="24"/>
                <w:highlight w:val="none"/>
                <w:lang w:val="en-US" w:eastAsia="zh-CN" w:bidi="ar"/>
              </w:rPr>
              <w:t>9</w:t>
            </w:r>
            <w:r>
              <w:rPr>
                <w:rFonts w:hint="default" w:ascii="Times New Roman" w:hAnsi="Times New Roman" w:eastAsia="宋体" w:cs="Times New Roman"/>
                <w:color w:val="auto"/>
                <w:sz w:val="24"/>
                <w:szCs w:val="24"/>
                <w:highlight w:val="none"/>
                <w:lang w:eastAsia="zh-CN" w:bidi="ar"/>
              </w:rPr>
              <w:t>）</w:t>
            </w:r>
            <w:r>
              <w:rPr>
                <w:rFonts w:hint="default" w:ascii="Times New Roman" w:hAnsi="Times New Roman" w:eastAsia="宋体" w:cs="Times New Roman"/>
                <w:color w:val="auto"/>
                <w:sz w:val="24"/>
                <w:szCs w:val="24"/>
                <w:highlight w:val="none"/>
                <w:lang w:val="en-US" w:eastAsia="zh-CN" w:bidi="ar"/>
              </w:rPr>
              <w:t>土壤污染防控措施</w:t>
            </w:r>
          </w:p>
          <w:p>
            <w:pPr>
              <w:keepNext w:val="0"/>
              <w:keepLines w:val="0"/>
              <w:widowControl/>
              <w:suppressLineNumbers w:val="0"/>
              <w:wordWrap w:val="0"/>
              <w:spacing w:before="0" w:beforeAutospacing="0" w:after="0" w:afterAutospacing="0" w:line="360" w:lineRule="auto"/>
              <w:ind w:left="0" w:right="0" w:firstLine="482"/>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按照《环境影响</w:t>
            </w:r>
            <w:r>
              <w:rPr>
                <w:rFonts w:hint="eastAsia" w:ascii="Times New Roman" w:hAnsi="Times New Roman" w:cs="Times New Roman"/>
                <w:color w:val="auto"/>
                <w:sz w:val="24"/>
                <w:szCs w:val="24"/>
                <w:highlight w:val="none"/>
                <w:lang w:val="en-US" w:eastAsia="zh-CN"/>
              </w:rPr>
              <w:t>评价</w:t>
            </w:r>
            <w:r>
              <w:rPr>
                <w:rFonts w:hint="default" w:ascii="Times New Roman" w:hAnsi="Times New Roman" w:eastAsia="宋体" w:cs="Times New Roman"/>
                <w:color w:val="auto"/>
                <w:sz w:val="24"/>
                <w:szCs w:val="24"/>
                <w:highlight w:val="none"/>
              </w:rPr>
              <w:t>技术导则 地下水环境》（HJ610-2016）的要求，对项目变电区、</w:t>
            </w:r>
            <w:r>
              <w:rPr>
                <w:rFonts w:hint="default" w:ascii="Times New Roman" w:hAnsi="Times New Roman" w:eastAsia="宋体" w:cs="Times New Roman"/>
                <w:color w:val="auto"/>
                <w:sz w:val="24"/>
                <w:szCs w:val="24"/>
                <w:highlight w:val="none"/>
                <w:lang w:eastAsia="zh-CN"/>
              </w:rPr>
              <w:t>危险废物贮存库、</w:t>
            </w:r>
            <w:r>
              <w:rPr>
                <w:rFonts w:hint="default" w:ascii="Times New Roman" w:hAnsi="Times New Roman" w:eastAsia="宋体" w:cs="Times New Roman"/>
                <w:color w:val="auto"/>
                <w:sz w:val="24"/>
                <w:szCs w:val="24"/>
                <w:highlight w:val="none"/>
                <w:lang w:val="en-US" w:eastAsia="zh-CN"/>
              </w:rPr>
              <w:t>污水站等</w:t>
            </w:r>
            <w:r>
              <w:rPr>
                <w:rFonts w:hint="default" w:ascii="Times New Roman" w:hAnsi="Times New Roman" w:eastAsia="宋体" w:cs="Times New Roman"/>
                <w:color w:val="auto"/>
                <w:sz w:val="24"/>
                <w:szCs w:val="24"/>
                <w:highlight w:val="none"/>
              </w:rPr>
              <w:t>进行分区防渗，项目各区采取的地下水防治措施如下</w:t>
            </w:r>
            <w:r>
              <w:rPr>
                <w:rFonts w:hint="default" w:ascii="Times New Roman" w:hAnsi="Times New Roman" w:eastAsia="宋体" w:cs="Times New Roman"/>
                <w:color w:val="auto"/>
                <w:sz w:val="24"/>
                <w:szCs w:val="24"/>
                <w:highlight w:val="none"/>
                <w:lang w:eastAsia="zh-CN"/>
              </w:rPr>
              <w:t>：</w:t>
            </w:r>
          </w:p>
          <w:p>
            <w:pPr>
              <w:keepNext w:val="0"/>
              <w:keepLines w:val="0"/>
              <w:widowControl/>
              <w:suppressLineNumbers w:val="0"/>
              <w:wordWrap w:val="0"/>
              <w:spacing w:before="0" w:beforeAutospacing="0" w:after="0" w:afterAutospacing="0" w:line="360" w:lineRule="auto"/>
              <w:ind w:left="0" w:right="0" w:firstLine="482"/>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①</w:t>
            </w:r>
            <w:r>
              <w:rPr>
                <w:rFonts w:hint="default" w:ascii="Times New Roman" w:hAnsi="Times New Roman" w:eastAsia="宋体" w:cs="Times New Roman"/>
                <w:color w:val="auto"/>
                <w:sz w:val="24"/>
                <w:szCs w:val="24"/>
                <w:highlight w:val="none"/>
              </w:rPr>
              <w:t>重点防渗区</w:t>
            </w:r>
          </w:p>
          <w:p>
            <w:pPr>
              <w:keepNext w:val="0"/>
              <w:keepLines w:val="0"/>
              <w:widowControl/>
              <w:suppressLineNumbers w:val="0"/>
              <w:wordWrap w:val="0"/>
              <w:spacing w:before="0" w:beforeAutospacing="0" w:after="0" w:afterAutospacing="0" w:line="360" w:lineRule="auto"/>
              <w:ind w:left="0" w:right="0" w:firstLine="482"/>
              <w:rPr>
                <w:rFonts w:hint="default" w:ascii="Times New Roman" w:hAnsi="Times New Roman" w:eastAsia="宋体" w:cs="Times New Roman"/>
                <w:color w:val="auto"/>
                <w:sz w:val="24"/>
                <w:szCs w:val="24"/>
                <w:highlight w:val="none"/>
              </w:rPr>
            </w:pPr>
            <w:r>
              <w:rPr>
                <w:rFonts w:hint="default" w:ascii="Times New Roman" w:hAnsi="Times New Roman" w:cs="Times New Roman"/>
                <w:color w:val="auto"/>
                <w:sz w:val="24"/>
                <w:szCs w:val="24"/>
                <w:highlight w:val="none"/>
                <w:lang w:eastAsia="zh-CN"/>
              </w:rPr>
              <w:t>变电站</w:t>
            </w:r>
            <w:r>
              <w:rPr>
                <w:rFonts w:hint="default" w:ascii="Times New Roman" w:hAnsi="Times New Roman" w:eastAsia="宋体" w:cs="Times New Roman"/>
                <w:color w:val="auto"/>
                <w:sz w:val="24"/>
                <w:szCs w:val="24"/>
                <w:highlight w:val="none"/>
              </w:rPr>
              <w:t>内的储油坑、事故油池、</w:t>
            </w:r>
            <w:r>
              <w:rPr>
                <w:rFonts w:hint="default" w:ascii="Times New Roman" w:hAnsi="Times New Roman" w:eastAsia="宋体" w:cs="Times New Roman"/>
                <w:color w:val="auto"/>
                <w:sz w:val="24"/>
                <w:szCs w:val="24"/>
                <w:highlight w:val="none"/>
                <w:lang w:eastAsia="zh-CN"/>
              </w:rPr>
              <w:t>危险废物贮存库</w:t>
            </w:r>
            <w:r>
              <w:rPr>
                <w:rFonts w:hint="default" w:ascii="Times New Roman" w:hAnsi="Times New Roman" w:eastAsia="宋体" w:cs="Times New Roman"/>
                <w:color w:val="auto"/>
                <w:sz w:val="24"/>
                <w:szCs w:val="24"/>
                <w:highlight w:val="none"/>
              </w:rPr>
              <w:t>均为重点防渗区，重点防渗区铺砌地坪地基必须采用黏土材料，且厚度不得低于100cm，在不满足100cm厚度黏土基础垫层的情况下，可采用30cm厚度普通黏土垫层，并加厚2mm高密度聚乙烯，或至少2mm厚度其他人工防渗材料，渗透系数≤10</w:t>
            </w:r>
            <w:r>
              <w:rPr>
                <w:rFonts w:hint="default" w:ascii="Times New Roman" w:hAnsi="Times New Roman" w:eastAsia="宋体" w:cs="Times New Roman"/>
                <w:color w:val="auto"/>
                <w:sz w:val="24"/>
                <w:szCs w:val="24"/>
                <w:highlight w:val="none"/>
                <w:vertAlign w:val="superscript"/>
              </w:rPr>
              <w:t>-10</w:t>
            </w:r>
            <w:r>
              <w:rPr>
                <w:rFonts w:hint="default" w:ascii="Times New Roman" w:hAnsi="Times New Roman" w:eastAsia="宋体" w:cs="Times New Roman"/>
                <w:color w:val="auto"/>
                <w:sz w:val="24"/>
                <w:szCs w:val="24"/>
                <w:highlight w:val="none"/>
              </w:rPr>
              <w:t>cm/s，与《环境影响评价技术导则 地下水环境》（HJ610-2016）中的防渗技术要求相符。</w:t>
            </w:r>
          </w:p>
          <w:p>
            <w:pPr>
              <w:keepNext w:val="0"/>
              <w:keepLines w:val="0"/>
              <w:widowControl/>
              <w:suppressLineNumbers w:val="0"/>
              <w:wordWrap w:val="0"/>
              <w:spacing w:before="0" w:beforeAutospacing="0" w:after="0" w:afterAutospacing="0" w:line="360" w:lineRule="auto"/>
              <w:ind w:left="0" w:right="0" w:firstLine="482"/>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通过采取以上防渗措施，</w:t>
            </w:r>
            <w:r>
              <w:rPr>
                <w:rFonts w:hint="default" w:ascii="Times New Roman" w:hAnsi="Times New Roman" w:cs="Times New Roman"/>
                <w:color w:val="auto"/>
                <w:sz w:val="24"/>
                <w:szCs w:val="24"/>
                <w:highlight w:val="none"/>
                <w:lang w:eastAsia="zh-CN"/>
              </w:rPr>
              <w:t>变电站</w:t>
            </w:r>
            <w:r>
              <w:rPr>
                <w:rFonts w:hint="default" w:ascii="Times New Roman" w:hAnsi="Times New Roman" w:eastAsia="宋体" w:cs="Times New Roman"/>
                <w:color w:val="auto"/>
                <w:sz w:val="24"/>
                <w:szCs w:val="24"/>
                <w:highlight w:val="none"/>
              </w:rPr>
              <w:t>内的防渗储油坑贮油池、事故油池、</w:t>
            </w:r>
            <w:r>
              <w:rPr>
                <w:rFonts w:hint="default" w:ascii="Times New Roman" w:hAnsi="Times New Roman" w:eastAsia="宋体" w:cs="Times New Roman"/>
                <w:color w:val="auto"/>
                <w:sz w:val="24"/>
                <w:szCs w:val="24"/>
                <w:highlight w:val="none"/>
                <w:lang w:eastAsia="zh-CN"/>
              </w:rPr>
              <w:t>危险废物贮存库</w:t>
            </w:r>
            <w:r>
              <w:rPr>
                <w:rFonts w:hint="default" w:ascii="Times New Roman" w:hAnsi="Times New Roman" w:eastAsia="宋体" w:cs="Times New Roman"/>
                <w:color w:val="auto"/>
                <w:sz w:val="24"/>
                <w:szCs w:val="24"/>
                <w:highlight w:val="none"/>
              </w:rPr>
              <w:t>正常情况下不会对地下水环境造成影响。</w:t>
            </w:r>
          </w:p>
          <w:p>
            <w:pPr>
              <w:keepNext w:val="0"/>
              <w:keepLines w:val="0"/>
              <w:widowControl/>
              <w:suppressLineNumbers w:val="0"/>
              <w:wordWrap w:val="0"/>
              <w:spacing w:before="0" w:beforeAutospacing="0" w:after="0" w:afterAutospacing="0" w:line="360" w:lineRule="auto"/>
              <w:ind w:left="0" w:right="0" w:firstLine="482"/>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②</w:t>
            </w:r>
            <w:r>
              <w:rPr>
                <w:rFonts w:hint="default" w:ascii="Times New Roman" w:hAnsi="Times New Roman" w:eastAsia="宋体" w:cs="Times New Roman"/>
                <w:color w:val="auto"/>
                <w:sz w:val="24"/>
                <w:szCs w:val="24"/>
                <w:highlight w:val="none"/>
              </w:rPr>
              <w:t>一般防渗</w:t>
            </w:r>
          </w:p>
          <w:p>
            <w:pPr>
              <w:keepNext w:val="0"/>
              <w:keepLines w:val="0"/>
              <w:widowControl/>
              <w:suppressLineNumbers w:val="0"/>
              <w:wordWrap w:val="0"/>
              <w:spacing w:before="0" w:beforeAutospacing="0" w:after="0" w:afterAutospacing="0" w:line="360" w:lineRule="auto"/>
              <w:ind w:left="0" w:right="0" w:firstLine="482"/>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一般防渗区为</w:t>
            </w:r>
            <w:r>
              <w:rPr>
                <w:rFonts w:hint="eastAsia" w:ascii="Times New Roman" w:hAnsi="Times New Roman" w:cs="Times New Roman"/>
                <w:color w:val="auto"/>
                <w:sz w:val="24"/>
                <w:szCs w:val="24"/>
                <w:highlight w:val="none"/>
                <w:lang w:val="en-US" w:eastAsia="zh-CN"/>
              </w:rPr>
              <w:t>变电站内变电区地面</w:t>
            </w:r>
            <w:r>
              <w:rPr>
                <w:rFonts w:hint="default" w:ascii="Times New Roman" w:hAnsi="Times New Roman" w:eastAsia="宋体" w:cs="Times New Roman"/>
                <w:color w:val="auto"/>
                <w:sz w:val="24"/>
                <w:szCs w:val="24"/>
                <w:highlight w:val="none"/>
              </w:rPr>
              <w:t>，依据《环境影响评价技术导则 地下水环境》（HJ610-2016）要求，一般防渗区等效黏土防渗层Mb≥1.5m，渗透系数 K≤1×10</w:t>
            </w:r>
            <w:r>
              <w:rPr>
                <w:rFonts w:hint="default" w:ascii="Times New Roman" w:hAnsi="Times New Roman" w:eastAsia="宋体" w:cs="Times New Roman"/>
                <w:color w:val="auto"/>
                <w:sz w:val="24"/>
                <w:szCs w:val="24"/>
                <w:highlight w:val="none"/>
                <w:vertAlign w:val="superscript"/>
              </w:rPr>
              <w:t>-7</w:t>
            </w:r>
            <w:r>
              <w:rPr>
                <w:rFonts w:hint="default" w:ascii="Times New Roman" w:hAnsi="Times New Roman" w:eastAsia="宋体" w:cs="Times New Roman"/>
                <w:color w:val="auto"/>
                <w:sz w:val="24"/>
                <w:szCs w:val="24"/>
                <w:highlight w:val="none"/>
              </w:rPr>
              <w:t>cm/s</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均能满足一般防渗区的防渗要求。</w:t>
            </w:r>
          </w:p>
          <w:p>
            <w:pPr>
              <w:keepNext w:val="0"/>
              <w:keepLines w:val="0"/>
              <w:widowControl/>
              <w:suppressLineNumbers w:val="0"/>
              <w:wordWrap w:val="0"/>
              <w:spacing w:before="0" w:beforeAutospacing="0" w:after="0" w:afterAutospacing="0" w:line="360" w:lineRule="auto"/>
              <w:ind w:left="0" w:right="0" w:firstLine="482"/>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③</w:t>
            </w:r>
            <w:r>
              <w:rPr>
                <w:rFonts w:hint="default" w:ascii="Times New Roman" w:hAnsi="Times New Roman" w:eastAsia="宋体" w:cs="Times New Roman"/>
                <w:color w:val="auto"/>
                <w:sz w:val="24"/>
                <w:szCs w:val="24"/>
                <w:highlight w:val="none"/>
              </w:rPr>
              <w:t>简单防渗区</w:t>
            </w:r>
          </w:p>
          <w:p>
            <w:pPr>
              <w:keepNext w:val="0"/>
              <w:keepLines w:val="0"/>
              <w:widowControl/>
              <w:suppressLineNumbers w:val="0"/>
              <w:wordWrap w:val="0"/>
              <w:spacing w:before="0" w:beforeAutospacing="0" w:after="0" w:afterAutospacing="0" w:line="360" w:lineRule="auto"/>
              <w:ind w:left="0" w:right="0" w:firstLine="482"/>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简单防渗区为</w:t>
            </w:r>
            <w:r>
              <w:rPr>
                <w:rFonts w:hint="default" w:ascii="Times New Roman" w:hAnsi="Times New Roman" w:eastAsia="宋体" w:cs="Times New Roman"/>
                <w:color w:val="auto"/>
                <w:sz w:val="24"/>
                <w:szCs w:val="24"/>
                <w:highlight w:val="none"/>
                <w:lang w:val="en-US" w:eastAsia="zh-CN"/>
              </w:rPr>
              <w:t>站内道路</w:t>
            </w:r>
            <w:r>
              <w:rPr>
                <w:rFonts w:hint="default" w:ascii="Times New Roman" w:hAnsi="Times New Roman" w:eastAsia="宋体" w:cs="Times New Roman"/>
                <w:color w:val="auto"/>
                <w:sz w:val="24"/>
                <w:szCs w:val="24"/>
                <w:highlight w:val="none"/>
              </w:rPr>
              <w:t>，停车场等区域，采用简单防渗即可，不会对地下水产生污染。</w:t>
            </w:r>
          </w:p>
          <w:p>
            <w:pPr>
              <w:keepNext w:val="0"/>
              <w:keepLines w:val="0"/>
              <w:widowControl/>
              <w:suppressLineNumbers w:val="0"/>
              <w:spacing w:before="0" w:beforeLines="0" w:beforeAutospacing="0" w:after="0" w:afterLines="0" w:afterAutospacing="0" w:line="360" w:lineRule="auto"/>
              <w:ind w:left="0" w:right="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b/>
                <w:color w:val="auto"/>
                <w:sz w:val="24"/>
                <w:szCs w:val="24"/>
                <w:highlight w:val="none"/>
                <w:lang w:val="en-US" w:eastAsia="zh-CN"/>
              </w:rPr>
              <w:t>6</w:t>
            </w:r>
            <w:r>
              <w:rPr>
                <w:rFonts w:hint="default" w:ascii="Times New Roman" w:hAnsi="Times New Roman" w:eastAsia="宋体" w:cs="Times New Roman"/>
                <w:b/>
                <w:color w:val="auto"/>
                <w:sz w:val="24"/>
                <w:szCs w:val="24"/>
                <w:highlight w:val="none"/>
              </w:rPr>
              <w:t>运营期环境风险防治措施</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eastAsia="宋体" w:cs="Times New Roman"/>
                <w:color w:val="auto"/>
                <w:sz w:val="24"/>
                <w:szCs w:val="24"/>
                <w:highlight w:val="none"/>
              </w:rPr>
            </w:pP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1</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建设项目事故油池容积，满足最大单台变压器100%排油量要求，变压器底部设地下钢筋混凝土贮油坑，大于主变压器油量的20%；坑底要设有排油管，能将事故油排至事故油池中，满足事故排油要求。</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eastAsia="宋体" w:cs="Times New Roman"/>
                <w:color w:val="auto"/>
                <w:sz w:val="21"/>
                <w:szCs w:val="24"/>
                <w:highlight w:val="none"/>
              </w:rPr>
            </w:pP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eastAsia="宋体" w:cs="Times New Roman"/>
                <w:color w:val="auto"/>
                <w:kern w:val="0"/>
                <w:sz w:val="24"/>
                <w:szCs w:val="24"/>
                <w:highlight w:val="none"/>
                <w:lang w:bidi="ar"/>
              </w:rPr>
              <w:t>2</w:t>
            </w:r>
            <w:r>
              <w:rPr>
                <w:rFonts w:hint="default" w:ascii="Times New Roman" w:hAnsi="Times New Roman" w:cs="Times New Roman"/>
                <w:color w:val="auto"/>
                <w:kern w:val="0"/>
                <w:sz w:val="24"/>
                <w:szCs w:val="24"/>
                <w:highlight w:val="none"/>
                <w:lang w:eastAsia="zh-CN" w:bidi="ar"/>
              </w:rPr>
              <w:t>）</w:t>
            </w:r>
            <w:r>
              <w:rPr>
                <w:rFonts w:hint="default" w:ascii="Times New Roman" w:hAnsi="Times New Roman" w:cs="Times New Roman"/>
                <w:color w:val="auto"/>
                <w:kern w:val="0"/>
                <w:sz w:val="24"/>
                <w:szCs w:val="24"/>
                <w:highlight w:val="none"/>
                <w:lang w:val="en-US" w:eastAsia="zh-CN" w:bidi="ar"/>
              </w:rPr>
              <w:t>变电站</w:t>
            </w:r>
            <w:r>
              <w:rPr>
                <w:rFonts w:hint="default" w:ascii="Times New Roman" w:hAnsi="Times New Roman" w:eastAsia="宋体" w:cs="Times New Roman"/>
                <w:color w:val="auto"/>
                <w:kern w:val="0"/>
                <w:sz w:val="24"/>
                <w:szCs w:val="24"/>
                <w:highlight w:val="none"/>
                <w:lang w:bidi="ar"/>
              </w:rPr>
              <w:t>为禁烟区，设置“禁止烟火”的警示标志。</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eastAsia="宋体" w:cs="Times New Roman"/>
                <w:color w:val="auto"/>
                <w:sz w:val="21"/>
                <w:szCs w:val="24"/>
                <w:highlight w:val="none"/>
              </w:rPr>
            </w:pP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eastAsia="宋体" w:cs="Times New Roman"/>
                <w:color w:val="auto"/>
                <w:kern w:val="0"/>
                <w:sz w:val="24"/>
                <w:szCs w:val="24"/>
                <w:highlight w:val="none"/>
                <w:lang w:bidi="ar"/>
              </w:rPr>
              <w:t>3</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eastAsia="宋体" w:cs="Times New Roman"/>
                <w:color w:val="auto"/>
                <w:kern w:val="0"/>
                <w:sz w:val="24"/>
                <w:szCs w:val="24"/>
                <w:highlight w:val="none"/>
                <w:lang w:bidi="ar"/>
              </w:rPr>
              <w:t>配备灭火器等应急救援保障设备及器材。</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eastAsia="宋体" w:cs="Times New Roman"/>
                <w:color w:val="auto"/>
                <w:sz w:val="21"/>
                <w:szCs w:val="24"/>
                <w:highlight w:val="none"/>
              </w:rPr>
            </w:pP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eastAsia="宋体" w:cs="Times New Roman"/>
                <w:color w:val="auto"/>
                <w:kern w:val="0"/>
                <w:sz w:val="24"/>
                <w:szCs w:val="24"/>
                <w:highlight w:val="none"/>
                <w:lang w:bidi="ar"/>
              </w:rPr>
              <w:t>4</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eastAsia="宋体" w:cs="Times New Roman"/>
                <w:color w:val="auto"/>
                <w:kern w:val="0"/>
                <w:sz w:val="24"/>
                <w:szCs w:val="24"/>
                <w:highlight w:val="none"/>
                <w:lang w:bidi="ar"/>
              </w:rPr>
              <w:t xml:space="preserve">加强日常巡视及实地巡查检修 </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eastAsia="宋体" w:cs="Times New Roman"/>
                <w:color w:val="auto"/>
                <w:kern w:val="0"/>
                <w:sz w:val="24"/>
                <w:szCs w:val="24"/>
                <w:highlight w:val="none"/>
                <w:lang w:bidi="ar"/>
              </w:rPr>
              <w:t>5</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eastAsia="宋体" w:cs="Times New Roman"/>
                <w:color w:val="auto"/>
                <w:sz w:val="24"/>
                <w:szCs w:val="24"/>
                <w:highlight w:val="none"/>
              </w:rPr>
              <w:t>变压器正常维修时变压器油收集方案：变压器正常使用过程中不存在对变压器的维修活动，如变压器存在故障，会委托专业维修单位</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或变压器生产厂家</w:t>
            </w:r>
            <w:r>
              <w:rPr>
                <w:rFonts w:hint="eastAsia" w:ascii="Times New Roman" w:hAnsi="Times New Roman"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直接将变压器拉走维修，在维修前由维修单位将变压器油抽入专用储油罐，一并运至维修点。</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1"/>
                <w:szCs w:val="24"/>
                <w:highlight w:val="none"/>
              </w:rPr>
            </w:pP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eastAsia="宋体" w:cs="Times New Roman"/>
                <w:color w:val="auto"/>
                <w:kern w:val="0"/>
                <w:sz w:val="24"/>
                <w:szCs w:val="24"/>
                <w:highlight w:val="none"/>
                <w:lang w:bidi="ar"/>
              </w:rPr>
              <w:t>6</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eastAsia="宋体" w:cs="Times New Roman"/>
                <w:color w:val="auto"/>
                <w:kern w:val="0"/>
                <w:sz w:val="24"/>
                <w:szCs w:val="24"/>
                <w:highlight w:val="none"/>
                <w:lang w:bidi="ar"/>
              </w:rPr>
              <w:t>建设单位应设有消防设施布置图、互救信息等，并明确应急物资存放地点。</w:t>
            </w:r>
            <w:r>
              <w:rPr>
                <w:rFonts w:hint="default" w:ascii="Times New Roman" w:hAnsi="Times New Roman" w:eastAsia="宋体" w:cs="Times New Roman"/>
                <w:color w:val="auto"/>
                <w:kern w:val="0"/>
                <w:sz w:val="24"/>
                <w:szCs w:val="24"/>
                <w:highlight w:val="none"/>
                <w:lang w:eastAsia="zh-CN" w:bidi="ar"/>
              </w:rPr>
              <w:t>危险废物贮存库</w:t>
            </w:r>
            <w:r>
              <w:rPr>
                <w:rFonts w:hint="default" w:ascii="Times New Roman" w:hAnsi="Times New Roman" w:eastAsia="宋体" w:cs="Times New Roman"/>
                <w:color w:val="auto"/>
                <w:kern w:val="0"/>
                <w:sz w:val="24"/>
                <w:szCs w:val="24"/>
                <w:highlight w:val="none"/>
                <w:lang w:bidi="ar"/>
              </w:rPr>
              <w:t>和事故油池在该项目生产和安全管理中要密切注意事故易发部位，做好监督检查，防患于未然；对事故油池管理人员进行定期培训，并将国家要求和安全技术规范转化为各自岗位的安全操作规程，并悬挂在岗位醒目位置，规范岗位操作，降低事故概率。</w:t>
            </w:r>
          </w:p>
          <w:p>
            <w:pPr>
              <w:keepNext w:val="0"/>
              <w:keepLines w:val="0"/>
              <w:widowControl/>
              <w:suppressLineNumbers w:val="0"/>
              <w:spacing w:before="0" w:beforeLines="0" w:beforeAutospacing="0" w:after="0" w:afterLines="0" w:afterAutospacing="0" w:line="360" w:lineRule="auto"/>
              <w:ind w:left="0" w:right="0" w:firstLine="480" w:firstLineChars="200"/>
              <w:jc w:val="left"/>
              <w:rPr>
                <w:rFonts w:hint="default" w:ascii="Times New Roman" w:hAnsi="Times New Roman" w:eastAsia="宋体" w:cs="Times New Roman"/>
                <w:color w:val="auto"/>
                <w:sz w:val="21"/>
                <w:szCs w:val="24"/>
                <w:highlight w:val="none"/>
              </w:rPr>
            </w:pP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eastAsia="宋体" w:cs="Times New Roman"/>
                <w:color w:val="auto"/>
                <w:kern w:val="0"/>
                <w:sz w:val="24"/>
                <w:szCs w:val="24"/>
                <w:highlight w:val="none"/>
                <w:lang w:bidi="ar"/>
              </w:rPr>
              <w:t>7</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eastAsia="宋体" w:cs="Times New Roman"/>
                <w:color w:val="auto"/>
                <w:kern w:val="0"/>
                <w:sz w:val="24"/>
                <w:szCs w:val="24"/>
                <w:highlight w:val="none"/>
                <w:lang w:bidi="ar"/>
              </w:rPr>
              <w:t>加强员工的安全意识。</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rPr>
            </w:pP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eastAsia="宋体" w:cs="Times New Roman"/>
                <w:color w:val="auto"/>
                <w:kern w:val="0"/>
                <w:sz w:val="24"/>
                <w:szCs w:val="24"/>
                <w:highlight w:val="none"/>
                <w:lang w:bidi="ar"/>
              </w:rPr>
              <w:t>8</w:t>
            </w:r>
            <w:r>
              <w:rPr>
                <w:rFonts w:hint="eastAsia" w:ascii="Times New Roman" w:hAnsi="Times New Roman" w:cs="Times New Roman"/>
                <w:color w:val="auto"/>
                <w:kern w:val="0"/>
                <w:sz w:val="24"/>
                <w:szCs w:val="24"/>
                <w:highlight w:val="none"/>
                <w:lang w:eastAsia="zh-CN" w:bidi="ar"/>
              </w:rPr>
              <w:t>）</w:t>
            </w:r>
            <w:r>
              <w:rPr>
                <w:rFonts w:hint="default" w:ascii="Times New Roman" w:hAnsi="Times New Roman" w:eastAsia="宋体" w:cs="Times New Roman"/>
                <w:color w:val="auto"/>
                <w:kern w:val="0"/>
                <w:sz w:val="24"/>
                <w:szCs w:val="24"/>
                <w:highlight w:val="none"/>
                <w:lang w:bidi="ar"/>
              </w:rPr>
              <w:t>建设单位应设有兼职的安全环保管理人员，通过技能培训，承担工程运行后的环保安全工作。落实各项安全管理制度、</w:t>
            </w:r>
            <w:r>
              <w:rPr>
                <w:rFonts w:hint="default" w:ascii="Times New Roman" w:hAnsi="Times New Roman" w:eastAsia="宋体" w:cs="Times New Roman"/>
                <w:color w:val="auto"/>
                <w:kern w:val="0"/>
                <w:sz w:val="24"/>
                <w:szCs w:val="24"/>
                <w:highlight w:val="none"/>
                <w:lang w:val="en-US" w:eastAsia="zh-CN" w:bidi="ar"/>
              </w:rPr>
              <w:t>环境风险应急预案制定实施</w:t>
            </w:r>
            <w:r>
              <w:rPr>
                <w:rFonts w:hint="default" w:ascii="Times New Roman" w:hAnsi="Times New Roman" w:eastAsia="宋体" w:cs="Times New Roman"/>
                <w:color w:val="auto"/>
                <w:kern w:val="0"/>
                <w:sz w:val="24"/>
                <w:szCs w:val="24"/>
                <w:highlight w:val="none"/>
                <w:lang w:eastAsia="zh-CN" w:bidi="ar"/>
              </w:rPr>
              <w:t>、</w:t>
            </w:r>
            <w:r>
              <w:rPr>
                <w:rFonts w:hint="default" w:ascii="Times New Roman" w:hAnsi="Times New Roman" w:eastAsia="宋体" w:cs="Times New Roman"/>
                <w:color w:val="auto"/>
                <w:kern w:val="0"/>
                <w:sz w:val="24"/>
                <w:szCs w:val="24"/>
                <w:highlight w:val="none"/>
                <w:lang w:bidi="ar"/>
              </w:rPr>
              <w:t>生产操作规则和事故应急计划及相应的应急处理手段</w:t>
            </w:r>
            <w:r>
              <w:rPr>
                <w:rFonts w:hint="default" w:ascii="Times New Roman" w:hAnsi="Times New Roman" w:eastAsia="宋体" w:cs="Times New Roman"/>
                <w:color w:val="auto"/>
                <w:sz w:val="24"/>
                <w:szCs w:val="24"/>
                <w:highlight w:val="none"/>
              </w:rPr>
              <w:t>。</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lang w:val="en-US" w:eastAsia="zh-CN"/>
              </w:rPr>
            </w:pPr>
            <w:r>
              <w:rPr>
                <w:rFonts w:hint="eastAsia" w:ascii="Times New Roman" w:hAnsi="Times New Roman" w:cs="Times New Roman"/>
                <w:color w:val="auto"/>
                <w:sz w:val="24"/>
                <w:szCs w:val="24"/>
                <w:highlight w:val="none"/>
                <w:lang w:val="en-US" w:eastAsia="zh-CN"/>
              </w:rPr>
              <w:t>（</w:t>
            </w:r>
            <w:r>
              <w:rPr>
                <w:rFonts w:hint="default" w:ascii="Times New Roman" w:hAnsi="Times New Roman" w:cs="Times New Roman"/>
                <w:color w:val="auto"/>
                <w:sz w:val="24"/>
                <w:szCs w:val="24"/>
                <w:highlight w:val="none"/>
                <w:lang w:val="en-US" w:eastAsia="zh-CN"/>
              </w:rPr>
              <w:t>9</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eastAsia="zh-CN"/>
              </w:rPr>
              <w:t>突发环境事件应急预案要求</w:t>
            </w:r>
            <w:r>
              <w:rPr>
                <w:rFonts w:hint="default" w:ascii="Times New Roman" w:hAnsi="Times New Roman" w:cs="Times New Roman"/>
                <w:color w:val="auto"/>
                <w:sz w:val="24"/>
                <w:szCs w:val="24"/>
                <w:highlight w:val="none"/>
                <w:lang w:eastAsia="zh-CN"/>
              </w:rPr>
              <w:t>：</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消防器材：需按规范足额配置合格消防器材，定点存放、标识清晰，定期检查维护并及时更换失效设备，确保随时可用。</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泄漏应急处理设备：</w:t>
            </w:r>
            <w:r>
              <w:rPr>
                <w:rFonts w:hint="default" w:ascii="Times New Roman" w:hAnsi="Times New Roman" w:cs="Times New Roman"/>
                <w:color w:val="auto"/>
                <w:sz w:val="24"/>
                <w:szCs w:val="24"/>
                <w:highlight w:val="none"/>
                <w:lang w:val="en-US" w:eastAsia="zh-CN"/>
              </w:rPr>
              <w:t>危险废物贮存库</w:t>
            </w:r>
            <w:r>
              <w:rPr>
                <w:rFonts w:hint="default" w:ascii="Times New Roman" w:hAnsi="Times New Roman" w:eastAsia="宋体" w:cs="Times New Roman"/>
                <w:color w:val="auto"/>
                <w:sz w:val="24"/>
                <w:szCs w:val="24"/>
                <w:highlight w:val="none"/>
                <w:lang w:eastAsia="zh-CN"/>
              </w:rPr>
              <w:t>配齐防渗围堰、吸附棉、收集桶、应急泵等泄漏处置物资设备，分类规整存放，适配物料泄漏快速封堵、收集与防扩散需求。</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eastAsia="zh-CN"/>
              </w:rPr>
              <w:t>应急演练：</w:t>
            </w:r>
            <w:r>
              <w:rPr>
                <w:rFonts w:hint="default" w:ascii="Times New Roman" w:hAnsi="Times New Roman" w:cs="Times New Roman"/>
                <w:color w:val="auto"/>
                <w:sz w:val="24"/>
                <w:szCs w:val="24"/>
                <w:highlight w:val="none"/>
                <w:lang w:val="en-US" w:eastAsia="zh-CN"/>
              </w:rPr>
              <w:t>每年</w:t>
            </w:r>
            <w:r>
              <w:rPr>
                <w:rFonts w:hint="default" w:ascii="Times New Roman" w:hAnsi="Times New Roman" w:eastAsia="宋体" w:cs="Times New Roman"/>
                <w:color w:val="auto"/>
                <w:sz w:val="24"/>
                <w:szCs w:val="24"/>
                <w:highlight w:val="none"/>
                <w:lang w:eastAsia="zh-CN"/>
              </w:rPr>
              <w:t>定期组织突发环境事件专项应急演练，覆盖泄漏、火灾等典型场景，演练后及时复盘评估，完善预案及应急处置流程。</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9</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主变消防废水应急处理措施</w:t>
            </w:r>
          </w:p>
          <w:p>
            <w:pPr>
              <w:keepNext w:val="0"/>
              <w:keepLines w:val="0"/>
              <w:widowControl/>
              <w:suppressLineNumbers w:val="0"/>
              <w:spacing w:before="0" w:beforeLines="0" w:beforeAutospacing="0" w:after="0" w:afterLines="0" w:afterAutospacing="0" w:line="360" w:lineRule="auto"/>
              <w:ind w:left="0" w:right="0" w:firstLine="480" w:firstLineChars="200"/>
              <w:rPr>
                <w:rFonts w:hint="default" w:ascii="Times New Roman" w:hAnsi="Times New Roman" w:eastAsia="宋体" w:cs="Times New Roman"/>
                <w:color w:val="auto"/>
                <w:sz w:val="21"/>
                <w:szCs w:val="24"/>
                <w:highlight w:val="none"/>
              </w:rPr>
            </w:pPr>
            <w:r>
              <w:rPr>
                <w:rFonts w:hint="default" w:ascii="Times New Roman" w:hAnsi="Times New Roman" w:eastAsia="宋体" w:cs="Times New Roman"/>
                <w:color w:val="auto"/>
                <w:sz w:val="24"/>
                <w:szCs w:val="24"/>
                <w:highlight w:val="none"/>
                <w:lang w:val="en-US" w:eastAsia="zh-CN"/>
              </w:rPr>
              <w:t>本项目最大单台变压器</w:t>
            </w:r>
            <w:r>
              <w:rPr>
                <w:rFonts w:hint="default" w:ascii="Times New Roman" w:hAnsi="Times New Roman" w:cs="Times New Roman"/>
                <w:color w:val="auto"/>
                <w:sz w:val="24"/>
                <w:szCs w:val="24"/>
                <w:highlight w:val="none"/>
                <w:lang w:val="en-US" w:eastAsia="zh-CN"/>
              </w:rPr>
              <w:t>油重</w:t>
            </w:r>
            <w:r>
              <w:rPr>
                <w:rFonts w:hint="default" w:ascii="Times New Roman" w:hAnsi="Times New Roman" w:eastAsia="宋体" w:cs="Times New Roman"/>
                <w:color w:val="auto"/>
                <w:sz w:val="24"/>
                <w:szCs w:val="24"/>
                <w:highlight w:val="none"/>
                <w:lang w:val="en-US" w:eastAsia="zh-CN"/>
              </w:rPr>
              <w:t>23.44t</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约</w:t>
            </w:r>
            <w:r>
              <w:rPr>
                <w:rFonts w:hint="eastAsia" w:ascii="Times New Roman" w:hAnsi="Times New Roman" w:cs="Times New Roman"/>
                <w:color w:val="auto"/>
                <w:sz w:val="24"/>
                <w:szCs w:val="24"/>
                <w:highlight w:val="none"/>
                <w:lang w:val="en-US" w:eastAsia="zh-CN"/>
              </w:rPr>
              <w:t>26.19</w:t>
            </w:r>
            <w:r>
              <w:rPr>
                <w:rFonts w:hint="default" w:ascii="Times New Roman" w:hAnsi="Times New Roman" w:eastAsia="宋体" w:cs="Times New Roman"/>
                <w:color w:val="auto"/>
                <w:sz w:val="24"/>
                <w:szCs w:val="24"/>
                <w:highlight w:val="none"/>
                <w:lang w:val="en-US" w:eastAsia="zh-CN"/>
              </w:rPr>
              <w:t>m</w:t>
            </w:r>
            <w:r>
              <w:rPr>
                <w:rFonts w:hint="default" w:ascii="Times New Roman" w:hAnsi="Times New Roman" w:eastAsia="宋体" w:cs="Times New Roman"/>
                <w:color w:val="auto"/>
                <w:sz w:val="24"/>
                <w:szCs w:val="24"/>
                <w:highlight w:val="none"/>
                <w:vertAlign w:val="superscript"/>
                <w:lang w:val="en-US" w:eastAsia="zh-CN"/>
              </w:rPr>
              <w:t>3</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，事故油池容积</w:t>
            </w:r>
            <w:r>
              <w:rPr>
                <w:rFonts w:hint="eastAsia" w:ascii="Times New Roman" w:hAnsi="Times New Roman" w:cs="Times New Roman"/>
                <w:color w:val="auto"/>
                <w:sz w:val="24"/>
                <w:szCs w:val="24"/>
                <w:highlight w:val="none"/>
                <w:lang w:val="en-US" w:eastAsia="zh-CN"/>
              </w:rPr>
              <w:t>28m</w:t>
            </w:r>
            <w:r>
              <w:rPr>
                <w:rFonts w:hint="default" w:ascii="Times New Roman" w:hAnsi="Times New Roman" w:eastAsia="宋体" w:cs="Times New Roman"/>
                <w:color w:val="auto"/>
                <w:sz w:val="24"/>
                <w:szCs w:val="24"/>
                <w:highlight w:val="none"/>
                <w:vertAlign w:val="superscript"/>
                <w:lang w:val="en-US" w:eastAsia="zh-CN"/>
              </w:rPr>
              <w:t>3</w:t>
            </w:r>
            <w:r>
              <w:rPr>
                <w:rFonts w:hint="default" w:ascii="Times New Roman" w:hAnsi="Times New Roman" w:eastAsia="宋体" w:cs="Times New Roman"/>
                <w:color w:val="auto"/>
                <w:sz w:val="24"/>
                <w:szCs w:val="24"/>
                <w:highlight w:val="none"/>
                <w:lang w:val="en-US" w:eastAsia="zh-CN"/>
              </w:rPr>
              <w:t>，满足《火力发电厂与变电站设计防火标准》</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GB50229-2019</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及《电力设备典型消防规程》</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DL5027-2015</w:t>
            </w:r>
            <w:r>
              <w:rPr>
                <w:rFonts w:hint="eastAsia" w:ascii="Times New Roman" w:hAnsi="Times New Roman" w:cs="Times New Roman"/>
                <w:color w:val="auto"/>
                <w:sz w:val="24"/>
                <w:szCs w:val="24"/>
                <w:highlight w:val="none"/>
                <w:lang w:val="en-US" w:eastAsia="zh-CN"/>
              </w:rPr>
              <w:t>）</w:t>
            </w:r>
            <w:r>
              <w:rPr>
                <w:rFonts w:hint="default" w:ascii="Times New Roman" w:hAnsi="Times New Roman" w:eastAsia="宋体" w:cs="Times New Roman"/>
                <w:color w:val="auto"/>
                <w:sz w:val="24"/>
                <w:szCs w:val="24"/>
                <w:highlight w:val="none"/>
                <w:lang w:val="en-US" w:eastAsia="zh-CN"/>
              </w:rPr>
              <w:t>规定最大单台变压器100%排油量要求。事故油池剩余容积可以容纳一定的消防废水。此外，变电站内设置了消防沙箱，配备了沙袋，事故应急时可用沙袋组成堵截</w:t>
            </w:r>
            <w:r>
              <w:rPr>
                <w:rFonts w:hint="default" w:ascii="Times New Roman" w:hAnsi="Times New Roman" w:cs="Times New Roman"/>
                <w:color w:val="auto"/>
                <w:sz w:val="24"/>
                <w:szCs w:val="24"/>
                <w:highlight w:val="none"/>
                <w:lang w:val="en-US" w:eastAsia="zh-CN"/>
              </w:rPr>
              <w:t>泄漏</w:t>
            </w:r>
            <w:r>
              <w:rPr>
                <w:rFonts w:hint="default" w:ascii="Times New Roman" w:hAnsi="Times New Roman" w:eastAsia="宋体" w:cs="Times New Roman"/>
                <w:color w:val="auto"/>
                <w:sz w:val="24"/>
                <w:szCs w:val="24"/>
                <w:highlight w:val="none"/>
                <w:lang w:val="en-US" w:eastAsia="zh-CN"/>
              </w:rPr>
              <w:t>的围堰，避免消防废水</w:t>
            </w:r>
            <w:r>
              <w:rPr>
                <w:rFonts w:hint="default" w:ascii="Times New Roman" w:hAnsi="Times New Roman" w:cs="Times New Roman"/>
                <w:color w:val="auto"/>
                <w:sz w:val="24"/>
                <w:szCs w:val="24"/>
                <w:highlight w:val="none"/>
                <w:lang w:val="en-US" w:eastAsia="zh-CN"/>
              </w:rPr>
              <w:t>泄漏</w:t>
            </w:r>
            <w:r>
              <w:rPr>
                <w:rFonts w:hint="default" w:ascii="Times New Roman" w:hAnsi="Times New Roman" w:eastAsia="宋体" w:cs="Times New Roman"/>
                <w:color w:val="auto"/>
                <w:sz w:val="24"/>
                <w:szCs w:val="24"/>
                <w:highlight w:val="none"/>
                <w:lang w:val="en-US" w:eastAsia="zh-CN"/>
              </w:rPr>
              <w:t>。事故结束后，消防废水作为危险废物委托有资质单位收集处置。</w:t>
            </w:r>
          </w:p>
          <w:p>
            <w:pPr>
              <w:keepNext w:val="0"/>
              <w:keepLines w:val="0"/>
              <w:widowControl/>
              <w:suppressLineNumbers w:val="0"/>
              <w:adjustRightInd w:val="0"/>
              <w:snapToGrid w:val="0"/>
              <w:spacing w:before="0" w:beforeLines="0" w:beforeAutospacing="0" w:after="0" w:afterLines="0" w:afterAutospacing="0" w:line="360" w:lineRule="auto"/>
              <w:ind w:left="0" w:right="0"/>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lang w:val="en-US" w:eastAsia="zh-CN"/>
              </w:rPr>
              <w:t>7</w:t>
            </w:r>
            <w:r>
              <w:rPr>
                <w:rFonts w:hint="default" w:ascii="Times New Roman" w:hAnsi="Times New Roman" w:eastAsia="宋体" w:cs="Times New Roman"/>
                <w:b/>
                <w:color w:val="auto"/>
                <w:sz w:val="24"/>
                <w:szCs w:val="24"/>
                <w:highlight w:val="none"/>
              </w:rPr>
              <w:t>生态环境保护措施及预期效果</w:t>
            </w:r>
          </w:p>
          <w:p>
            <w:pPr>
              <w:keepNext w:val="0"/>
              <w:keepLines w:val="0"/>
              <w:widowControl/>
              <w:suppressLineNumbers w:val="0"/>
              <w:adjustRightInd w:val="0"/>
              <w:snapToGrid w:val="0"/>
              <w:spacing w:before="0" w:beforeLines="0" w:beforeAutospacing="0" w:after="0" w:afterLines="0" w:afterAutospacing="0" w:line="360" w:lineRule="auto"/>
              <w:ind w:left="0" w:right="0" w:firstLine="480" w:firstLineChars="200"/>
              <w:jc w:val="left"/>
              <w:rPr>
                <w:rFonts w:hint="default" w:ascii="Times New Roman" w:hAnsi="Times New Roman" w:eastAsia="宋体" w:cs="Times New Roman"/>
                <w:b/>
                <w:color w:val="auto"/>
                <w:sz w:val="24"/>
                <w:szCs w:val="24"/>
                <w:highlight w:val="none"/>
              </w:rPr>
            </w:pPr>
            <w:r>
              <w:rPr>
                <w:rFonts w:hint="default" w:ascii="Times New Roman" w:hAnsi="Times New Roman" w:cs="Times New Roman"/>
                <w:color w:val="auto"/>
                <w:sz w:val="24"/>
                <w:szCs w:val="24"/>
                <w:highlight w:val="none"/>
                <w:lang w:eastAsia="zh-CN"/>
              </w:rPr>
              <w:t>本项目</w:t>
            </w:r>
            <w:r>
              <w:rPr>
                <w:rFonts w:hint="default" w:ascii="Times New Roman" w:hAnsi="Times New Roman" w:eastAsia="宋体" w:cs="Times New Roman"/>
                <w:color w:val="auto"/>
                <w:sz w:val="24"/>
                <w:szCs w:val="24"/>
                <w:highlight w:val="none"/>
              </w:rPr>
              <w:t>运营期主要生态环境保护措施及预期效果详见表5-</w:t>
            </w:r>
            <w:r>
              <w:rPr>
                <w:rFonts w:hint="default" w:ascii="Times New Roman" w:hAnsi="Times New Roman" w:eastAsia="宋体" w:cs="Times New Roman"/>
                <w:color w:val="auto"/>
                <w:sz w:val="24"/>
                <w:szCs w:val="24"/>
                <w:highlight w:val="none"/>
                <w:lang w:val="en-US" w:eastAsia="zh-CN"/>
              </w:rPr>
              <w:t>3</w:t>
            </w:r>
            <w:r>
              <w:rPr>
                <w:rFonts w:hint="default" w:ascii="Times New Roman" w:hAnsi="Times New Roman" w:eastAsia="宋体" w:cs="Times New Roman"/>
                <w:color w:val="auto"/>
                <w:sz w:val="24"/>
                <w:szCs w:val="24"/>
                <w:highlight w:val="none"/>
              </w:rPr>
              <w:t>；</w:t>
            </w:r>
          </w:p>
          <w:p>
            <w:pPr>
              <w:keepNext w:val="0"/>
              <w:keepLines w:val="0"/>
              <w:widowControl/>
              <w:suppressLineNumbers w:val="0"/>
              <w:overflowPunct w:val="0"/>
              <w:adjustRightInd w:val="0"/>
              <w:snapToGrid w:val="0"/>
              <w:spacing w:before="0" w:beforeLines="0" w:beforeAutospacing="0" w:after="0" w:afterLines="0" w:afterAutospacing="0"/>
              <w:ind w:left="0" w:right="0" w:firstLine="482" w:firstLineChars="200"/>
              <w:jc w:val="center"/>
              <w:rPr>
                <w:rFonts w:hint="default" w:ascii="Times New Roman" w:hAnsi="Times New Roman" w:eastAsia="宋体" w:cs="Times New Roman"/>
                <w:b/>
                <w:color w:val="auto"/>
                <w:sz w:val="24"/>
                <w:szCs w:val="24"/>
                <w:highlight w:val="none"/>
              </w:rPr>
            </w:pPr>
            <w:r>
              <w:rPr>
                <w:rFonts w:hint="default" w:ascii="Times New Roman" w:hAnsi="Times New Roman" w:eastAsia="宋体" w:cs="Times New Roman"/>
                <w:b/>
                <w:color w:val="auto"/>
                <w:sz w:val="24"/>
                <w:szCs w:val="24"/>
                <w:highlight w:val="none"/>
              </w:rPr>
              <w:t>表5-</w:t>
            </w:r>
            <w:r>
              <w:rPr>
                <w:rFonts w:hint="default" w:ascii="Times New Roman" w:hAnsi="Times New Roman" w:cs="Times New Roman"/>
                <w:b/>
                <w:color w:val="auto"/>
                <w:sz w:val="24"/>
                <w:szCs w:val="24"/>
                <w:highlight w:val="none"/>
                <w:lang w:val="en-US" w:eastAsia="zh-CN"/>
              </w:rPr>
              <w:t>3</w:t>
            </w:r>
            <w:r>
              <w:rPr>
                <w:rFonts w:hint="default" w:ascii="Times New Roman" w:hAnsi="Times New Roman" w:eastAsia="宋体" w:cs="Times New Roman"/>
                <w:b/>
                <w:color w:val="auto"/>
                <w:sz w:val="24"/>
                <w:szCs w:val="24"/>
                <w:highlight w:val="none"/>
              </w:rPr>
              <w:t xml:space="preserve">  运营期生态环境保护措施及预期效果一览表</w:t>
            </w:r>
          </w:p>
          <w:tbl>
            <w:tblPr>
              <w:tblStyle w:val="28"/>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74"/>
              <w:gridCol w:w="2709"/>
              <w:gridCol w:w="780"/>
              <w:gridCol w:w="704"/>
              <w:gridCol w:w="706"/>
              <w:gridCol w:w="1208"/>
              <w:gridCol w:w="162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 w:type="pct"/>
                  <w:tcBorders>
                    <w:top w:val="single" w:color="auto" w:sz="12"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b/>
                      <w:color w:val="auto"/>
                      <w:kern w:val="0"/>
                      <w:sz w:val="21"/>
                      <w:szCs w:val="24"/>
                      <w:highlight w:val="none"/>
                    </w:rPr>
                  </w:pPr>
                  <w:r>
                    <w:rPr>
                      <w:rFonts w:hint="default" w:ascii="Times New Roman" w:hAnsi="Times New Roman" w:eastAsia="宋体" w:cs="Times New Roman"/>
                      <w:b/>
                      <w:color w:val="auto"/>
                      <w:kern w:val="0"/>
                      <w:sz w:val="21"/>
                      <w:szCs w:val="24"/>
                      <w:highlight w:val="none"/>
                    </w:rPr>
                    <w:t>序号</w:t>
                  </w:r>
                </w:p>
              </w:tc>
              <w:tc>
                <w:tcPr>
                  <w:tcW w:w="1648" w:type="pct"/>
                  <w:tcBorders>
                    <w:top w:val="single" w:color="auto" w:sz="12"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b/>
                      <w:color w:val="auto"/>
                      <w:kern w:val="0"/>
                      <w:sz w:val="21"/>
                      <w:szCs w:val="24"/>
                      <w:highlight w:val="none"/>
                    </w:rPr>
                  </w:pPr>
                  <w:r>
                    <w:rPr>
                      <w:rFonts w:hint="default" w:ascii="Times New Roman" w:hAnsi="Times New Roman" w:eastAsia="宋体" w:cs="Times New Roman"/>
                      <w:b/>
                      <w:color w:val="auto"/>
                      <w:kern w:val="0"/>
                      <w:sz w:val="21"/>
                      <w:szCs w:val="24"/>
                      <w:highlight w:val="none"/>
                    </w:rPr>
                    <w:t>生态保护措施要求</w:t>
                  </w:r>
                </w:p>
              </w:tc>
              <w:tc>
                <w:tcPr>
                  <w:tcW w:w="475" w:type="pct"/>
                  <w:tcBorders>
                    <w:top w:val="single" w:color="auto" w:sz="12"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b/>
                      <w:color w:val="auto"/>
                      <w:kern w:val="0"/>
                      <w:sz w:val="21"/>
                      <w:szCs w:val="24"/>
                      <w:highlight w:val="none"/>
                    </w:rPr>
                  </w:pPr>
                  <w:r>
                    <w:rPr>
                      <w:rFonts w:hint="default" w:ascii="Times New Roman" w:hAnsi="Times New Roman" w:eastAsia="宋体" w:cs="Times New Roman"/>
                      <w:b/>
                      <w:color w:val="auto"/>
                      <w:kern w:val="0"/>
                      <w:sz w:val="21"/>
                      <w:szCs w:val="24"/>
                      <w:highlight w:val="none"/>
                    </w:rPr>
                    <w:t>实施部位</w:t>
                  </w:r>
                </w:p>
              </w:tc>
              <w:tc>
                <w:tcPr>
                  <w:tcW w:w="429" w:type="pct"/>
                  <w:tcBorders>
                    <w:top w:val="single" w:color="auto" w:sz="12"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b/>
                      <w:color w:val="auto"/>
                      <w:kern w:val="0"/>
                      <w:sz w:val="21"/>
                      <w:szCs w:val="24"/>
                      <w:highlight w:val="none"/>
                    </w:rPr>
                  </w:pPr>
                  <w:r>
                    <w:rPr>
                      <w:rFonts w:hint="default" w:ascii="Times New Roman" w:hAnsi="Times New Roman" w:eastAsia="宋体" w:cs="Times New Roman"/>
                      <w:b/>
                      <w:color w:val="auto"/>
                      <w:kern w:val="0"/>
                      <w:sz w:val="21"/>
                      <w:szCs w:val="24"/>
                      <w:highlight w:val="none"/>
                    </w:rPr>
                    <w:t>实施时间</w:t>
                  </w:r>
                </w:p>
              </w:tc>
              <w:tc>
                <w:tcPr>
                  <w:tcW w:w="430" w:type="pct"/>
                  <w:tcBorders>
                    <w:top w:val="single" w:color="auto" w:sz="12"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b/>
                      <w:color w:val="auto"/>
                      <w:kern w:val="0"/>
                      <w:sz w:val="21"/>
                      <w:szCs w:val="24"/>
                      <w:highlight w:val="none"/>
                    </w:rPr>
                  </w:pPr>
                  <w:r>
                    <w:rPr>
                      <w:rFonts w:hint="default" w:ascii="Times New Roman" w:hAnsi="Times New Roman" w:eastAsia="宋体" w:cs="Times New Roman"/>
                      <w:b/>
                      <w:color w:val="auto"/>
                      <w:kern w:val="0"/>
                      <w:sz w:val="21"/>
                      <w:szCs w:val="24"/>
                      <w:highlight w:val="none"/>
                    </w:rPr>
                    <w:t>责任主体</w:t>
                  </w:r>
                </w:p>
              </w:tc>
              <w:tc>
                <w:tcPr>
                  <w:tcW w:w="735" w:type="pct"/>
                  <w:tcBorders>
                    <w:top w:val="single" w:color="auto" w:sz="12"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b/>
                      <w:color w:val="auto"/>
                      <w:kern w:val="0"/>
                      <w:sz w:val="21"/>
                      <w:szCs w:val="24"/>
                      <w:highlight w:val="none"/>
                    </w:rPr>
                  </w:pPr>
                  <w:r>
                    <w:rPr>
                      <w:rFonts w:hint="default" w:ascii="Times New Roman" w:hAnsi="Times New Roman" w:eastAsia="宋体" w:cs="Times New Roman"/>
                      <w:b/>
                      <w:color w:val="auto"/>
                      <w:kern w:val="0"/>
                      <w:sz w:val="21"/>
                      <w:szCs w:val="24"/>
                      <w:highlight w:val="none"/>
                    </w:rPr>
                    <w:t>实施保障</w:t>
                  </w:r>
                </w:p>
              </w:tc>
              <w:tc>
                <w:tcPr>
                  <w:tcW w:w="990" w:type="pct"/>
                  <w:tcBorders>
                    <w:top w:val="single" w:color="auto" w:sz="12"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b/>
                      <w:color w:val="auto"/>
                      <w:kern w:val="0"/>
                      <w:sz w:val="21"/>
                      <w:szCs w:val="24"/>
                      <w:highlight w:val="none"/>
                    </w:rPr>
                  </w:pPr>
                  <w:r>
                    <w:rPr>
                      <w:rFonts w:hint="default" w:ascii="Times New Roman" w:hAnsi="Times New Roman" w:eastAsia="宋体" w:cs="Times New Roman"/>
                      <w:b/>
                      <w:color w:val="auto"/>
                      <w:kern w:val="0"/>
                      <w:sz w:val="21"/>
                      <w:szCs w:val="24"/>
                      <w:highlight w:val="none"/>
                    </w:rPr>
                    <w:t>实施效果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 w:type="pct"/>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r>
                    <w:rPr>
                      <w:rFonts w:hint="default" w:ascii="Times New Roman" w:hAnsi="Times New Roman" w:eastAsia="宋体" w:cs="Times New Roman"/>
                      <w:color w:val="auto"/>
                      <w:kern w:val="0"/>
                      <w:sz w:val="21"/>
                      <w:szCs w:val="24"/>
                      <w:highlight w:val="none"/>
                    </w:rPr>
                    <w:t>1</w:t>
                  </w:r>
                </w:p>
              </w:tc>
              <w:tc>
                <w:tcPr>
                  <w:tcW w:w="16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left"/>
                    <w:rPr>
                      <w:rFonts w:hint="default" w:ascii="Times New Roman" w:hAnsi="Times New Roman" w:eastAsia="宋体" w:cs="Times New Roman"/>
                      <w:color w:val="auto"/>
                      <w:kern w:val="0"/>
                      <w:sz w:val="21"/>
                      <w:szCs w:val="24"/>
                      <w:highlight w:val="none"/>
                      <w:lang w:val="en-US" w:eastAsia="zh-CN"/>
                    </w:rPr>
                  </w:pPr>
                  <w:r>
                    <w:rPr>
                      <w:rFonts w:hint="default" w:ascii="Times New Roman" w:hAnsi="Times New Roman" w:eastAsia="宋体" w:cs="Times New Roman"/>
                      <w:color w:val="auto"/>
                      <w:kern w:val="0"/>
                      <w:sz w:val="21"/>
                      <w:szCs w:val="24"/>
                      <w:highlight w:val="none"/>
                    </w:rPr>
                    <w:t>运营期利用已有作为巡检道路。</w:t>
                  </w:r>
                  <w:r>
                    <w:rPr>
                      <w:rFonts w:hint="default" w:ascii="Times New Roman" w:hAnsi="Times New Roman" w:eastAsia="宋体" w:cs="Times New Roman"/>
                      <w:color w:val="auto"/>
                      <w:kern w:val="0"/>
                      <w:sz w:val="21"/>
                      <w:szCs w:val="24"/>
                      <w:highlight w:val="none"/>
                      <w:lang w:val="en-US" w:eastAsia="zh-CN"/>
                    </w:rPr>
                    <w:t>铁塔设置防鸟刺。</w:t>
                  </w:r>
                </w:p>
              </w:tc>
              <w:tc>
                <w:tcPr>
                  <w:tcW w:w="475"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r>
                    <w:rPr>
                      <w:rFonts w:hint="default" w:ascii="Times New Roman" w:hAnsi="Times New Roman" w:eastAsia="宋体" w:cs="Times New Roman"/>
                      <w:color w:val="auto"/>
                      <w:kern w:val="0"/>
                      <w:sz w:val="21"/>
                      <w:szCs w:val="24"/>
                      <w:highlight w:val="none"/>
                    </w:rPr>
                    <w:t>工程生产运营场所、区域</w:t>
                  </w:r>
                </w:p>
              </w:tc>
              <w:tc>
                <w:tcPr>
                  <w:tcW w:w="42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r>
                    <w:rPr>
                      <w:rFonts w:hint="default" w:ascii="Times New Roman" w:hAnsi="Times New Roman" w:eastAsia="宋体" w:cs="Times New Roman"/>
                      <w:color w:val="auto"/>
                      <w:kern w:val="0"/>
                      <w:sz w:val="21"/>
                      <w:szCs w:val="24"/>
                      <w:highlight w:val="none"/>
                    </w:rPr>
                    <w:t>运营期</w:t>
                  </w:r>
                </w:p>
              </w:tc>
              <w:tc>
                <w:tcPr>
                  <w:tcW w:w="430"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r>
                    <w:rPr>
                      <w:rFonts w:hint="default" w:ascii="Times New Roman" w:hAnsi="Times New Roman" w:eastAsia="宋体" w:cs="Times New Roman"/>
                      <w:color w:val="auto"/>
                      <w:kern w:val="0"/>
                      <w:sz w:val="21"/>
                      <w:szCs w:val="24"/>
                      <w:highlight w:val="none"/>
                    </w:rPr>
                    <w:t>建设单位</w:t>
                  </w:r>
                </w:p>
              </w:tc>
              <w:tc>
                <w:tcPr>
                  <w:tcW w:w="735"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rPr>
                      <w:rFonts w:hint="default" w:ascii="Times New Roman" w:hAnsi="Times New Roman" w:eastAsia="宋体" w:cs="Times New Roman"/>
                      <w:color w:val="auto"/>
                      <w:kern w:val="0"/>
                      <w:sz w:val="21"/>
                      <w:szCs w:val="24"/>
                      <w:highlight w:val="none"/>
                    </w:rPr>
                  </w:pPr>
                  <w:r>
                    <w:rPr>
                      <w:rFonts w:hint="default" w:ascii="Times New Roman" w:hAnsi="Times New Roman" w:eastAsia="宋体" w:cs="Times New Roman"/>
                      <w:color w:val="auto"/>
                      <w:kern w:val="0"/>
                      <w:sz w:val="21"/>
                      <w:szCs w:val="24"/>
                      <w:highlight w:val="none"/>
                    </w:rPr>
                    <w:t>①建立环境管理机构，配备专职或兼职环保管理人员；</w:t>
                  </w:r>
                </w:p>
                <w:p>
                  <w:pPr>
                    <w:keepNext w:val="0"/>
                    <w:keepLines w:val="0"/>
                    <w:widowControl/>
                    <w:suppressLineNumbers w:val="0"/>
                    <w:adjustRightInd w:val="0"/>
                    <w:snapToGrid w:val="0"/>
                    <w:spacing w:before="0" w:beforeLines="0" w:beforeAutospacing="0" w:after="0" w:afterLines="0" w:afterAutospacing="0"/>
                    <w:ind w:left="0" w:right="0"/>
                    <w:rPr>
                      <w:rFonts w:hint="default" w:ascii="Times New Roman" w:hAnsi="Times New Roman" w:eastAsia="宋体" w:cs="Times New Roman"/>
                      <w:color w:val="auto"/>
                      <w:kern w:val="0"/>
                      <w:sz w:val="21"/>
                      <w:szCs w:val="24"/>
                      <w:highlight w:val="none"/>
                    </w:rPr>
                  </w:pPr>
                  <w:r>
                    <w:rPr>
                      <w:rFonts w:hint="default" w:ascii="Times New Roman" w:hAnsi="Times New Roman" w:eastAsia="宋体" w:cs="Times New Roman"/>
                      <w:color w:val="auto"/>
                      <w:kern w:val="0"/>
                      <w:sz w:val="21"/>
                      <w:szCs w:val="24"/>
                      <w:highlight w:val="none"/>
                    </w:rPr>
                    <w:t>②制定相关方环境管理条例、质量管理规定；</w:t>
                  </w:r>
                </w:p>
                <w:p>
                  <w:pPr>
                    <w:keepNext w:val="0"/>
                    <w:keepLines w:val="0"/>
                    <w:widowControl/>
                    <w:suppressLineNumbers w:val="0"/>
                    <w:adjustRightInd w:val="0"/>
                    <w:snapToGrid w:val="0"/>
                    <w:spacing w:before="0" w:beforeLines="0" w:beforeAutospacing="0" w:after="0" w:afterLines="0" w:afterAutospacing="0"/>
                    <w:ind w:left="0" w:right="0"/>
                    <w:rPr>
                      <w:rFonts w:hint="default" w:ascii="Times New Roman" w:hAnsi="Times New Roman" w:eastAsia="宋体" w:cs="Times New Roman"/>
                      <w:color w:val="auto"/>
                      <w:kern w:val="0"/>
                      <w:sz w:val="21"/>
                      <w:szCs w:val="24"/>
                      <w:highlight w:val="none"/>
                    </w:rPr>
                  </w:pPr>
                  <w:r>
                    <w:rPr>
                      <w:rFonts w:hint="default" w:ascii="Times New Roman" w:hAnsi="Times New Roman" w:eastAsia="宋体" w:cs="Times New Roman"/>
                      <w:color w:val="auto"/>
                      <w:kern w:val="0"/>
                      <w:sz w:val="21"/>
                      <w:szCs w:val="24"/>
                      <w:highlight w:val="none"/>
                    </w:rPr>
                    <w:t>③开展经常性检查、监督，发现问题及时解决、纠正</w:t>
                  </w:r>
                </w:p>
              </w:tc>
              <w:tc>
                <w:tcPr>
                  <w:tcW w:w="990" w:type="pct"/>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r>
                    <w:rPr>
                      <w:rFonts w:hint="default" w:ascii="Times New Roman" w:hAnsi="Times New Roman" w:eastAsia="宋体" w:cs="Times New Roman"/>
                      <w:color w:val="auto"/>
                      <w:kern w:val="0"/>
                      <w:sz w:val="21"/>
                      <w:szCs w:val="24"/>
                      <w:highlight w:val="none"/>
                    </w:rPr>
                    <w:t>运行期巡检对生态环境影响很小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 w:type="pct"/>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r>
                    <w:rPr>
                      <w:rFonts w:hint="default" w:ascii="Times New Roman" w:hAnsi="Times New Roman" w:eastAsia="宋体" w:cs="Times New Roman"/>
                      <w:color w:val="auto"/>
                      <w:kern w:val="0"/>
                      <w:sz w:val="21"/>
                      <w:szCs w:val="24"/>
                      <w:highlight w:val="none"/>
                    </w:rPr>
                    <w:t>2</w:t>
                  </w:r>
                </w:p>
              </w:tc>
              <w:tc>
                <w:tcPr>
                  <w:tcW w:w="16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sz w:val="21"/>
                      <w:szCs w:val="24"/>
                      <w:highlight w:val="none"/>
                    </w:rPr>
                  </w:pPr>
                  <w:r>
                    <w:rPr>
                      <w:rFonts w:hint="default" w:ascii="Times New Roman" w:hAnsi="Times New Roman" w:eastAsia="宋体" w:cs="Times New Roman"/>
                      <w:color w:val="auto"/>
                      <w:sz w:val="21"/>
                      <w:szCs w:val="24"/>
                      <w:highlight w:val="none"/>
                    </w:rPr>
                    <w:t>加强对变电站及线路沿线声环境监测，及时发现问题并按照相关要求进行处理。</w:t>
                  </w:r>
                </w:p>
              </w:tc>
              <w:tc>
                <w:tcPr>
                  <w:tcW w:w="475"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left"/>
                    <w:rPr>
                      <w:rFonts w:hint="default" w:ascii="Times New Roman" w:hAnsi="Times New Roman" w:eastAsia="宋体" w:cs="Times New Roman"/>
                      <w:color w:val="auto"/>
                      <w:kern w:val="0"/>
                      <w:sz w:val="21"/>
                      <w:szCs w:val="24"/>
                      <w:highlight w:val="none"/>
                    </w:rPr>
                  </w:pPr>
                </w:p>
              </w:tc>
              <w:tc>
                <w:tcPr>
                  <w:tcW w:w="42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p>
              </w:tc>
              <w:tc>
                <w:tcPr>
                  <w:tcW w:w="430"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p>
              </w:tc>
              <w:tc>
                <w:tcPr>
                  <w:tcW w:w="735"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left"/>
                    <w:rPr>
                      <w:rFonts w:hint="default" w:ascii="Times New Roman" w:hAnsi="Times New Roman" w:eastAsia="宋体" w:cs="Times New Roman"/>
                      <w:color w:val="auto"/>
                      <w:kern w:val="0"/>
                      <w:sz w:val="21"/>
                      <w:szCs w:val="24"/>
                      <w:highlight w:val="none"/>
                    </w:rPr>
                  </w:pPr>
                </w:p>
              </w:tc>
              <w:tc>
                <w:tcPr>
                  <w:tcW w:w="990" w:type="pct"/>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sz w:val="21"/>
                      <w:szCs w:val="24"/>
                      <w:highlight w:val="none"/>
                    </w:rPr>
                  </w:pPr>
                  <w:r>
                    <w:rPr>
                      <w:rFonts w:hint="default" w:ascii="Times New Roman" w:hAnsi="Times New Roman" w:eastAsia="宋体" w:cs="Times New Roman"/>
                      <w:color w:val="auto"/>
                      <w:sz w:val="21"/>
                      <w:szCs w:val="24"/>
                      <w:highlight w:val="none"/>
                    </w:rPr>
                    <w:t>变电站厂界及线路沿线声环境达标</w:t>
                  </w:r>
                  <w:r>
                    <w:rPr>
                      <w:rFonts w:hint="default" w:ascii="Times New Roman" w:hAnsi="Times New Roman" w:eastAsia="宋体" w:cs="Times New Roman"/>
                      <w:color w:val="auto"/>
                      <w:spacing w:val="-4"/>
                      <w:sz w:val="21"/>
                      <w:szCs w:val="24"/>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 w:type="pct"/>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r>
                    <w:rPr>
                      <w:rFonts w:hint="default" w:ascii="Times New Roman" w:hAnsi="Times New Roman" w:eastAsia="宋体" w:cs="Times New Roman"/>
                      <w:color w:val="auto"/>
                      <w:kern w:val="0"/>
                      <w:sz w:val="21"/>
                      <w:szCs w:val="24"/>
                      <w:highlight w:val="none"/>
                    </w:rPr>
                    <w:t>3</w:t>
                  </w:r>
                </w:p>
              </w:tc>
              <w:tc>
                <w:tcPr>
                  <w:tcW w:w="16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sz w:val="21"/>
                      <w:szCs w:val="24"/>
                      <w:highlight w:val="none"/>
                    </w:rPr>
                  </w:pPr>
                  <w:r>
                    <w:rPr>
                      <w:rFonts w:hint="default" w:ascii="Times New Roman" w:hAnsi="Times New Roman" w:eastAsia="宋体" w:cs="Times New Roman"/>
                      <w:color w:val="auto"/>
                      <w:sz w:val="21"/>
                      <w:szCs w:val="24"/>
                      <w:highlight w:val="none"/>
                    </w:rPr>
                    <w:t>生活垃圾采用垃圾箱临时存放，统一运至县生活垃圾填埋场处理；变电站设有建设事故贮油池；每个变压器底部设置地下钢筋混凝土贮油坑；事故油</w:t>
                  </w:r>
                  <w:r>
                    <w:rPr>
                      <w:rFonts w:hint="default" w:ascii="Times New Roman" w:hAnsi="Times New Roman" w:eastAsia="宋体" w:cs="Times New Roman"/>
                      <w:color w:val="auto"/>
                      <w:sz w:val="21"/>
                      <w:szCs w:val="24"/>
                      <w:highlight w:val="none"/>
                      <w:lang w:eastAsia="zh-CN"/>
                    </w:rPr>
                    <w:t>、</w:t>
                  </w:r>
                  <w:r>
                    <w:rPr>
                      <w:rFonts w:hint="default" w:ascii="Times New Roman" w:hAnsi="Times New Roman" w:eastAsia="宋体" w:cs="Times New Roman"/>
                      <w:color w:val="auto"/>
                      <w:sz w:val="21"/>
                      <w:szCs w:val="24"/>
                      <w:highlight w:val="none"/>
                    </w:rPr>
                    <w:t>废铅蓄电池委托有资质的单位处置。废电气设备交由有相应资质单位回收处理。</w:t>
                  </w:r>
                </w:p>
              </w:tc>
              <w:tc>
                <w:tcPr>
                  <w:tcW w:w="475"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left"/>
                    <w:rPr>
                      <w:rFonts w:hint="default" w:ascii="Times New Roman" w:hAnsi="Times New Roman" w:eastAsia="宋体" w:cs="Times New Roman"/>
                      <w:color w:val="auto"/>
                      <w:kern w:val="0"/>
                      <w:sz w:val="21"/>
                      <w:szCs w:val="24"/>
                      <w:highlight w:val="none"/>
                    </w:rPr>
                  </w:pPr>
                </w:p>
              </w:tc>
              <w:tc>
                <w:tcPr>
                  <w:tcW w:w="42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p>
              </w:tc>
              <w:tc>
                <w:tcPr>
                  <w:tcW w:w="430"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p>
              </w:tc>
              <w:tc>
                <w:tcPr>
                  <w:tcW w:w="735"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left"/>
                    <w:rPr>
                      <w:rFonts w:hint="default" w:ascii="Times New Roman" w:hAnsi="Times New Roman" w:eastAsia="宋体" w:cs="Times New Roman"/>
                      <w:color w:val="auto"/>
                      <w:kern w:val="0"/>
                      <w:sz w:val="21"/>
                      <w:szCs w:val="24"/>
                      <w:highlight w:val="none"/>
                    </w:rPr>
                  </w:pPr>
                </w:p>
              </w:tc>
              <w:tc>
                <w:tcPr>
                  <w:tcW w:w="990" w:type="pct"/>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sz w:val="21"/>
                      <w:szCs w:val="24"/>
                      <w:highlight w:val="none"/>
                    </w:rPr>
                  </w:pPr>
                  <w:r>
                    <w:rPr>
                      <w:rFonts w:hint="default" w:ascii="Times New Roman" w:hAnsi="Times New Roman" w:eastAsia="宋体" w:cs="Times New Roman"/>
                      <w:color w:val="auto"/>
                      <w:sz w:val="21"/>
                      <w:szCs w:val="24"/>
                      <w:highlight w:val="none"/>
                    </w:rPr>
                    <w:t>各类固体废弃物能够妥善处置，事故油池容积满足事故排油需求，容量按100%最大单台变压器油量设计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 w:type="pct"/>
                  <w:tcBorders>
                    <w:top w:val="single" w:color="auto" w:sz="4" w:space="0"/>
                    <w:left w:val="single" w:color="auto" w:sz="12"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r>
                    <w:rPr>
                      <w:rFonts w:hint="default" w:ascii="Times New Roman" w:hAnsi="Times New Roman" w:eastAsia="宋体" w:cs="Times New Roman"/>
                      <w:color w:val="auto"/>
                      <w:kern w:val="0"/>
                      <w:sz w:val="21"/>
                      <w:szCs w:val="24"/>
                      <w:highlight w:val="none"/>
                    </w:rPr>
                    <w:t>4</w:t>
                  </w:r>
                </w:p>
              </w:tc>
              <w:tc>
                <w:tcPr>
                  <w:tcW w:w="1648" w:type="pct"/>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sz w:val="21"/>
                      <w:szCs w:val="24"/>
                      <w:highlight w:val="none"/>
                    </w:rPr>
                  </w:pPr>
                  <w:r>
                    <w:rPr>
                      <w:rFonts w:hint="default" w:ascii="Times New Roman" w:hAnsi="Times New Roman" w:eastAsia="宋体" w:cs="Times New Roman"/>
                      <w:color w:val="auto"/>
                      <w:sz w:val="21"/>
                      <w:szCs w:val="24"/>
                      <w:highlight w:val="none"/>
                    </w:rPr>
                    <w:t>变电站按功能分区布置；制定安全操作规程，加强职工安全教育，加强电磁水平监测；对员工进行电磁环境基础知识培训，在巡检带电维修过程中，尽可能减少暴露在电磁场中的时间；设立电磁防护安全警示标志，禁止无关人员靠近带电架构等</w:t>
                  </w:r>
                </w:p>
              </w:tc>
              <w:tc>
                <w:tcPr>
                  <w:tcW w:w="475"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left"/>
                    <w:rPr>
                      <w:rFonts w:hint="default" w:ascii="Times New Roman" w:hAnsi="Times New Roman" w:eastAsia="宋体" w:cs="Times New Roman"/>
                      <w:color w:val="auto"/>
                      <w:kern w:val="0"/>
                      <w:sz w:val="21"/>
                      <w:szCs w:val="24"/>
                      <w:highlight w:val="none"/>
                    </w:rPr>
                  </w:pPr>
                </w:p>
              </w:tc>
              <w:tc>
                <w:tcPr>
                  <w:tcW w:w="42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p>
              </w:tc>
              <w:tc>
                <w:tcPr>
                  <w:tcW w:w="430"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p>
              </w:tc>
              <w:tc>
                <w:tcPr>
                  <w:tcW w:w="735"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left"/>
                    <w:rPr>
                      <w:rFonts w:hint="default" w:ascii="Times New Roman" w:hAnsi="Times New Roman" w:eastAsia="宋体" w:cs="Times New Roman"/>
                      <w:color w:val="auto"/>
                      <w:kern w:val="0"/>
                      <w:sz w:val="21"/>
                      <w:szCs w:val="24"/>
                      <w:highlight w:val="none"/>
                    </w:rPr>
                  </w:pPr>
                </w:p>
              </w:tc>
              <w:tc>
                <w:tcPr>
                  <w:tcW w:w="990" w:type="pct"/>
                  <w:tcBorders>
                    <w:top w:val="single" w:color="auto" w:sz="4" w:space="0"/>
                    <w:left w:val="single" w:color="auto" w:sz="4" w:space="0"/>
                    <w:bottom w:val="single" w:color="auto" w:sz="4" w:space="0"/>
                    <w:right w:val="single" w:color="auto" w:sz="12"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sz w:val="21"/>
                      <w:szCs w:val="24"/>
                      <w:highlight w:val="none"/>
                    </w:rPr>
                  </w:pPr>
                  <w:r>
                    <w:rPr>
                      <w:rFonts w:hint="default" w:ascii="Times New Roman" w:hAnsi="Times New Roman" w:eastAsia="宋体" w:cs="Times New Roman"/>
                      <w:color w:val="auto"/>
                      <w:sz w:val="21"/>
                      <w:szCs w:val="24"/>
                      <w:highlight w:val="none"/>
                    </w:rPr>
                    <w:t>变电站及线路运行时电磁环境满足《电磁环境控制限值》</w:t>
                  </w:r>
                  <w:r>
                    <w:rPr>
                      <w:rFonts w:hint="eastAsia" w:ascii="Times New Roman" w:hAnsi="Times New Roman" w:cs="Times New Roman"/>
                      <w:color w:val="auto"/>
                      <w:sz w:val="21"/>
                      <w:szCs w:val="24"/>
                      <w:highlight w:val="none"/>
                      <w:lang w:eastAsia="zh-CN"/>
                    </w:rPr>
                    <w:t>（</w:t>
                  </w:r>
                  <w:r>
                    <w:rPr>
                      <w:rFonts w:hint="default" w:ascii="Times New Roman" w:hAnsi="Times New Roman" w:eastAsia="宋体" w:cs="Times New Roman"/>
                      <w:color w:val="auto"/>
                      <w:sz w:val="21"/>
                      <w:szCs w:val="24"/>
                      <w:highlight w:val="none"/>
                    </w:rPr>
                    <w:t>GB8702-2014</w:t>
                  </w:r>
                  <w:r>
                    <w:rPr>
                      <w:rFonts w:hint="eastAsia" w:ascii="Times New Roman" w:hAnsi="Times New Roman" w:cs="Times New Roman"/>
                      <w:color w:val="auto"/>
                      <w:sz w:val="21"/>
                      <w:szCs w:val="24"/>
                      <w:highlight w:val="none"/>
                      <w:lang w:eastAsia="zh-CN"/>
                    </w:rPr>
                    <w:t>）</w:t>
                  </w:r>
                  <w:r>
                    <w:rPr>
                      <w:rFonts w:hint="default" w:ascii="Times New Roman" w:hAnsi="Times New Roman" w:eastAsia="宋体" w:cs="Times New Roman"/>
                      <w:color w:val="auto"/>
                      <w:sz w:val="21"/>
                      <w:szCs w:val="24"/>
                      <w:highlight w:val="none"/>
                    </w:rPr>
                    <w:t>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288" w:type="pct"/>
                  <w:tcBorders>
                    <w:top w:val="single" w:color="auto" w:sz="4" w:space="0"/>
                    <w:left w:val="single" w:color="auto" w:sz="12" w:space="0"/>
                    <w:bottom w:val="single" w:color="auto" w:sz="12"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r>
                    <w:rPr>
                      <w:rFonts w:hint="default" w:ascii="Times New Roman" w:hAnsi="Times New Roman" w:eastAsia="宋体" w:cs="Times New Roman"/>
                      <w:color w:val="auto"/>
                      <w:kern w:val="0"/>
                      <w:sz w:val="21"/>
                      <w:szCs w:val="24"/>
                      <w:highlight w:val="none"/>
                    </w:rPr>
                    <w:t>5</w:t>
                  </w:r>
                </w:p>
              </w:tc>
              <w:tc>
                <w:tcPr>
                  <w:tcW w:w="1648" w:type="pct"/>
                  <w:tcBorders>
                    <w:top w:val="single" w:color="auto" w:sz="4" w:space="0"/>
                    <w:left w:val="single" w:color="auto" w:sz="4" w:space="0"/>
                    <w:bottom w:val="single" w:color="auto" w:sz="12"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rPr>
                      <w:rFonts w:hint="default" w:ascii="Times New Roman" w:hAnsi="Times New Roman" w:eastAsia="宋体" w:cs="Times New Roman"/>
                      <w:color w:val="auto"/>
                      <w:sz w:val="21"/>
                      <w:szCs w:val="24"/>
                      <w:highlight w:val="none"/>
                    </w:rPr>
                  </w:pPr>
                  <w:r>
                    <w:rPr>
                      <w:rFonts w:hint="default" w:ascii="Times New Roman" w:hAnsi="Times New Roman" w:eastAsia="宋体" w:cs="Times New Roman"/>
                      <w:color w:val="auto"/>
                      <w:sz w:val="21"/>
                      <w:szCs w:val="24"/>
                      <w:highlight w:val="none"/>
                    </w:rPr>
                    <w:t>工程环保竣工验收监测一次，建设单位组织开展定期监测</w:t>
                  </w:r>
                </w:p>
              </w:tc>
              <w:tc>
                <w:tcPr>
                  <w:tcW w:w="475" w:type="pct"/>
                  <w:vMerge w:val="continue"/>
                  <w:tcBorders>
                    <w:top w:val="single" w:color="auto" w:sz="4" w:space="0"/>
                    <w:left w:val="single" w:color="auto" w:sz="4" w:space="0"/>
                    <w:bottom w:val="single" w:color="auto" w:sz="12"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left"/>
                    <w:rPr>
                      <w:rFonts w:hint="default" w:ascii="Times New Roman" w:hAnsi="Times New Roman" w:eastAsia="宋体" w:cs="Times New Roman"/>
                      <w:color w:val="auto"/>
                      <w:kern w:val="0"/>
                      <w:sz w:val="21"/>
                      <w:szCs w:val="24"/>
                      <w:highlight w:val="none"/>
                    </w:rPr>
                  </w:pPr>
                </w:p>
              </w:tc>
              <w:tc>
                <w:tcPr>
                  <w:tcW w:w="429" w:type="pct"/>
                  <w:vMerge w:val="continue"/>
                  <w:tcBorders>
                    <w:top w:val="single" w:color="auto" w:sz="4" w:space="0"/>
                    <w:left w:val="single" w:color="auto" w:sz="4" w:space="0"/>
                    <w:bottom w:val="single" w:color="auto" w:sz="12"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p>
              </w:tc>
              <w:tc>
                <w:tcPr>
                  <w:tcW w:w="430" w:type="pct"/>
                  <w:vMerge w:val="continue"/>
                  <w:tcBorders>
                    <w:top w:val="single" w:color="auto" w:sz="4" w:space="0"/>
                    <w:left w:val="single" w:color="auto" w:sz="4" w:space="0"/>
                    <w:bottom w:val="single" w:color="auto" w:sz="12" w:space="0"/>
                    <w:right w:val="single" w:color="auto" w:sz="4"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kern w:val="0"/>
                      <w:sz w:val="21"/>
                      <w:szCs w:val="24"/>
                      <w:highlight w:val="none"/>
                    </w:rPr>
                  </w:pPr>
                </w:p>
              </w:tc>
              <w:tc>
                <w:tcPr>
                  <w:tcW w:w="735" w:type="pct"/>
                  <w:vMerge w:val="continue"/>
                  <w:tcBorders>
                    <w:top w:val="single" w:color="auto" w:sz="4" w:space="0"/>
                    <w:left w:val="single" w:color="auto" w:sz="4" w:space="0"/>
                    <w:bottom w:val="single" w:color="auto" w:sz="12" w:space="0"/>
                    <w:right w:val="single" w:color="auto" w:sz="4" w:space="0"/>
                    <w:tl2br w:val="nil"/>
                    <w:tr2bl w:val="nil"/>
                  </w:tcBorders>
                  <w:noWrap w:val="0"/>
                  <w:vAlign w:val="center"/>
                </w:tcPr>
                <w:p>
                  <w:pPr>
                    <w:keepNext w:val="0"/>
                    <w:keepLines w:val="0"/>
                    <w:widowControl/>
                    <w:suppressLineNumbers w:val="0"/>
                    <w:spacing w:before="0" w:beforeLines="0" w:beforeAutospacing="0" w:after="0" w:afterLines="0" w:afterAutospacing="0"/>
                    <w:ind w:left="0" w:right="0"/>
                    <w:jc w:val="left"/>
                    <w:rPr>
                      <w:rFonts w:hint="default" w:ascii="Times New Roman" w:hAnsi="Times New Roman" w:eastAsia="宋体" w:cs="Times New Roman"/>
                      <w:color w:val="auto"/>
                      <w:kern w:val="0"/>
                      <w:sz w:val="21"/>
                      <w:szCs w:val="24"/>
                      <w:highlight w:val="none"/>
                    </w:rPr>
                  </w:pPr>
                </w:p>
              </w:tc>
              <w:tc>
                <w:tcPr>
                  <w:tcW w:w="990" w:type="pct"/>
                  <w:tcBorders>
                    <w:top w:val="single" w:color="auto" w:sz="4" w:space="0"/>
                    <w:left w:val="single" w:color="auto" w:sz="4" w:space="0"/>
                    <w:bottom w:val="single" w:color="auto" w:sz="12" w:space="0"/>
                    <w:right w:val="single" w:color="auto" w:sz="12" w:space="0"/>
                    <w:tl2br w:val="nil"/>
                    <w:tr2bl w:val="nil"/>
                  </w:tcBorders>
                  <w:noWrap w:val="0"/>
                  <w:vAlign w:val="center"/>
                </w:tcPr>
                <w:p>
                  <w:pPr>
                    <w:keepNext w:val="0"/>
                    <w:keepLines w:val="0"/>
                    <w:widowControl/>
                    <w:suppressLineNumbers w:val="0"/>
                    <w:adjustRightInd w:val="0"/>
                    <w:snapToGrid w:val="0"/>
                    <w:spacing w:before="0" w:beforeLines="0" w:beforeAutospacing="0" w:after="0" w:afterLines="0" w:afterAutospacing="0"/>
                    <w:ind w:left="0" w:right="0"/>
                    <w:jc w:val="center"/>
                    <w:rPr>
                      <w:rFonts w:hint="default" w:ascii="Times New Roman" w:hAnsi="Times New Roman" w:eastAsia="宋体" w:cs="Times New Roman"/>
                      <w:color w:val="auto"/>
                      <w:sz w:val="21"/>
                      <w:szCs w:val="24"/>
                      <w:highlight w:val="none"/>
                    </w:rPr>
                  </w:pPr>
                  <w:r>
                    <w:rPr>
                      <w:rFonts w:hint="default" w:ascii="Times New Roman" w:hAnsi="Times New Roman" w:eastAsia="宋体" w:cs="Times New Roman"/>
                      <w:color w:val="auto"/>
                      <w:sz w:val="21"/>
                      <w:szCs w:val="24"/>
                      <w:highlight w:val="none"/>
                    </w:rPr>
                    <w:t>监测结果达标</w:t>
                  </w:r>
                </w:p>
              </w:tc>
            </w:tr>
          </w:tbl>
          <w:p>
            <w:pPr>
              <w:keepNext w:val="0"/>
              <w:keepLines w:val="0"/>
              <w:widowControl/>
              <w:suppressLineNumbers w:val="0"/>
              <w:adjustRightInd w:val="0"/>
              <w:snapToGrid w:val="0"/>
              <w:spacing w:before="0" w:beforeAutospacing="0" w:after="0" w:afterAutospacing="0" w:line="360" w:lineRule="auto"/>
              <w:ind w:left="0" w:right="0"/>
              <w:rPr>
                <w:rFonts w:hint="default" w:ascii="Times New Roman" w:hAnsi="Times New Roman" w:eastAsia="宋体" w:cs="Times New Roman"/>
                <w:color w:val="auto"/>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753" w:type="dxa"/>
            <w:noWrap/>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spacing w:val="10"/>
                <w:szCs w:val="21"/>
                <w:highlight w:val="none"/>
              </w:rPr>
            </w:pPr>
            <w:bookmarkStart w:id="108" w:name="_Hlk202785859"/>
            <w:r>
              <w:rPr>
                <w:rFonts w:hint="default" w:ascii="Times New Roman" w:hAnsi="Times New Roman" w:eastAsia="宋体" w:cs="Times New Roman"/>
                <w:bCs/>
                <w:color w:val="auto"/>
                <w:highlight w:val="none"/>
              </w:rPr>
              <w:t>其他</w:t>
            </w:r>
          </w:p>
        </w:tc>
        <w:tc>
          <w:tcPr>
            <w:tcW w:w="8457" w:type="dxa"/>
            <w:noWrap/>
            <w:vAlign w:val="center"/>
          </w:tcPr>
          <w:p>
            <w:pPr>
              <w:keepNext w:val="0"/>
              <w:keepLines w:val="0"/>
              <w:widowControl/>
              <w:suppressLineNumbers w:val="0"/>
              <w:snapToGrid w:val="0"/>
              <w:spacing w:before="0" w:beforeAutospacing="0" w:after="0" w:afterAutospacing="0" w:line="360" w:lineRule="auto"/>
              <w:ind w:left="0" w:right="0"/>
              <w:rPr>
                <w:rFonts w:hint="default" w:ascii="Times New Roman" w:hAnsi="Times New Roman" w:eastAsia="宋体" w:cs="Times New Roman"/>
                <w:b/>
                <w:color w:val="auto"/>
                <w:highlight w:val="none"/>
              </w:rPr>
            </w:pPr>
            <w:r>
              <w:rPr>
                <w:rFonts w:hint="default" w:ascii="Times New Roman" w:hAnsi="Times New Roman" w:eastAsia="宋体" w:cs="Times New Roman"/>
                <w:b/>
                <w:color w:val="auto"/>
                <w:highlight w:val="none"/>
              </w:rPr>
              <w:t>1环境管理内容</w:t>
            </w:r>
          </w:p>
          <w:p>
            <w:pPr>
              <w:keepNext w:val="0"/>
              <w:keepLines w:val="0"/>
              <w:widowControl/>
              <w:suppressLineNumbers w:val="0"/>
              <w:snapToGrid w:val="0"/>
              <w:spacing w:before="0" w:beforeAutospacing="0" w:after="0" w:afterAutospacing="0"/>
              <w:ind w:left="0" w:right="0" w:firstLine="482" w:firstLineChars="200"/>
              <w:jc w:val="center"/>
              <w:rPr>
                <w:rFonts w:hint="default" w:ascii="Times New Roman" w:hAnsi="Times New Roman" w:eastAsia="宋体" w:cs="Times New Roman"/>
                <w:b/>
                <w:color w:val="auto"/>
                <w:highlight w:val="none"/>
              </w:rPr>
            </w:pPr>
            <w:r>
              <w:rPr>
                <w:rFonts w:hint="default" w:ascii="Times New Roman" w:hAnsi="Times New Roman" w:eastAsia="宋体" w:cs="Times New Roman"/>
                <w:b/>
                <w:bCs/>
                <w:color w:val="auto"/>
                <w:highlight w:val="none"/>
              </w:rPr>
              <w:t>表5-</w:t>
            </w:r>
            <w:r>
              <w:rPr>
                <w:rFonts w:hint="default" w:ascii="Times New Roman" w:hAnsi="Times New Roman" w:eastAsia="宋体" w:cs="Times New Roman"/>
                <w:b/>
                <w:bCs/>
                <w:color w:val="auto"/>
                <w:highlight w:val="none"/>
                <w:lang w:val="en-US" w:eastAsia="zh-CN"/>
              </w:rPr>
              <w:t>4</w:t>
            </w:r>
            <w:r>
              <w:rPr>
                <w:rFonts w:hint="default" w:ascii="Times New Roman" w:hAnsi="Times New Roman" w:eastAsia="宋体" w:cs="Times New Roman"/>
                <w:b/>
                <w:bCs/>
                <w:color w:val="auto"/>
                <w:highlight w:val="none"/>
              </w:rPr>
              <w:t xml:space="preserve"> 环境</w:t>
            </w:r>
            <w:r>
              <w:rPr>
                <w:rStyle w:val="46"/>
                <w:rFonts w:hint="default" w:ascii="Times New Roman" w:hAnsi="Times New Roman" w:eastAsia="宋体" w:cs="Times New Roman"/>
                <w:b/>
                <w:color w:val="auto"/>
                <w:highlight w:val="none"/>
              </w:rPr>
              <w:t>管理</w:t>
            </w:r>
            <w:r>
              <w:rPr>
                <w:rFonts w:hint="default" w:ascii="Times New Roman" w:hAnsi="Times New Roman" w:eastAsia="宋体" w:cs="Times New Roman"/>
                <w:b/>
                <w:bCs/>
                <w:color w:val="auto"/>
                <w:highlight w:val="none"/>
              </w:rPr>
              <w:t>汇总表</w:t>
            </w:r>
          </w:p>
          <w:tbl>
            <w:tblPr>
              <w:tblStyle w:val="28"/>
              <w:tblW w:w="4993"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66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6" w:hRule="atLeast"/>
              </w:trPr>
              <w:tc>
                <w:tcPr>
                  <w:tcW w:w="1558" w:type="dxa"/>
                  <w:tcBorders>
                    <w:tl2br w:val="nil"/>
                    <w:tr2bl w:val="nil"/>
                  </w:tcBorders>
                  <w:noWrap/>
                  <w:vAlign w:val="center"/>
                </w:tcPr>
                <w:p>
                  <w:pPr>
                    <w:pStyle w:val="49"/>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项目</w:t>
                  </w:r>
                </w:p>
              </w:tc>
              <w:tc>
                <w:tcPr>
                  <w:tcW w:w="6661" w:type="dxa"/>
                  <w:tcBorders>
                    <w:tl2br w:val="nil"/>
                    <w:tr2bl w:val="nil"/>
                  </w:tcBorders>
                  <w:noWrap/>
                  <w:vAlign w:val="center"/>
                </w:tcPr>
                <w:p>
                  <w:pPr>
                    <w:pStyle w:val="49"/>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管理内容及要求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1558" w:type="dxa"/>
                  <w:tcBorders>
                    <w:tl2br w:val="nil"/>
                    <w:tr2bl w:val="nil"/>
                  </w:tcBorders>
                  <w:noWrap/>
                  <w:vAlign w:val="center"/>
                </w:tcPr>
                <w:p>
                  <w:pPr>
                    <w:pStyle w:val="49"/>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环保管理机构设置</w:t>
                  </w:r>
                </w:p>
              </w:tc>
              <w:tc>
                <w:tcPr>
                  <w:tcW w:w="6661" w:type="dxa"/>
                  <w:tcBorders>
                    <w:tl2br w:val="nil"/>
                    <w:tr2bl w:val="nil"/>
                  </w:tcBorders>
                  <w:noWrap/>
                  <w:vAlign w:val="center"/>
                </w:tcPr>
                <w:p>
                  <w:pPr>
                    <w:keepNext w:val="0"/>
                    <w:keepLines w:val="0"/>
                    <w:widowControl/>
                    <w:suppressLineNumbers w:val="0"/>
                    <w:autoSpaceDE w:val="0"/>
                    <w:autoSpaceDN w:val="0"/>
                    <w:adjustRightIn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eastAsia" w:ascii="Times New Roman" w:hAnsi="Times New Roman" w:cs="Times New Roman"/>
                      <w:color w:val="auto"/>
                      <w:sz w:val="21"/>
                      <w:szCs w:val="21"/>
                      <w:highlight w:val="none"/>
                      <w:lang w:val="zh-CN"/>
                    </w:rPr>
                    <w:t>岳普湖县住房保障服务中心</w:t>
                  </w:r>
                  <w:r>
                    <w:rPr>
                      <w:rFonts w:hint="default" w:ascii="Times New Roman" w:hAnsi="Times New Roman" w:eastAsia="宋体" w:cs="Times New Roman"/>
                      <w:color w:val="auto"/>
                      <w:sz w:val="21"/>
                      <w:szCs w:val="21"/>
                      <w:highlight w:val="none"/>
                      <w:lang w:val="zh-CN"/>
                    </w:rPr>
                    <w:t>成立</w:t>
                  </w:r>
                  <w:r>
                    <w:rPr>
                      <w:rFonts w:hint="default" w:ascii="Times New Roman" w:hAnsi="Times New Roman" w:eastAsia="宋体" w:cs="Times New Roman"/>
                      <w:color w:val="auto"/>
                      <w:sz w:val="21"/>
                      <w:szCs w:val="21"/>
                      <w:highlight w:val="none"/>
                    </w:rPr>
                    <w:t>环境管理</w:t>
                  </w:r>
                  <w:r>
                    <w:rPr>
                      <w:rFonts w:hint="default" w:ascii="Times New Roman" w:hAnsi="Times New Roman" w:eastAsia="宋体" w:cs="Times New Roman"/>
                      <w:color w:val="auto"/>
                      <w:sz w:val="21"/>
                      <w:szCs w:val="21"/>
                      <w:highlight w:val="none"/>
                      <w:lang w:val="zh-CN"/>
                    </w:rPr>
                    <w:t>领导小组。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58" w:type="dxa"/>
                  <w:tcBorders>
                    <w:tl2br w:val="nil"/>
                    <w:tr2bl w:val="nil"/>
                  </w:tcBorders>
                  <w:noWrap/>
                  <w:vAlign w:val="center"/>
                </w:tcPr>
                <w:p>
                  <w:pPr>
                    <w:pStyle w:val="49"/>
                    <w:keepNext w:val="0"/>
                    <w:keepLines w:val="0"/>
                    <w:widowControl/>
                    <w:suppressLineNumbers w:val="0"/>
                    <w:spacing w:before="0" w:beforeAutospacing="0" w:after="0" w:afterAutospacing="0"/>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环境管理内容</w:t>
                  </w:r>
                </w:p>
              </w:tc>
              <w:tc>
                <w:tcPr>
                  <w:tcW w:w="6661" w:type="dxa"/>
                  <w:tcBorders>
                    <w:tl2br w:val="nil"/>
                    <w:tr2bl w:val="nil"/>
                  </w:tcBorders>
                  <w:noWrap/>
                </w:tcPr>
                <w:p>
                  <w:pPr>
                    <w:pStyle w:val="49"/>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r>
                    <w:rPr>
                      <w:rFonts w:hint="default"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zh-CN"/>
                    </w:rPr>
                    <w:t>制定环保管理规章制度和</w:t>
                  </w:r>
                  <w:r>
                    <w:rPr>
                      <w:rFonts w:hint="default" w:ascii="Times New Roman" w:hAnsi="Times New Roman" w:eastAsia="宋体" w:cs="Times New Roman"/>
                      <w:color w:val="auto"/>
                      <w:sz w:val="21"/>
                      <w:szCs w:val="21"/>
                      <w:highlight w:val="none"/>
                    </w:rPr>
                    <w:t>环境</w:t>
                  </w:r>
                  <w:r>
                    <w:rPr>
                      <w:rFonts w:hint="default" w:ascii="Times New Roman" w:hAnsi="Times New Roman" w:eastAsia="宋体" w:cs="Times New Roman"/>
                      <w:color w:val="auto"/>
                      <w:sz w:val="21"/>
                      <w:szCs w:val="21"/>
                      <w:highlight w:val="none"/>
                      <w:lang w:val="zh-CN"/>
                    </w:rPr>
                    <w:t>事故应急预案，建立电磁安全管理档案。</w:t>
                  </w:r>
                </w:p>
                <w:p>
                  <w:pPr>
                    <w:pStyle w:val="49"/>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r>
                    <w:rPr>
                      <w:rFonts w:hint="default" w:ascii="Times New Roman" w:hAnsi="Times New Roman" w:eastAsia="宋体"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监督管理检修过程中线路产生的固体废物和检修人员随手产生的生活垃圾等统一收集处理，最大限度地保护项目区的周围环境。</w:t>
                  </w:r>
                </w:p>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r>
                    <w:rPr>
                      <w:rFonts w:hint="default" w:ascii="Times New Roman" w:hAnsi="Times New Roman" w:eastAsia="宋体" w:cs="Times New Roman"/>
                      <w:color w:val="auto"/>
                      <w:sz w:val="21"/>
                      <w:szCs w:val="21"/>
                      <w:highlight w:val="none"/>
                      <w:lang w:val="en-US" w:eastAsia="zh-CN"/>
                    </w:rPr>
                    <w:t>.</w:t>
                  </w:r>
                  <w:r>
                    <w:rPr>
                      <w:rFonts w:hint="eastAsia" w:ascii="Times New Roman" w:hAnsi="Times New Roman" w:cs="Times New Roman"/>
                      <w:color w:val="auto"/>
                      <w:sz w:val="21"/>
                      <w:szCs w:val="21"/>
                      <w:highlight w:val="none"/>
                      <w:lang w:val="en-US" w:eastAsia="zh-CN"/>
                    </w:rPr>
                    <w:t>变电站带电架构、</w:t>
                  </w:r>
                  <w:r>
                    <w:rPr>
                      <w:rFonts w:hint="default" w:ascii="Times New Roman" w:hAnsi="Times New Roman" w:eastAsia="宋体" w:cs="Times New Roman"/>
                      <w:color w:val="auto"/>
                      <w:sz w:val="21"/>
                      <w:szCs w:val="21"/>
                      <w:highlight w:val="none"/>
                    </w:rPr>
                    <w:t>线路杆塔上设置警示标志，线路及杆塔下方严禁长时间停留。</w:t>
                  </w:r>
                </w:p>
                <w:p>
                  <w:pPr>
                    <w:keepNext w:val="0"/>
                    <w:keepLines w:val="0"/>
                    <w:widowControl/>
                    <w:suppressLineNumbers w:val="0"/>
                    <w:spacing w:before="0" w:beforeAutospacing="0" w:after="0" w:afterAutospacing="0" w:line="24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eastAsia="zh-CN"/>
                    </w:rPr>
                    <w:t>4.</w:t>
                  </w:r>
                  <w:r>
                    <w:rPr>
                      <w:rFonts w:hint="default" w:ascii="Times New Roman" w:hAnsi="Times New Roman" w:eastAsia="宋体" w:cs="Times New Roman"/>
                      <w:color w:val="auto"/>
                      <w:sz w:val="21"/>
                      <w:szCs w:val="21"/>
                      <w:highlight w:val="none"/>
                    </w:rPr>
                    <w:t>对员工进行电磁环境基础知识培训，在巡检带电维修过程中，尽可能减少曝露在电磁场中的时间。</w:t>
                  </w:r>
                </w:p>
              </w:tc>
            </w:tr>
          </w:tbl>
          <w:p>
            <w:pPr>
              <w:pStyle w:val="14"/>
              <w:keepNext w:val="0"/>
              <w:keepLines w:val="0"/>
              <w:widowControl/>
              <w:suppressLineNumbers w:val="0"/>
              <w:adjustRightInd w:val="0"/>
              <w:snapToGrid w:val="0"/>
              <w:spacing w:before="0" w:beforeAutospacing="0" w:after="0" w:afterAutospacing="0"/>
              <w:ind w:left="0" w:right="0" w:firstLine="482"/>
              <w:rPr>
                <w:rFonts w:hint="default" w:ascii="Times New Roman" w:hAnsi="Times New Roman" w:eastAsia="宋体" w:cs="Times New Roman"/>
                <w:b/>
                <w:color w:val="auto"/>
                <w:highlight w:val="none"/>
              </w:rPr>
            </w:pPr>
          </w:p>
          <w:p>
            <w:pPr>
              <w:pStyle w:val="14"/>
              <w:keepNext w:val="0"/>
              <w:keepLines w:val="0"/>
              <w:widowControl/>
              <w:suppressLineNumbers w:val="0"/>
              <w:adjustRightInd w:val="0"/>
              <w:snapToGrid w:val="0"/>
              <w:spacing w:before="0" w:beforeAutospacing="0" w:after="0" w:afterAutospacing="0"/>
              <w:ind w:left="0" w:right="0" w:firstLine="0" w:firstLineChars="0"/>
              <w:rPr>
                <w:rFonts w:hint="default" w:ascii="Times New Roman" w:hAnsi="Times New Roman" w:eastAsia="宋体" w:cs="Times New Roman"/>
                <w:color w:val="auto"/>
                <w:highlight w:val="none"/>
              </w:rPr>
            </w:pPr>
            <w:r>
              <w:rPr>
                <w:rFonts w:hint="default" w:ascii="Times New Roman" w:hAnsi="Times New Roman" w:eastAsia="宋体" w:cs="Times New Roman"/>
                <w:b/>
                <w:color w:val="auto"/>
                <w:highlight w:val="none"/>
              </w:rPr>
              <w:t>2环境监测计划</w:t>
            </w:r>
          </w:p>
          <w:p>
            <w:pPr>
              <w:keepNext w:val="0"/>
              <w:keepLines w:val="0"/>
              <w:widowControl/>
              <w:suppressLineNumbers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为了及时了解工程运营过程中对生态环境产生影响的范围和程度，以便采取相应的减缓措施，参照《建设项目竣工环境保护验收技术规范 输变电》</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HJ705-2020</w:t>
            </w:r>
            <w:r>
              <w:rPr>
                <w:rFonts w:hint="eastAsia" w:ascii="Times New Roman" w:hAnsi="Times New Roman" w:cs="Times New Roman"/>
                <w:color w:val="auto"/>
                <w:highlight w:val="none"/>
                <w:lang w:eastAsia="zh-CN"/>
              </w:rPr>
              <w:t>）</w:t>
            </w:r>
            <w:r>
              <w:rPr>
                <w:rFonts w:hint="default" w:ascii="Times New Roman" w:hAnsi="Times New Roman" w:eastAsia="宋体" w:cs="Times New Roman"/>
                <w:color w:val="auto"/>
                <w:highlight w:val="none"/>
              </w:rPr>
              <w:t>，对输电线路周围环境进行监测，见表5-</w:t>
            </w:r>
            <w:r>
              <w:rPr>
                <w:rFonts w:hint="default" w:ascii="Times New Roman" w:hAnsi="Times New Roman" w:eastAsia="宋体" w:cs="Times New Roman"/>
                <w:color w:val="auto"/>
                <w:highlight w:val="none"/>
                <w:lang w:val="en-US" w:eastAsia="zh-CN"/>
              </w:rPr>
              <w:t>5</w:t>
            </w:r>
            <w:r>
              <w:rPr>
                <w:rFonts w:hint="default" w:ascii="Times New Roman" w:hAnsi="Times New Roman" w:eastAsia="宋体" w:cs="Times New Roman"/>
                <w:color w:val="auto"/>
                <w:highlight w:val="none"/>
              </w:rPr>
              <w:t>。</w:t>
            </w:r>
          </w:p>
          <w:p>
            <w:pPr>
              <w:pStyle w:val="36"/>
              <w:keepNext w:val="0"/>
              <w:keepLines w:val="0"/>
              <w:suppressLineNumbers w:val="0"/>
              <w:spacing w:before="0" w:beforeAutospacing="0" w:after="0" w:afterAutospacing="0"/>
              <w:ind w:left="0" w:right="0"/>
              <w:jc w:val="center"/>
              <w:rPr>
                <w:rFonts w:hint="default" w:ascii="Times New Roman" w:hAnsi="Times New Roman" w:eastAsia="宋体" w:cs="Times New Roman"/>
                <w:color w:val="auto"/>
                <w:sz w:val="24"/>
                <w:highlight w:val="none"/>
              </w:rPr>
            </w:pPr>
            <w:bookmarkStart w:id="109" w:name="_Hlk202789136"/>
            <w:r>
              <w:rPr>
                <w:rFonts w:hint="default" w:ascii="Times New Roman" w:hAnsi="Times New Roman" w:eastAsia="宋体" w:cs="Times New Roman"/>
                <w:bCs/>
                <w:color w:val="auto"/>
                <w:sz w:val="24"/>
                <w:highlight w:val="none"/>
              </w:rPr>
              <w:t>表5-</w:t>
            </w:r>
            <w:r>
              <w:rPr>
                <w:rFonts w:hint="default" w:ascii="Times New Roman" w:hAnsi="Times New Roman" w:eastAsia="宋体" w:cs="Times New Roman"/>
                <w:bCs/>
                <w:color w:val="auto"/>
                <w:sz w:val="24"/>
                <w:highlight w:val="none"/>
                <w:lang w:val="en-US" w:eastAsia="zh-CN"/>
              </w:rPr>
              <w:t>5</w:t>
            </w:r>
            <w:r>
              <w:rPr>
                <w:rFonts w:hint="default" w:ascii="Times New Roman" w:hAnsi="Times New Roman" w:eastAsia="宋体" w:cs="Times New Roman"/>
                <w:bCs/>
                <w:color w:val="auto"/>
                <w:sz w:val="24"/>
                <w:highlight w:val="none"/>
              </w:rPr>
              <w:t xml:space="preserve">  环境监测计划表</w:t>
            </w:r>
          </w:p>
          <w:bookmarkEnd w:id="109"/>
          <w:tbl>
            <w:tblPr>
              <w:tblStyle w:val="28"/>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9"/>
              <w:gridCol w:w="1681"/>
              <w:gridCol w:w="2760"/>
              <w:gridCol w:w="296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19" w:type="dxa"/>
                  <w:vAlign w:val="center"/>
                </w:tcPr>
                <w:p>
                  <w:pPr>
                    <w:keepNext w:val="0"/>
                    <w:keepLines w:val="0"/>
                    <w:widowControl/>
                    <w:suppressLineNumbers w:val="0"/>
                    <w:spacing w:before="0" w:beforeAutospacing="0" w:after="0" w:afterAutospacing="0" w:line="300" w:lineRule="exact"/>
                    <w:ind w:left="0" w:right="0"/>
                    <w:jc w:val="center"/>
                    <w:rPr>
                      <w:rFonts w:hint="default" w:ascii="Times New Roman" w:hAnsi="Times New Roman" w:eastAsia="宋体" w:cs="Times New Roman"/>
                      <w:color w:val="auto"/>
                      <w:sz w:val="21"/>
                      <w:szCs w:val="21"/>
                      <w:highlight w:val="none"/>
                    </w:rPr>
                  </w:pPr>
                  <w:bookmarkStart w:id="110" w:name="_Hlk193405002"/>
                  <w:r>
                    <w:rPr>
                      <w:rFonts w:hint="default" w:ascii="Times New Roman" w:hAnsi="Times New Roman" w:eastAsia="宋体" w:cs="Times New Roman"/>
                      <w:color w:val="auto"/>
                      <w:sz w:val="21"/>
                      <w:szCs w:val="21"/>
                      <w:highlight w:val="none"/>
                    </w:rPr>
                    <w:t>监测内容</w:t>
                  </w:r>
                </w:p>
              </w:tc>
              <w:tc>
                <w:tcPr>
                  <w:tcW w:w="1681" w:type="dxa"/>
                  <w:vAlign w:val="center"/>
                </w:tcPr>
                <w:p>
                  <w:pPr>
                    <w:pStyle w:val="5"/>
                    <w:widowControl/>
                    <w:suppressLineNumbers w:val="0"/>
                    <w:spacing w:before="0" w:beforeAutospacing="0" w:after="0" w:afterAutospacing="0" w:line="300" w:lineRule="exact"/>
                    <w:ind w:left="0" w:right="0"/>
                    <w:jc w:val="center"/>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监测因子、频率</w:t>
                  </w:r>
                </w:p>
              </w:tc>
              <w:tc>
                <w:tcPr>
                  <w:tcW w:w="2760" w:type="dxa"/>
                  <w:vAlign w:val="center"/>
                </w:tcPr>
                <w:p>
                  <w:pPr>
                    <w:pStyle w:val="5"/>
                    <w:widowControl/>
                    <w:suppressLineNumbers w:val="0"/>
                    <w:spacing w:before="0" w:beforeAutospacing="0" w:after="0" w:afterAutospacing="0" w:line="300" w:lineRule="exact"/>
                    <w:ind w:left="0" w:right="0"/>
                    <w:jc w:val="center"/>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监测点位、监测要求、监管要求</w:t>
                  </w:r>
                </w:p>
              </w:tc>
              <w:tc>
                <w:tcPr>
                  <w:tcW w:w="2961" w:type="dxa"/>
                  <w:vAlign w:val="center"/>
                </w:tcPr>
                <w:p>
                  <w:pPr>
                    <w:pStyle w:val="5"/>
                    <w:widowControl/>
                    <w:suppressLineNumbers w:val="0"/>
                    <w:spacing w:before="0" w:beforeAutospacing="0" w:after="0" w:afterAutospacing="0" w:line="300" w:lineRule="exact"/>
                    <w:ind w:left="0" w:right="0"/>
                    <w:jc w:val="center"/>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监测调查范围、监测方法及执行标准</w:t>
                  </w:r>
                </w:p>
              </w:tc>
            </w:tr>
            <w:bookmarkEnd w:id="110"/>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19" w:type="dxa"/>
                  <w:vAlign w:val="center"/>
                </w:tcPr>
                <w:p>
                  <w:pPr>
                    <w:keepNext w:val="0"/>
                    <w:keepLines w:val="0"/>
                    <w:widowControl/>
                    <w:suppressLineNumbers w:val="0"/>
                    <w:spacing w:before="0" w:beforeAutospacing="0" w:after="0" w:afterAutospacing="0" w:line="300" w:lineRule="exact"/>
                    <w:ind w:left="0" w:right="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声环境监测</w:t>
                  </w:r>
                </w:p>
              </w:tc>
              <w:tc>
                <w:tcPr>
                  <w:tcW w:w="1681" w:type="dxa"/>
                  <w:vAlign w:val="center"/>
                </w:tcPr>
                <w:p>
                  <w:pPr>
                    <w:pStyle w:val="14"/>
                    <w:keepNext w:val="0"/>
                    <w:keepLines w:val="0"/>
                    <w:widowControl/>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监测因子：噪声</w:t>
                  </w:r>
                </w:p>
                <w:p>
                  <w:pPr>
                    <w:pStyle w:val="14"/>
                    <w:keepNext w:val="0"/>
                    <w:keepLines w:val="0"/>
                    <w:widowControl/>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Cs/>
                      <w:color w:val="auto"/>
                      <w:sz w:val="21"/>
                      <w:szCs w:val="21"/>
                      <w:highlight w:val="none"/>
                    </w:rPr>
                    <w:t>监测频率：竣工环境保护验收监测一次。</w:t>
                  </w:r>
                </w:p>
              </w:tc>
              <w:tc>
                <w:tcPr>
                  <w:tcW w:w="2760" w:type="dxa"/>
                  <w:vAlign w:val="center"/>
                </w:tcPr>
                <w:p>
                  <w:pPr>
                    <w:pStyle w:val="14"/>
                    <w:keepNext w:val="0"/>
                    <w:keepLines w:val="0"/>
                    <w:widowControl/>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lang w:eastAsia="zh-CN"/>
                    </w:rPr>
                  </w:pPr>
                  <w:r>
                    <w:rPr>
                      <w:rFonts w:hint="default" w:ascii="Times New Roman" w:hAnsi="Times New Roman" w:eastAsia="宋体" w:cs="Times New Roman"/>
                      <w:bCs/>
                      <w:color w:val="auto"/>
                      <w:sz w:val="21"/>
                      <w:szCs w:val="21"/>
                      <w:highlight w:val="none"/>
                      <w:lang w:eastAsia="zh-CN"/>
                    </w:rPr>
                    <w:t>1.</w:t>
                  </w:r>
                  <w:r>
                    <w:rPr>
                      <w:rFonts w:hint="default" w:ascii="Times New Roman" w:hAnsi="Times New Roman" w:eastAsia="宋体" w:cs="Times New Roman"/>
                      <w:bCs/>
                      <w:color w:val="auto"/>
                      <w:sz w:val="21"/>
                      <w:szCs w:val="21"/>
                      <w:highlight w:val="none"/>
                    </w:rPr>
                    <w:t>新建变电站厂界四周布点监测</w:t>
                  </w:r>
                  <w:r>
                    <w:rPr>
                      <w:rFonts w:hint="default" w:ascii="Times New Roman" w:hAnsi="Times New Roman" w:cs="Times New Roman"/>
                      <w:bCs/>
                      <w:color w:val="auto"/>
                      <w:sz w:val="21"/>
                      <w:szCs w:val="21"/>
                      <w:highlight w:val="none"/>
                      <w:lang w:eastAsia="zh-CN"/>
                    </w:rPr>
                    <w:t>；</w:t>
                  </w:r>
                </w:p>
                <w:p>
                  <w:pPr>
                    <w:pStyle w:val="14"/>
                    <w:keepNext w:val="0"/>
                    <w:keepLines w:val="0"/>
                    <w:widowControl/>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lang w:eastAsia="zh-CN"/>
                    </w:rPr>
                  </w:pPr>
                  <w:r>
                    <w:rPr>
                      <w:rFonts w:hint="default" w:ascii="Times New Roman" w:hAnsi="Times New Roman" w:eastAsia="宋体" w:cs="Times New Roman"/>
                      <w:bCs/>
                      <w:color w:val="auto"/>
                      <w:sz w:val="21"/>
                      <w:szCs w:val="21"/>
                      <w:highlight w:val="none"/>
                      <w:lang w:eastAsia="zh-CN"/>
                    </w:rPr>
                    <w:t>2.</w:t>
                  </w:r>
                  <w:r>
                    <w:rPr>
                      <w:rFonts w:hint="default" w:ascii="Times New Roman" w:hAnsi="Times New Roman" w:eastAsia="宋体" w:cs="Times New Roman"/>
                      <w:bCs/>
                      <w:color w:val="auto"/>
                      <w:sz w:val="21"/>
                      <w:szCs w:val="21"/>
                      <w:highlight w:val="none"/>
                      <w:lang w:val="en-US" w:eastAsia="zh-CN"/>
                    </w:rPr>
                    <w:t>保护目标处监测，</w:t>
                  </w:r>
                  <w:r>
                    <w:rPr>
                      <w:rFonts w:hint="default" w:ascii="Times New Roman" w:hAnsi="Times New Roman" w:eastAsia="宋体" w:cs="Times New Roman"/>
                      <w:bCs/>
                      <w:color w:val="auto"/>
                      <w:sz w:val="21"/>
                      <w:szCs w:val="21"/>
                      <w:highlight w:val="none"/>
                    </w:rPr>
                    <w:t>若有新增声环境敏感目标，声环境敏感目标处布点监测</w:t>
                  </w:r>
                  <w:r>
                    <w:rPr>
                      <w:rFonts w:hint="default" w:ascii="Times New Roman" w:hAnsi="Times New Roman" w:cs="Times New Roman"/>
                      <w:bCs/>
                      <w:color w:val="auto"/>
                      <w:sz w:val="21"/>
                      <w:szCs w:val="21"/>
                      <w:highlight w:val="none"/>
                      <w:lang w:eastAsia="zh-CN"/>
                    </w:rPr>
                    <w:t>；</w:t>
                  </w:r>
                </w:p>
                <w:p>
                  <w:pPr>
                    <w:pStyle w:val="14"/>
                    <w:keepNext w:val="0"/>
                    <w:keepLines w:val="0"/>
                    <w:widowControl/>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cs="Times New Roman"/>
                      <w:bCs/>
                      <w:color w:val="auto"/>
                      <w:sz w:val="21"/>
                      <w:szCs w:val="21"/>
                      <w:highlight w:val="none"/>
                      <w:lang w:val="en-US" w:eastAsia="zh-CN"/>
                    </w:rPr>
                    <w:t>3.变电站主变大修后在变电站厂界四周布点监测；</w:t>
                  </w:r>
                </w:p>
                <w:p>
                  <w:pPr>
                    <w:pStyle w:val="14"/>
                    <w:keepNext w:val="0"/>
                    <w:keepLines w:val="0"/>
                    <w:widowControl/>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lang w:eastAsia="zh-CN"/>
                    </w:rPr>
                  </w:pPr>
                  <w:r>
                    <w:rPr>
                      <w:rFonts w:hint="default" w:ascii="Times New Roman" w:hAnsi="Times New Roman" w:cs="Times New Roman"/>
                      <w:bCs/>
                      <w:color w:val="auto"/>
                      <w:sz w:val="21"/>
                      <w:szCs w:val="21"/>
                      <w:highlight w:val="none"/>
                      <w:lang w:val="en-US" w:eastAsia="zh-CN"/>
                    </w:rPr>
                    <w:t>4</w:t>
                  </w:r>
                  <w:r>
                    <w:rPr>
                      <w:rFonts w:hint="default" w:ascii="Times New Roman" w:hAnsi="Times New Roman" w:eastAsia="宋体" w:cs="Times New Roman"/>
                      <w:bCs/>
                      <w:color w:val="auto"/>
                      <w:sz w:val="21"/>
                      <w:szCs w:val="21"/>
                      <w:highlight w:val="none"/>
                      <w:lang w:val="en-US" w:eastAsia="zh-CN"/>
                    </w:rPr>
                    <w:t>.</w:t>
                  </w:r>
                  <w:r>
                    <w:rPr>
                      <w:rFonts w:hint="default" w:ascii="Times New Roman" w:hAnsi="Times New Roman" w:eastAsia="宋体" w:cs="Times New Roman"/>
                      <w:bCs/>
                      <w:color w:val="auto"/>
                      <w:sz w:val="21"/>
                      <w:szCs w:val="21"/>
                      <w:highlight w:val="none"/>
                    </w:rPr>
                    <w:t>输电线路沿线选择有代表性的点位进行监测，监测点位及要求应满足《建设项目竣工环境保护验收技术规范 输变电》</w:t>
                  </w:r>
                  <w:r>
                    <w:rPr>
                      <w:rFonts w:hint="eastAsia" w:ascii="Times New Roman" w:hAnsi="Times New Roman"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rPr>
                    <w:t>HJ705-2020</w:t>
                  </w:r>
                  <w:r>
                    <w:rPr>
                      <w:rFonts w:hint="eastAsia" w:ascii="Times New Roman" w:hAnsi="Times New Roman" w:cs="Times New Roman"/>
                      <w:bCs/>
                      <w:color w:val="auto"/>
                      <w:sz w:val="21"/>
                      <w:szCs w:val="21"/>
                      <w:highlight w:val="none"/>
                      <w:lang w:eastAsia="zh-CN"/>
                    </w:rPr>
                    <w:t>）</w:t>
                  </w:r>
                  <w:r>
                    <w:rPr>
                      <w:rFonts w:hint="default" w:ascii="Times New Roman" w:hAnsi="Times New Roman" w:cs="Times New Roman"/>
                      <w:bCs/>
                      <w:color w:val="auto"/>
                      <w:sz w:val="21"/>
                      <w:szCs w:val="21"/>
                      <w:highlight w:val="none"/>
                      <w:lang w:eastAsia="zh-CN"/>
                    </w:rPr>
                    <w:t>。</w:t>
                  </w:r>
                </w:p>
              </w:tc>
              <w:tc>
                <w:tcPr>
                  <w:tcW w:w="2961" w:type="dxa"/>
                  <w:vAlign w:val="center"/>
                </w:tcPr>
                <w:p>
                  <w:pPr>
                    <w:pStyle w:val="14"/>
                    <w:keepNext w:val="0"/>
                    <w:keepLines w:val="0"/>
                    <w:widowControl/>
                    <w:suppressLineNumbers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监测调查范围：</w:t>
                  </w:r>
                </w:p>
                <w:p>
                  <w:pPr>
                    <w:pStyle w:val="14"/>
                    <w:keepNext w:val="0"/>
                    <w:keepLines w:val="0"/>
                    <w:widowControl/>
                    <w:suppressLineNumbers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110kV变电站四周</w:t>
                  </w:r>
                  <w:r>
                    <w:rPr>
                      <w:rFonts w:hint="eastAsia" w:ascii="Times New Roman" w:hAnsi="Times New Roman" w:cs="Times New Roman"/>
                      <w:bCs/>
                      <w:color w:val="auto"/>
                      <w:sz w:val="21"/>
                      <w:szCs w:val="21"/>
                      <w:highlight w:val="none"/>
                      <w:lang w:val="en-US" w:eastAsia="zh-CN"/>
                    </w:rPr>
                    <w:t>200</w:t>
                  </w:r>
                  <w:r>
                    <w:rPr>
                      <w:rFonts w:hint="default" w:ascii="Times New Roman" w:hAnsi="Times New Roman" w:eastAsia="宋体" w:cs="Times New Roman"/>
                      <w:bCs/>
                      <w:color w:val="auto"/>
                      <w:sz w:val="21"/>
                      <w:szCs w:val="21"/>
                      <w:highlight w:val="none"/>
                      <w:lang w:val="en-US" w:eastAsia="zh-CN"/>
                    </w:rPr>
                    <w:t>米，110kV</w:t>
                  </w:r>
                  <w:r>
                    <w:rPr>
                      <w:rFonts w:hint="default" w:ascii="Times New Roman" w:hAnsi="Times New Roman" w:eastAsia="宋体" w:cs="Times New Roman"/>
                      <w:bCs/>
                      <w:color w:val="auto"/>
                      <w:sz w:val="21"/>
                      <w:szCs w:val="21"/>
                      <w:highlight w:val="none"/>
                    </w:rPr>
                    <w:t>输变电线路边导线地面投影外两侧各</w:t>
                  </w:r>
                  <w:r>
                    <w:rPr>
                      <w:rFonts w:hint="default" w:ascii="Times New Roman" w:hAnsi="Times New Roman" w:eastAsia="宋体" w:cs="Times New Roman"/>
                      <w:bCs/>
                      <w:color w:val="auto"/>
                      <w:sz w:val="21"/>
                      <w:szCs w:val="21"/>
                      <w:highlight w:val="none"/>
                      <w:lang w:val="en-US" w:eastAsia="zh-CN"/>
                    </w:rPr>
                    <w:t>30</w:t>
                  </w:r>
                  <w:r>
                    <w:rPr>
                      <w:rFonts w:hint="default" w:ascii="Times New Roman" w:hAnsi="Times New Roman" w:eastAsia="宋体" w:cs="Times New Roman"/>
                      <w:bCs/>
                      <w:color w:val="auto"/>
                      <w:sz w:val="21"/>
                      <w:szCs w:val="21"/>
                      <w:highlight w:val="none"/>
                    </w:rPr>
                    <w:t>米布点。</w:t>
                  </w:r>
                </w:p>
                <w:p>
                  <w:pPr>
                    <w:pStyle w:val="14"/>
                    <w:keepNext w:val="0"/>
                    <w:keepLines w:val="0"/>
                    <w:widowControl/>
                    <w:suppressLineNumbers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监测方法、执行标准：</w:t>
                  </w:r>
                </w:p>
                <w:p>
                  <w:pPr>
                    <w:pStyle w:val="14"/>
                    <w:keepNext w:val="0"/>
                    <w:keepLines w:val="0"/>
                    <w:widowControl/>
                    <w:suppressLineNumbers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cs="Times New Roman"/>
                      <w:bCs/>
                      <w:color w:val="auto"/>
                      <w:spacing w:val="-9"/>
                      <w:sz w:val="21"/>
                      <w:szCs w:val="21"/>
                      <w:highlight w:val="none"/>
                      <w:lang w:val="en-US" w:eastAsia="zh-CN"/>
                    </w:rPr>
                    <w:t>变电站：</w:t>
                  </w:r>
                  <w:r>
                    <w:rPr>
                      <w:rFonts w:hint="default" w:ascii="Times New Roman" w:hAnsi="Times New Roman" w:eastAsia="宋体" w:cs="Times New Roman"/>
                      <w:bCs/>
                      <w:color w:val="auto"/>
                      <w:sz w:val="21"/>
                      <w:szCs w:val="21"/>
                      <w:highlight w:val="none"/>
                      <w:lang w:val="en-US" w:eastAsia="zh-CN"/>
                    </w:rPr>
                    <w:t>《工业企业厂界环境噪声排放标准》</w:t>
                  </w:r>
                  <w:r>
                    <w:rPr>
                      <w:rFonts w:hint="eastAsia" w:ascii="Times New Roman" w:hAnsi="Times New Roman" w:cs="Times New Roman"/>
                      <w:bCs/>
                      <w:color w:val="auto"/>
                      <w:sz w:val="21"/>
                      <w:szCs w:val="21"/>
                      <w:highlight w:val="none"/>
                      <w:lang w:val="en-US" w:eastAsia="zh-CN"/>
                    </w:rPr>
                    <w:t>（</w:t>
                  </w:r>
                  <w:r>
                    <w:rPr>
                      <w:rFonts w:hint="default" w:ascii="Times New Roman" w:hAnsi="Times New Roman" w:eastAsia="宋体" w:cs="Times New Roman"/>
                      <w:bCs/>
                      <w:color w:val="auto"/>
                      <w:sz w:val="21"/>
                      <w:szCs w:val="21"/>
                      <w:highlight w:val="none"/>
                      <w:lang w:val="en-US" w:eastAsia="zh-CN"/>
                    </w:rPr>
                    <w:t>GB12348-2008</w:t>
                  </w:r>
                  <w:r>
                    <w:rPr>
                      <w:rFonts w:hint="eastAsia" w:ascii="Times New Roman" w:hAnsi="Times New Roman" w:cs="Times New Roman"/>
                      <w:bCs/>
                      <w:color w:val="auto"/>
                      <w:sz w:val="21"/>
                      <w:szCs w:val="21"/>
                      <w:highlight w:val="none"/>
                      <w:lang w:val="en-US" w:eastAsia="zh-CN"/>
                    </w:rPr>
                    <w:t>）</w:t>
                  </w:r>
                  <w:r>
                    <w:rPr>
                      <w:rFonts w:hint="default" w:ascii="Times New Roman" w:hAnsi="Times New Roman" w:eastAsia="宋体" w:cs="Times New Roman"/>
                      <w:bCs/>
                      <w:color w:val="auto"/>
                      <w:sz w:val="21"/>
                      <w:szCs w:val="21"/>
                      <w:highlight w:val="none"/>
                      <w:lang w:val="en-US" w:eastAsia="zh-CN"/>
                    </w:rPr>
                    <w:t xml:space="preserve">中的 </w:t>
                  </w:r>
                  <w:r>
                    <w:rPr>
                      <w:rFonts w:hint="eastAsia" w:ascii="Times New Roman" w:hAnsi="Times New Roman" w:cs="Times New Roman"/>
                      <w:bCs/>
                      <w:color w:val="auto"/>
                      <w:sz w:val="21"/>
                      <w:szCs w:val="21"/>
                      <w:highlight w:val="none"/>
                      <w:lang w:val="en-US" w:eastAsia="zh-CN"/>
                    </w:rPr>
                    <w:t>3</w:t>
                  </w:r>
                  <w:r>
                    <w:rPr>
                      <w:rFonts w:hint="default" w:ascii="Times New Roman" w:hAnsi="Times New Roman" w:eastAsia="宋体" w:cs="Times New Roman"/>
                      <w:bCs/>
                      <w:color w:val="auto"/>
                      <w:sz w:val="21"/>
                      <w:szCs w:val="21"/>
                      <w:highlight w:val="none"/>
                      <w:lang w:val="en-US" w:eastAsia="zh-CN"/>
                    </w:rPr>
                    <w:t xml:space="preserve"> 类标准</w:t>
                  </w:r>
                  <w:r>
                    <w:rPr>
                      <w:rFonts w:hint="eastAsia" w:ascii="Times New Roman" w:hAnsi="Times New Roman" w:cs="Times New Roman"/>
                      <w:bCs/>
                      <w:color w:val="auto"/>
                      <w:sz w:val="21"/>
                      <w:szCs w:val="21"/>
                      <w:highlight w:val="none"/>
                      <w:lang w:val="en-US" w:eastAsia="zh-CN"/>
                    </w:rPr>
                    <w:t>（</w:t>
                  </w:r>
                  <w:r>
                    <w:rPr>
                      <w:rFonts w:hint="default" w:ascii="Times New Roman" w:hAnsi="Times New Roman" w:eastAsia="宋体" w:cs="Times New Roman"/>
                      <w:bCs/>
                      <w:color w:val="auto"/>
                      <w:sz w:val="21"/>
                      <w:szCs w:val="21"/>
                      <w:highlight w:val="none"/>
                      <w:lang w:val="en-US" w:eastAsia="zh-CN"/>
                    </w:rPr>
                    <w:t>昼间 6</w:t>
                  </w:r>
                  <w:r>
                    <w:rPr>
                      <w:rFonts w:hint="eastAsia" w:ascii="Times New Roman" w:hAnsi="Times New Roman" w:cs="Times New Roman"/>
                      <w:bCs/>
                      <w:color w:val="auto"/>
                      <w:sz w:val="21"/>
                      <w:szCs w:val="21"/>
                      <w:highlight w:val="none"/>
                      <w:lang w:val="en-US" w:eastAsia="zh-CN"/>
                    </w:rPr>
                    <w:t>5</w:t>
                  </w:r>
                  <w:r>
                    <w:rPr>
                      <w:rFonts w:hint="default" w:ascii="Times New Roman" w:hAnsi="Times New Roman" w:eastAsia="宋体" w:cs="Times New Roman"/>
                      <w:bCs/>
                      <w:color w:val="auto"/>
                      <w:sz w:val="21"/>
                      <w:szCs w:val="21"/>
                      <w:highlight w:val="none"/>
                      <w:lang w:val="en-US" w:eastAsia="zh-CN"/>
                    </w:rPr>
                    <w:t>dB</w:t>
                  </w:r>
                  <w:r>
                    <w:rPr>
                      <w:rFonts w:hint="eastAsia" w:ascii="Times New Roman" w:hAnsi="Times New Roman" w:cs="Times New Roman"/>
                      <w:bCs/>
                      <w:color w:val="auto"/>
                      <w:sz w:val="21"/>
                      <w:szCs w:val="21"/>
                      <w:highlight w:val="none"/>
                      <w:lang w:val="en-US" w:eastAsia="zh-CN"/>
                    </w:rPr>
                    <w:t>（A）</w:t>
                  </w:r>
                  <w:r>
                    <w:rPr>
                      <w:rFonts w:hint="default" w:ascii="Times New Roman" w:hAnsi="Times New Roman" w:eastAsia="宋体" w:cs="Times New Roman"/>
                      <w:bCs/>
                      <w:color w:val="auto"/>
                      <w:sz w:val="21"/>
                      <w:szCs w:val="21"/>
                      <w:highlight w:val="none"/>
                      <w:lang w:val="en-US" w:eastAsia="zh-CN"/>
                    </w:rPr>
                    <w:t>、夜间 5</w:t>
                  </w:r>
                  <w:r>
                    <w:rPr>
                      <w:rFonts w:hint="eastAsia" w:ascii="Times New Roman" w:hAnsi="Times New Roman" w:cs="Times New Roman"/>
                      <w:bCs/>
                      <w:color w:val="auto"/>
                      <w:sz w:val="21"/>
                      <w:szCs w:val="21"/>
                      <w:highlight w:val="none"/>
                      <w:lang w:val="en-US" w:eastAsia="zh-CN"/>
                    </w:rPr>
                    <w:t>5</w:t>
                  </w:r>
                  <w:r>
                    <w:rPr>
                      <w:rFonts w:hint="default" w:ascii="Times New Roman" w:hAnsi="Times New Roman" w:eastAsia="宋体" w:cs="Times New Roman"/>
                      <w:bCs/>
                      <w:color w:val="auto"/>
                      <w:sz w:val="21"/>
                      <w:szCs w:val="21"/>
                      <w:highlight w:val="none"/>
                      <w:lang w:val="en-US" w:eastAsia="zh-CN"/>
                    </w:rPr>
                    <w:t>dB</w:t>
                  </w:r>
                  <w:r>
                    <w:rPr>
                      <w:rFonts w:hint="eastAsia" w:ascii="Times New Roman" w:hAnsi="Times New Roman" w:cs="Times New Roman"/>
                      <w:bCs/>
                      <w:color w:val="auto"/>
                      <w:sz w:val="21"/>
                      <w:szCs w:val="21"/>
                      <w:highlight w:val="none"/>
                      <w:lang w:val="en-US" w:eastAsia="zh-CN"/>
                    </w:rPr>
                    <w:t>（A））</w:t>
                  </w:r>
                  <w:r>
                    <w:rPr>
                      <w:rFonts w:hint="default" w:ascii="Times New Roman" w:hAnsi="Times New Roman" w:eastAsia="宋体" w:cs="Times New Roman"/>
                      <w:bCs/>
                      <w:color w:val="auto"/>
                      <w:sz w:val="21"/>
                      <w:szCs w:val="21"/>
                      <w:highlight w:val="none"/>
                      <w:lang w:val="en-US" w:eastAsia="zh-CN"/>
                    </w:rPr>
                    <w:t>；</w:t>
                  </w:r>
                </w:p>
                <w:p>
                  <w:pPr>
                    <w:pStyle w:val="14"/>
                    <w:keepNext w:val="0"/>
                    <w:keepLines w:val="0"/>
                    <w:widowControl/>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cs="Times New Roman"/>
                      <w:bCs/>
                      <w:color w:val="auto"/>
                      <w:spacing w:val="-9"/>
                      <w:sz w:val="21"/>
                      <w:szCs w:val="21"/>
                      <w:highlight w:val="none"/>
                      <w:lang w:val="en-US" w:eastAsia="zh-CN"/>
                    </w:rPr>
                    <w:t>线路：</w:t>
                  </w:r>
                  <w:r>
                    <w:rPr>
                      <w:rFonts w:hint="default" w:ascii="Times New Roman" w:hAnsi="Times New Roman" w:eastAsia="宋体" w:cs="Times New Roman"/>
                      <w:bCs/>
                      <w:color w:val="auto"/>
                      <w:spacing w:val="-9"/>
                      <w:sz w:val="21"/>
                      <w:szCs w:val="21"/>
                      <w:highlight w:val="none"/>
                    </w:rPr>
                    <w:t>《声环境质量标准》</w:t>
                  </w:r>
                  <w:r>
                    <w:rPr>
                      <w:rFonts w:hint="eastAsia" w:ascii="Times New Roman" w:hAnsi="Times New Roman" w:cs="Times New Roman"/>
                      <w:bCs/>
                      <w:color w:val="auto"/>
                      <w:spacing w:val="-9"/>
                      <w:sz w:val="21"/>
                      <w:szCs w:val="21"/>
                      <w:highlight w:val="none"/>
                      <w:lang w:eastAsia="zh-CN"/>
                    </w:rPr>
                    <w:t>（</w:t>
                  </w:r>
                  <w:r>
                    <w:rPr>
                      <w:rFonts w:hint="default" w:ascii="Times New Roman" w:hAnsi="Times New Roman" w:eastAsia="宋体" w:cs="Times New Roman"/>
                      <w:bCs/>
                      <w:color w:val="auto"/>
                      <w:spacing w:val="-9"/>
                      <w:sz w:val="21"/>
                      <w:szCs w:val="21"/>
                      <w:highlight w:val="none"/>
                    </w:rPr>
                    <w:t>GB3096-2008</w:t>
                  </w:r>
                  <w:r>
                    <w:rPr>
                      <w:rFonts w:hint="eastAsia" w:ascii="Times New Roman" w:hAnsi="Times New Roman" w:cs="Times New Roman"/>
                      <w:bCs/>
                      <w:color w:val="auto"/>
                      <w:spacing w:val="-9"/>
                      <w:sz w:val="21"/>
                      <w:szCs w:val="21"/>
                      <w:highlight w:val="none"/>
                      <w:lang w:eastAsia="zh-CN"/>
                    </w:rPr>
                    <w:t>）</w:t>
                  </w:r>
                  <w:r>
                    <w:rPr>
                      <w:rFonts w:hint="default" w:ascii="Times New Roman" w:hAnsi="Times New Roman" w:eastAsia="宋体" w:cs="Times New Roman"/>
                      <w:bCs/>
                      <w:color w:val="auto"/>
                      <w:spacing w:val="-9"/>
                      <w:sz w:val="21"/>
                      <w:szCs w:val="21"/>
                      <w:highlight w:val="none"/>
                    </w:rPr>
                    <w:t>中相应功能区标准要求。</w:t>
                  </w:r>
                  <w:r>
                    <w:rPr>
                      <w:rFonts w:hint="default" w:ascii="Times New Roman" w:hAnsi="Times New Roman" w:cs="Times New Roman"/>
                      <w:bCs/>
                      <w:color w:val="auto"/>
                      <w:spacing w:val="-9"/>
                      <w:sz w:val="21"/>
                      <w:szCs w:val="21"/>
                      <w:highlight w:val="non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719" w:type="dxa"/>
                  <w:vAlign w:val="center"/>
                </w:tcPr>
                <w:p>
                  <w:pPr>
                    <w:keepNext w:val="0"/>
                    <w:keepLines w:val="0"/>
                    <w:widowControl/>
                    <w:suppressLineNumbers w:val="0"/>
                    <w:spacing w:before="0" w:beforeAutospacing="0" w:after="0" w:afterAutospacing="0" w:line="300" w:lineRule="exact"/>
                    <w:ind w:left="0" w:right="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电磁环境监测</w:t>
                  </w:r>
                </w:p>
              </w:tc>
              <w:tc>
                <w:tcPr>
                  <w:tcW w:w="1681" w:type="dxa"/>
                  <w:vAlign w:val="center"/>
                </w:tcPr>
                <w:p>
                  <w:pPr>
                    <w:pStyle w:val="14"/>
                    <w:keepNext w:val="0"/>
                    <w:keepLines w:val="0"/>
                    <w:widowControl/>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监测因子：工频电场、工频磁场</w:t>
                  </w:r>
                </w:p>
                <w:p>
                  <w:pPr>
                    <w:pStyle w:val="14"/>
                    <w:keepNext w:val="0"/>
                    <w:keepLines w:val="0"/>
                    <w:widowControl/>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监测频率：环保竣工验收监测一次，建设单位应根据实际工程运行产生的环境影响情况或有群众反映相关环保问题时进行监测</w:t>
                  </w:r>
                </w:p>
              </w:tc>
              <w:tc>
                <w:tcPr>
                  <w:tcW w:w="2760" w:type="dxa"/>
                  <w:vAlign w:val="center"/>
                </w:tcPr>
                <w:p>
                  <w:pPr>
                    <w:pStyle w:val="14"/>
                    <w:keepNext w:val="0"/>
                    <w:keepLines w:val="0"/>
                    <w:widowControl/>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lang w:eastAsia="zh-CN"/>
                    </w:rPr>
                  </w:pPr>
                  <w:r>
                    <w:rPr>
                      <w:rFonts w:hint="default" w:ascii="Times New Roman" w:hAnsi="Times New Roman" w:eastAsia="宋体" w:cs="Times New Roman"/>
                      <w:bCs/>
                      <w:color w:val="auto"/>
                      <w:sz w:val="21"/>
                      <w:szCs w:val="21"/>
                      <w:highlight w:val="none"/>
                    </w:rPr>
                    <w:t>1</w:t>
                  </w:r>
                  <w:r>
                    <w:rPr>
                      <w:rFonts w:hint="default" w:ascii="Times New Roman" w:hAnsi="Times New Roman" w:eastAsia="宋体" w:cs="Times New Roman"/>
                      <w:bCs/>
                      <w:color w:val="auto"/>
                      <w:sz w:val="21"/>
                      <w:szCs w:val="21"/>
                      <w:highlight w:val="none"/>
                      <w:lang w:val="en-US" w:eastAsia="zh-CN"/>
                    </w:rPr>
                    <w:t>.</w:t>
                  </w:r>
                  <w:r>
                    <w:rPr>
                      <w:rFonts w:hint="default" w:ascii="Times New Roman" w:hAnsi="Times New Roman" w:eastAsia="宋体" w:cs="Times New Roman"/>
                      <w:bCs/>
                      <w:color w:val="auto"/>
                      <w:sz w:val="21"/>
                      <w:szCs w:val="21"/>
                      <w:highlight w:val="none"/>
                    </w:rPr>
                    <w:t>新建变电站厂界四周均匀布点测点监测</w:t>
                  </w:r>
                  <w:r>
                    <w:rPr>
                      <w:rFonts w:hint="default" w:ascii="Times New Roman" w:hAnsi="Times New Roman" w:cs="Times New Roman"/>
                      <w:bCs/>
                      <w:color w:val="auto"/>
                      <w:sz w:val="21"/>
                      <w:szCs w:val="21"/>
                      <w:highlight w:val="none"/>
                      <w:lang w:eastAsia="zh-CN"/>
                    </w:rPr>
                    <w:t>；</w:t>
                  </w:r>
                </w:p>
                <w:p>
                  <w:pPr>
                    <w:pStyle w:val="14"/>
                    <w:keepNext w:val="0"/>
                    <w:keepLines w:val="0"/>
                    <w:widowControl/>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lang w:eastAsia="zh-CN"/>
                    </w:rPr>
                  </w:pPr>
                  <w:r>
                    <w:rPr>
                      <w:rFonts w:hint="default" w:ascii="Times New Roman" w:hAnsi="Times New Roman" w:eastAsia="宋体" w:cs="Times New Roman"/>
                      <w:bCs/>
                      <w:color w:val="auto"/>
                      <w:sz w:val="21"/>
                      <w:szCs w:val="21"/>
                      <w:highlight w:val="none"/>
                    </w:rPr>
                    <w:t>2</w:t>
                  </w:r>
                  <w:r>
                    <w:rPr>
                      <w:rFonts w:hint="default" w:ascii="Times New Roman" w:hAnsi="Times New Roman" w:eastAsia="宋体" w:cs="Times New Roman"/>
                      <w:bCs/>
                      <w:color w:val="auto"/>
                      <w:sz w:val="21"/>
                      <w:szCs w:val="21"/>
                      <w:highlight w:val="none"/>
                      <w:lang w:val="en-US" w:eastAsia="zh-CN"/>
                    </w:rPr>
                    <w:t>.保护目标处监测，</w:t>
                  </w:r>
                  <w:r>
                    <w:rPr>
                      <w:rFonts w:hint="default" w:ascii="Times New Roman" w:hAnsi="Times New Roman" w:eastAsia="宋体" w:cs="Times New Roman"/>
                      <w:bCs/>
                      <w:color w:val="auto"/>
                      <w:sz w:val="21"/>
                      <w:szCs w:val="21"/>
                      <w:highlight w:val="none"/>
                    </w:rPr>
                    <w:t>若有新增电磁环境敏感目标，电磁环境敏感目标处布点监测</w:t>
                  </w:r>
                  <w:r>
                    <w:rPr>
                      <w:rFonts w:hint="default" w:ascii="Times New Roman" w:hAnsi="Times New Roman" w:cs="Times New Roman"/>
                      <w:bCs/>
                      <w:color w:val="auto"/>
                      <w:sz w:val="21"/>
                      <w:szCs w:val="21"/>
                      <w:highlight w:val="none"/>
                      <w:lang w:eastAsia="zh-CN"/>
                    </w:rPr>
                    <w:t>；</w:t>
                  </w:r>
                </w:p>
                <w:p>
                  <w:pPr>
                    <w:pStyle w:val="14"/>
                    <w:keepNext w:val="0"/>
                    <w:keepLines w:val="0"/>
                    <w:widowControl/>
                    <w:suppressLineNumbers w:val="0"/>
                    <w:adjustRightInd w:val="0"/>
                    <w:snapToGrid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lang w:eastAsia="zh-CN"/>
                    </w:rPr>
                  </w:pPr>
                  <w:r>
                    <w:rPr>
                      <w:rFonts w:hint="default" w:ascii="Times New Roman" w:hAnsi="Times New Roman" w:eastAsia="宋体" w:cs="Times New Roman"/>
                      <w:bCs/>
                      <w:color w:val="auto"/>
                      <w:sz w:val="21"/>
                      <w:szCs w:val="21"/>
                      <w:highlight w:val="none"/>
                    </w:rPr>
                    <w:t>3</w:t>
                  </w:r>
                  <w:r>
                    <w:rPr>
                      <w:rFonts w:hint="default" w:ascii="Times New Roman" w:hAnsi="Times New Roman" w:eastAsia="宋体" w:cs="Times New Roman"/>
                      <w:bCs/>
                      <w:color w:val="auto"/>
                      <w:sz w:val="21"/>
                      <w:szCs w:val="21"/>
                      <w:highlight w:val="none"/>
                      <w:lang w:val="en-US" w:eastAsia="zh-CN"/>
                    </w:rPr>
                    <w:t>.</w:t>
                  </w:r>
                  <w:r>
                    <w:rPr>
                      <w:rFonts w:hint="default" w:ascii="Times New Roman" w:hAnsi="Times New Roman" w:eastAsia="宋体" w:cs="Times New Roman"/>
                      <w:bCs/>
                      <w:color w:val="auto"/>
                      <w:sz w:val="21"/>
                      <w:szCs w:val="21"/>
                      <w:highlight w:val="none"/>
                    </w:rPr>
                    <w:t>输电线路沿线选择有代表性的点位进行监测，必要时设置监测断面，监测点位及要求应满足《建设项目竣工环境保护验收技术规范 输变电》</w:t>
                  </w:r>
                  <w:r>
                    <w:rPr>
                      <w:rFonts w:hint="eastAsia" w:ascii="Times New Roman" w:hAnsi="Times New Roman"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rPr>
                    <w:t>HJ705-2020</w:t>
                  </w:r>
                  <w:r>
                    <w:rPr>
                      <w:rFonts w:hint="eastAsia" w:ascii="Times New Roman" w:hAnsi="Times New Roman"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lang w:eastAsia="zh-CN"/>
                    </w:rPr>
                    <w:t>。</w:t>
                  </w:r>
                </w:p>
              </w:tc>
              <w:tc>
                <w:tcPr>
                  <w:tcW w:w="2961" w:type="dxa"/>
                  <w:vAlign w:val="center"/>
                </w:tcPr>
                <w:p>
                  <w:pPr>
                    <w:pStyle w:val="14"/>
                    <w:keepNext w:val="0"/>
                    <w:keepLines w:val="0"/>
                    <w:widowControl/>
                    <w:suppressLineNumbers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监测调查范围：</w:t>
                  </w:r>
                </w:p>
                <w:p>
                  <w:pPr>
                    <w:keepNext w:val="0"/>
                    <w:keepLines w:val="0"/>
                    <w:widowControl/>
                    <w:suppressLineNumbers w:val="0"/>
                    <w:adjustRightInd w:val="0"/>
                    <w:snapToGrid w:val="0"/>
                    <w:spacing w:before="0" w:beforeAutospacing="0" w:after="0" w:afterAutospacing="0" w:line="300" w:lineRule="exact"/>
                    <w:ind w:left="0" w:right="0"/>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110kV变电站四周30米，110kV</w:t>
                  </w:r>
                  <w:r>
                    <w:rPr>
                      <w:rFonts w:hint="default" w:ascii="Times New Roman" w:hAnsi="Times New Roman" w:eastAsia="宋体" w:cs="Times New Roman"/>
                      <w:bCs/>
                      <w:color w:val="auto"/>
                      <w:sz w:val="21"/>
                      <w:szCs w:val="21"/>
                      <w:highlight w:val="none"/>
                    </w:rPr>
                    <w:t>输变电线路边导线地面投影外两侧各</w:t>
                  </w:r>
                  <w:r>
                    <w:rPr>
                      <w:rFonts w:hint="default" w:ascii="Times New Roman" w:hAnsi="Times New Roman" w:eastAsia="宋体" w:cs="Times New Roman"/>
                      <w:bCs/>
                      <w:color w:val="auto"/>
                      <w:sz w:val="21"/>
                      <w:szCs w:val="21"/>
                      <w:highlight w:val="none"/>
                      <w:lang w:val="en-US" w:eastAsia="zh-CN"/>
                    </w:rPr>
                    <w:t>3</w:t>
                  </w:r>
                  <w:r>
                    <w:rPr>
                      <w:rFonts w:hint="default" w:ascii="Times New Roman" w:hAnsi="Times New Roman" w:eastAsia="宋体" w:cs="Times New Roman"/>
                      <w:bCs/>
                      <w:color w:val="auto"/>
                      <w:sz w:val="21"/>
                      <w:szCs w:val="21"/>
                      <w:highlight w:val="none"/>
                    </w:rPr>
                    <w:t>0米布点。</w:t>
                  </w:r>
                </w:p>
                <w:p>
                  <w:pPr>
                    <w:pStyle w:val="14"/>
                    <w:keepNext w:val="0"/>
                    <w:keepLines w:val="0"/>
                    <w:widowControl/>
                    <w:suppressLineNumbers w:val="0"/>
                    <w:spacing w:before="0" w:beforeAutospacing="0" w:after="0" w:afterAutospacing="0" w:line="300" w:lineRule="exact"/>
                    <w:ind w:left="0" w:right="0" w:firstLine="0" w:firstLineChars="0"/>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执行标准：</w:t>
                  </w:r>
                </w:p>
                <w:p>
                  <w:pPr>
                    <w:pStyle w:val="14"/>
                    <w:keepNext w:val="0"/>
                    <w:keepLines w:val="0"/>
                    <w:widowControl/>
                    <w:suppressLineNumbers w:val="0"/>
                    <w:spacing w:before="0" w:beforeAutospacing="0" w:after="0" w:afterAutospacing="0" w:line="300" w:lineRule="exact"/>
                    <w:ind w:left="0" w:right="0" w:firstLine="0" w:firstLineChars="0"/>
                    <w:rPr>
                      <w:rFonts w:hint="eastAsia" w:ascii="Times New Roman" w:hAnsi="Times New Roman" w:eastAsia="宋体" w:cs="Times New Roman"/>
                      <w:bCs/>
                      <w:color w:val="auto"/>
                      <w:sz w:val="21"/>
                      <w:szCs w:val="21"/>
                      <w:highlight w:val="none"/>
                      <w:lang w:eastAsia="zh-CN"/>
                    </w:rPr>
                  </w:pPr>
                  <w:r>
                    <w:rPr>
                      <w:rFonts w:hint="default" w:ascii="Times New Roman" w:hAnsi="Times New Roman" w:eastAsia="宋体" w:cs="Times New Roman"/>
                      <w:bCs/>
                      <w:color w:val="auto"/>
                      <w:sz w:val="21"/>
                      <w:szCs w:val="21"/>
                      <w:highlight w:val="none"/>
                    </w:rPr>
                    <w:t>《电磁环境控制限值》</w:t>
                  </w:r>
                  <w:r>
                    <w:rPr>
                      <w:rFonts w:hint="eastAsia" w:ascii="Times New Roman" w:hAnsi="Times New Roman"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rPr>
                    <w:t>GB8702-2014</w:t>
                  </w:r>
                  <w:r>
                    <w:rPr>
                      <w:rFonts w:hint="eastAsia" w:ascii="Times New Roman" w:hAnsi="Times New Roman" w:cs="Times New Roman"/>
                      <w:bCs/>
                      <w:color w:val="auto"/>
                      <w:sz w:val="21"/>
                      <w:szCs w:val="21"/>
                      <w:highlight w:val="none"/>
                      <w:lang w:eastAsia="zh-CN"/>
                    </w:rPr>
                    <w:t>）</w:t>
                  </w:r>
                </w:p>
                <w:p>
                  <w:pPr>
                    <w:pStyle w:val="14"/>
                    <w:keepNext w:val="0"/>
                    <w:keepLines w:val="0"/>
                    <w:widowControl/>
                    <w:suppressLineNumbers w:val="0"/>
                    <w:adjustRightInd w:val="0"/>
                    <w:snapToGrid w:val="0"/>
                    <w:spacing w:before="0" w:beforeAutospacing="0" w:after="0" w:afterAutospacing="0" w:line="300" w:lineRule="exact"/>
                    <w:ind w:left="0" w:right="0" w:firstLine="0" w:firstLineChars="0"/>
                    <w:rPr>
                      <w:rFonts w:hint="eastAsia" w:ascii="Times New Roman" w:hAnsi="Times New Roman" w:eastAsia="宋体" w:cs="Times New Roman"/>
                      <w:bCs/>
                      <w:color w:val="auto"/>
                      <w:sz w:val="21"/>
                      <w:szCs w:val="21"/>
                      <w:highlight w:val="none"/>
                      <w:lang w:eastAsia="zh-CN"/>
                    </w:rPr>
                  </w:pPr>
                  <w:r>
                    <w:rPr>
                      <w:rFonts w:hint="default" w:ascii="Times New Roman" w:hAnsi="Times New Roman" w:eastAsia="宋体" w:cs="Times New Roman"/>
                      <w:bCs/>
                      <w:color w:val="auto"/>
                      <w:sz w:val="21"/>
                      <w:szCs w:val="21"/>
                      <w:highlight w:val="none"/>
                    </w:rPr>
                    <w:t>监测方法：《交流输变电工程电磁环境监测方法</w:t>
                  </w:r>
                  <w:r>
                    <w:rPr>
                      <w:rFonts w:hint="eastAsia" w:ascii="Times New Roman" w:hAnsi="Times New Roman"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rPr>
                    <w:t>试行</w:t>
                  </w:r>
                  <w:r>
                    <w:rPr>
                      <w:rFonts w:hint="eastAsia" w:ascii="Times New Roman" w:hAnsi="Times New Roman"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rPr>
                    <w:t>》</w:t>
                  </w:r>
                  <w:r>
                    <w:rPr>
                      <w:rFonts w:hint="eastAsia" w:ascii="Times New Roman" w:hAnsi="Times New Roman" w:cs="Times New Roman"/>
                      <w:bCs/>
                      <w:color w:val="auto"/>
                      <w:sz w:val="21"/>
                      <w:szCs w:val="21"/>
                      <w:highlight w:val="none"/>
                      <w:lang w:eastAsia="zh-CN"/>
                    </w:rPr>
                    <w:t>（</w:t>
                  </w:r>
                  <w:r>
                    <w:rPr>
                      <w:rFonts w:hint="default" w:ascii="Times New Roman" w:hAnsi="Times New Roman" w:eastAsia="宋体" w:cs="Times New Roman"/>
                      <w:bCs/>
                      <w:color w:val="auto"/>
                      <w:sz w:val="21"/>
                      <w:szCs w:val="21"/>
                      <w:highlight w:val="none"/>
                    </w:rPr>
                    <w:t>HJ681-2013</w:t>
                  </w:r>
                  <w:r>
                    <w:rPr>
                      <w:rFonts w:hint="eastAsia" w:ascii="Times New Roman" w:hAnsi="Times New Roman" w:cs="Times New Roman"/>
                      <w:bCs/>
                      <w:color w:val="auto"/>
                      <w:sz w:val="21"/>
                      <w:szCs w:val="21"/>
                      <w:highlight w:val="none"/>
                      <w:lang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719" w:type="dxa"/>
                  <w:vMerge w:val="restart"/>
                  <w:vAlign w:val="center"/>
                </w:tcPr>
                <w:p>
                  <w:pPr>
                    <w:keepNext w:val="0"/>
                    <w:keepLines w:val="0"/>
                    <w:widowControl/>
                    <w:suppressLineNumbers w:val="0"/>
                    <w:spacing w:before="0" w:beforeAutospacing="0" w:after="0" w:afterAutospacing="0" w:line="300" w:lineRule="exact"/>
                    <w:ind w:left="0" w:right="0"/>
                    <w:jc w:val="center"/>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生态恢复监管</w:t>
                  </w:r>
                </w:p>
              </w:tc>
              <w:tc>
                <w:tcPr>
                  <w:tcW w:w="1681" w:type="dxa"/>
                  <w:vAlign w:val="center"/>
                </w:tcPr>
                <w:p>
                  <w:pPr>
                    <w:pStyle w:val="5"/>
                    <w:widowControl/>
                    <w:suppressLineNumbers w:val="0"/>
                    <w:spacing w:before="0" w:beforeAutospacing="0" w:after="0" w:afterAutospacing="0" w:line="300" w:lineRule="exact"/>
                    <w:ind w:left="0" w:right="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生态系统及其生物因子、非生物因子</w:t>
                  </w:r>
                </w:p>
              </w:tc>
              <w:tc>
                <w:tcPr>
                  <w:tcW w:w="2760" w:type="dxa"/>
                  <w:vAlign w:val="center"/>
                </w:tcPr>
                <w:p>
                  <w:pPr>
                    <w:pStyle w:val="5"/>
                    <w:widowControl/>
                    <w:suppressLineNumbers w:val="0"/>
                    <w:spacing w:before="0" w:beforeAutospacing="0" w:after="0" w:afterAutospacing="0" w:line="300" w:lineRule="exact"/>
                    <w:ind w:left="0" w:right="0"/>
                    <w:rPr>
                      <w:rFonts w:hint="default" w:ascii="Times New Roman" w:hAnsi="Times New Roman" w:eastAsia="宋体" w:cs="Times New Roman"/>
                      <w:b w:val="0"/>
                      <w:color w:val="auto"/>
                      <w:sz w:val="21"/>
                      <w:szCs w:val="21"/>
                      <w:highlight w:val="none"/>
                      <w:lang w:eastAsia="zh-CN"/>
                    </w:rPr>
                  </w:pPr>
                  <w:r>
                    <w:rPr>
                      <w:rFonts w:hint="default" w:ascii="Times New Roman" w:hAnsi="Times New Roman" w:eastAsia="宋体" w:cs="Times New Roman"/>
                      <w:b w:val="0"/>
                      <w:color w:val="auto"/>
                      <w:sz w:val="21"/>
                      <w:szCs w:val="21"/>
                      <w:highlight w:val="none"/>
                    </w:rPr>
                    <w:t>生态监管主要是定期对工程占地的水土流失控制情况进行调查统计，根据实际情况制定完善生态恢复计划，确保工程占地生态不因项目的建设降低</w:t>
                  </w:r>
                  <w:r>
                    <w:rPr>
                      <w:rFonts w:hint="default" w:ascii="Times New Roman" w:hAnsi="Times New Roman" w:eastAsia="宋体" w:cs="Times New Roman"/>
                      <w:b w:val="0"/>
                      <w:color w:val="auto"/>
                      <w:sz w:val="21"/>
                      <w:szCs w:val="21"/>
                      <w:highlight w:val="none"/>
                      <w:lang w:eastAsia="zh-CN"/>
                    </w:rPr>
                    <w:t>。</w:t>
                  </w:r>
                </w:p>
              </w:tc>
              <w:tc>
                <w:tcPr>
                  <w:tcW w:w="2961" w:type="dxa"/>
                  <w:vAlign w:val="center"/>
                </w:tcPr>
                <w:p>
                  <w:pPr>
                    <w:keepNext w:val="0"/>
                    <w:keepLines w:val="0"/>
                    <w:widowControl/>
                    <w:suppressLineNumbers w:val="0"/>
                    <w:spacing w:before="0" w:beforeAutospacing="0" w:after="0" w:afterAutospacing="0" w:line="300" w:lineRule="exact"/>
                    <w:ind w:left="0" w:right="0"/>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监管范围：牵张场、塔基施工场地等临时占地范围。</w:t>
                  </w:r>
                </w:p>
                <w:p>
                  <w:pPr>
                    <w:pStyle w:val="5"/>
                    <w:widowControl/>
                    <w:suppressLineNumbers w:val="0"/>
                    <w:spacing w:before="0" w:beforeAutospacing="0" w:after="0" w:afterAutospacing="0" w:line="300" w:lineRule="exact"/>
                    <w:ind w:left="0" w:right="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rPr>
                    <w:t>监管要求：各类临时设施拆除清理、地表平整、落实植被恢复措施，恢复原有地貌类型。</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7" w:hRule="atLeast"/>
              </w:trPr>
              <w:tc>
                <w:tcPr>
                  <w:tcW w:w="719" w:type="dxa"/>
                  <w:vMerge w:val="continue"/>
                  <w:vAlign w:val="center"/>
                </w:tcPr>
                <w:p>
                  <w:pPr>
                    <w:keepNext w:val="0"/>
                    <w:keepLines w:val="0"/>
                    <w:widowControl/>
                    <w:suppressLineNumbers w:val="0"/>
                    <w:spacing w:before="0" w:beforeAutospacing="0" w:after="0" w:afterAutospacing="0" w:line="300" w:lineRule="exact"/>
                    <w:ind w:left="0" w:right="0"/>
                    <w:jc w:val="center"/>
                    <w:rPr>
                      <w:rFonts w:hint="default" w:ascii="Times New Roman" w:hAnsi="Times New Roman" w:eastAsia="宋体" w:cs="Times New Roman"/>
                      <w:bCs/>
                      <w:color w:val="auto"/>
                      <w:sz w:val="21"/>
                      <w:szCs w:val="21"/>
                      <w:highlight w:val="none"/>
                    </w:rPr>
                  </w:pPr>
                </w:p>
              </w:tc>
              <w:tc>
                <w:tcPr>
                  <w:tcW w:w="1681" w:type="dxa"/>
                  <w:vAlign w:val="center"/>
                </w:tcPr>
                <w:p>
                  <w:pPr>
                    <w:pStyle w:val="5"/>
                    <w:widowControl/>
                    <w:suppressLineNumbers w:val="0"/>
                    <w:spacing w:before="0" w:beforeAutospacing="0" w:after="0" w:afterAutospacing="0" w:line="300" w:lineRule="exact"/>
                    <w:ind w:left="0" w:right="0"/>
                    <w:rPr>
                      <w:rFonts w:hint="default" w:ascii="Times New Roman" w:hAnsi="Times New Roman" w:eastAsia="宋体" w:cs="Times New Roman"/>
                      <w:b w:val="0"/>
                      <w:color w:val="auto"/>
                      <w:sz w:val="21"/>
                      <w:szCs w:val="21"/>
                      <w:highlight w:val="none"/>
                    </w:rPr>
                  </w:pPr>
                  <w:r>
                    <w:rPr>
                      <w:rFonts w:hint="default" w:ascii="Times New Roman" w:hAnsi="Times New Roman" w:eastAsia="宋体" w:cs="Times New Roman"/>
                      <w:b w:val="0"/>
                      <w:color w:val="auto"/>
                      <w:sz w:val="21"/>
                      <w:szCs w:val="21"/>
                      <w:highlight w:val="none"/>
                      <w:lang w:val="en-US" w:eastAsia="zh-CN"/>
                    </w:rPr>
                    <w:t>水土流失指标</w:t>
                  </w:r>
                </w:p>
              </w:tc>
              <w:tc>
                <w:tcPr>
                  <w:tcW w:w="2760" w:type="dxa"/>
                  <w:vAlign w:val="center"/>
                </w:tcPr>
                <w:p>
                  <w:pPr>
                    <w:pStyle w:val="5"/>
                    <w:widowControl/>
                    <w:suppressLineNumbers w:val="0"/>
                    <w:spacing w:before="0" w:beforeAutospacing="0" w:after="0" w:afterAutospacing="0" w:line="300" w:lineRule="exact"/>
                    <w:ind w:left="0" w:right="0"/>
                    <w:rPr>
                      <w:rFonts w:hint="default" w:ascii="Times New Roman" w:hAnsi="Times New Roman" w:eastAsia="宋体" w:cs="Times New Roman"/>
                      <w:b w:val="0"/>
                      <w:color w:val="auto"/>
                      <w:sz w:val="21"/>
                      <w:szCs w:val="21"/>
                      <w:highlight w:val="none"/>
                      <w:lang w:eastAsia="zh-CN"/>
                    </w:rPr>
                  </w:pPr>
                  <w:r>
                    <w:rPr>
                      <w:rFonts w:hint="default" w:ascii="Times New Roman" w:hAnsi="Times New Roman" w:eastAsia="宋体" w:cs="Times New Roman"/>
                      <w:b w:val="0"/>
                      <w:color w:val="auto"/>
                      <w:sz w:val="21"/>
                      <w:szCs w:val="21"/>
                      <w:highlight w:val="none"/>
                      <w:lang w:val="en-US" w:eastAsia="zh-CN"/>
                    </w:rPr>
                    <w:t>按照水土保持方案设置监测点位，监测内容包含：土壤侵蚀量、</w:t>
                  </w:r>
                  <w:r>
                    <w:rPr>
                      <w:rFonts w:hint="default" w:ascii="Times New Roman" w:hAnsi="Times New Roman" w:eastAsia="宋体" w:cs="Times New Roman"/>
                      <w:b w:val="0"/>
                      <w:color w:val="auto"/>
                      <w:sz w:val="21"/>
                      <w:szCs w:val="21"/>
                      <w:highlight w:val="none"/>
                    </w:rPr>
                    <w:t>水土流失治理度</w:t>
                  </w:r>
                  <w:r>
                    <w:rPr>
                      <w:rFonts w:hint="default" w:ascii="Times New Roman" w:hAnsi="Times New Roman" w:eastAsia="宋体" w:cs="Times New Roman"/>
                      <w:b w:val="0"/>
                      <w:color w:val="auto"/>
                      <w:sz w:val="21"/>
                      <w:szCs w:val="21"/>
                      <w:highlight w:val="none"/>
                      <w:lang w:eastAsia="zh-CN"/>
                    </w:rPr>
                    <w:t>、</w:t>
                  </w:r>
                  <w:r>
                    <w:rPr>
                      <w:rFonts w:hint="default" w:ascii="Times New Roman" w:hAnsi="Times New Roman" w:eastAsia="宋体" w:cs="Times New Roman"/>
                      <w:b w:val="0"/>
                      <w:color w:val="auto"/>
                      <w:sz w:val="21"/>
                      <w:szCs w:val="21"/>
                      <w:highlight w:val="none"/>
                    </w:rPr>
                    <w:t>土壤流失控制比</w:t>
                  </w:r>
                  <w:r>
                    <w:rPr>
                      <w:rFonts w:hint="default" w:ascii="Times New Roman" w:hAnsi="Times New Roman" w:eastAsia="宋体" w:cs="Times New Roman"/>
                      <w:b w:val="0"/>
                      <w:color w:val="auto"/>
                      <w:sz w:val="21"/>
                      <w:szCs w:val="21"/>
                      <w:highlight w:val="none"/>
                      <w:lang w:eastAsia="zh-CN"/>
                    </w:rPr>
                    <w:t>、</w:t>
                  </w:r>
                  <w:r>
                    <w:rPr>
                      <w:rFonts w:hint="default" w:ascii="Times New Roman" w:hAnsi="Times New Roman" w:eastAsia="宋体" w:cs="Times New Roman"/>
                      <w:b w:val="0"/>
                      <w:color w:val="auto"/>
                      <w:sz w:val="21"/>
                      <w:szCs w:val="21"/>
                      <w:highlight w:val="none"/>
                    </w:rPr>
                    <w:t>渣土防护率</w:t>
                  </w:r>
                  <w:r>
                    <w:rPr>
                      <w:rFonts w:hint="default" w:ascii="Times New Roman" w:hAnsi="Times New Roman" w:eastAsia="宋体" w:cs="Times New Roman"/>
                      <w:b w:val="0"/>
                      <w:color w:val="auto"/>
                      <w:sz w:val="21"/>
                      <w:szCs w:val="21"/>
                      <w:highlight w:val="none"/>
                      <w:lang w:eastAsia="zh-CN"/>
                    </w:rPr>
                    <w:t>、</w:t>
                  </w:r>
                  <w:r>
                    <w:rPr>
                      <w:rFonts w:hint="default" w:ascii="Times New Roman" w:hAnsi="Times New Roman" w:eastAsia="宋体" w:cs="Times New Roman"/>
                      <w:b w:val="0"/>
                      <w:color w:val="auto"/>
                      <w:sz w:val="21"/>
                      <w:szCs w:val="21"/>
                      <w:highlight w:val="none"/>
                    </w:rPr>
                    <w:t>表土保护率</w:t>
                  </w:r>
                  <w:r>
                    <w:rPr>
                      <w:rFonts w:hint="default" w:ascii="Times New Roman" w:hAnsi="Times New Roman" w:eastAsia="宋体" w:cs="Times New Roman"/>
                      <w:b w:val="0"/>
                      <w:color w:val="auto"/>
                      <w:sz w:val="21"/>
                      <w:szCs w:val="21"/>
                      <w:highlight w:val="none"/>
                      <w:lang w:eastAsia="zh-CN"/>
                    </w:rPr>
                    <w:t>、</w:t>
                  </w:r>
                  <w:r>
                    <w:rPr>
                      <w:rFonts w:hint="default" w:ascii="Times New Roman" w:hAnsi="Times New Roman" w:eastAsia="宋体" w:cs="Times New Roman"/>
                      <w:b w:val="0"/>
                      <w:color w:val="auto"/>
                      <w:sz w:val="21"/>
                      <w:szCs w:val="21"/>
                      <w:highlight w:val="none"/>
                    </w:rPr>
                    <w:t>林草植被恢复率</w:t>
                  </w:r>
                  <w:r>
                    <w:rPr>
                      <w:rFonts w:hint="default" w:ascii="Times New Roman" w:hAnsi="Times New Roman" w:eastAsia="宋体" w:cs="Times New Roman"/>
                      <w:b w:val="0"/>
                      <w:color w:val="auto"/>
                      <w:sz w:val="21"/>
                      <w:szCs w:val="21"/>
                      <w:highlight w:val="none"/>
                      <w:lang w:eastAsia="zh-CN"/>
                    </w:rPr>
                    <w:t>、</w:t>
                  </w:r>
                  <w:r>
                    <w:rPr>
                      <w:rFonts w:hint="default" w:ascii="Times New Roman" w:hAnsi="Times New Roman" w:eastAsia="宋体" w:cs="Times New Roman"/>
                      <w:b w:val="0"/>
                      <w:color w:val="auto"/>
                      <w:sz w:val="21"/>
                      <w:szCs w:val="21"/>
                      <w:highlight w:val="none"/>
                    </w:rPr>
                    <w:t>林草覆盖率</w:t>
                  </w:r>
                  <w:r>
                    <w:rPr>
                      <w:rFonts w:hint="default" w:ascii="Times New Roman" w:hAnsi="Times New Roman" w:eastAsia="宋体" w:cs="Times New Roman"/>
                      <w:b w:val="0"/>
                      <w:color w:val="auto"/>
                      <w:sz w:val="21"/>
                      <w:szCs w:val="21"/>
                      <w:highlight w:val="none"/>
                      <w:lang w:eastAsia="zh-CN"/>
                    </w:rPr>
                    <w:t>。</w:t>
                  </w:r>
                </w:p>
              </w:tc>
              <w:tc>
                <w:tcPr>
                  <w:tcW w:w="2961" w:type="dxa"/>
                  <w:vAlign w:val="center"/>
                </w:tcPr>
                <w:p>
                  <w:pPr>
                    <w:pStyle w:val="5"/>
                    <w:widowControl/>
                    <w:suppressLineNumbers w:val="0"/>
                    <w:spacing w:before="0" w:beforeAutospacing="0" w:after="0" w:afterAutospacing="0" w:line="300" w:lineRule="exact"/>
                    <w:ind w:left="0" w:right="0"/>
                    <w:rPr>
                      <w:rFonts w:hint="default" w:ascii="Times New Roman" w:hAnsi="Times New Roman" w:eastAsia="宋体" w:cs="Times New Roman"/>
                      <w:b w:val="0"/>
                      <w:color w:val="auto"/>
                      <w:sz w:val="21"/>
                      <w:szCs w:val="21"/>
                      <w:highlight w:val="none"/>
                      <w:lang w:val="en-US" w:eastAsia="zh-CN"/>
                    </w:rPr>
                  </w:pPr>
                  <w:r>
                    <w:rPr>
                      <w:rFonts w:hint="default" w:ascii="Times New Roman" w:hAnsi="Times New Roman" w:eastAsia="宋体" w:cs="Times New Roman"/>
                      <w:b w:val="0"/>
                      <w:color w:val="auto"/>
                      <w:sz w:val="21"/>
                      <w:szCs w:val="21"/>
                      <w:highlight w:val="none"/>
                      <w:lang w:val="en-US" w:eastAsia="zh-CN"/>
                    </w:rPr>
                    <w:t>项目临时占地区域</w:t>
                  </w:r>
                </w:p>
              </w:tc>
            </w:tr>
          </w:tbl>
          <w:p>
            <w:pPr>
              <w:pStyle w:val="26"/>
              <w:keepNext w:val="0"/>
              <w:keepLines w:val="0"/>
              <w:widowControl/>
              <w:suppressLineNumbers w:val="0"/>
              <w:adjustRightInd w:val="0"/>
              <w:snapToGrid w:val="0"/>
              <w:spacing w:before="0" w:beforeAutospacing="0" w:after="0" w:afterAutospacing="0" w:line="360" w:lineRule="auto"/>
              <w:ind w:left="0" w:right="0" w:firstLine="0" w:firstLineChars="0"/>
              <w:jc w:val="left"/>
              <w:rPr>
                <w:rFonts w:hint="default" w:ascii="Times New Roman" w:hAnsi="Times New Roman" w:eastAsia="宋体" w:cs="Times New Roman"/>
                <w:color w:val="auto"/>
                <w:sz w:val="24"/>
                <w:szCs w:val="24"/>
                <w:highlight w:val="none"/>
                <w:lang w:val="en-US"/>
              </w:rPr>
            </w:pPr>
            <w:r>
              <w:rPr>
                <w:rFonts w:hint="default" w:ascii="Times New Roman" w:hAnsi="Times New Roman" w:eastAsia="宋体" w:cs="Times New Roman"/>
                <w:b/>
                <w:bCs w:val="0"/>
                <w:color w:val="auto"/>
                <w:kern w:val="0"/>
                <w:sz w:val="24"/>
                <w:szCs w:val="24"/>
                <w:highlight w:val="none"/>
                <w:lang w:val="en-US" w:eastAsia="zh-CN" w:bidi="ar"/>
              </w:rPr>
              <w:t>3竣工环保验收</w:t>
            </w:r>
          </w:p>
          <w:p>
            <w:pPr>
              <w:pStyle w:val="14"/>
              <w:keepNext w:val="0"/>
              <w:keepLines w:val="0"/>
              <w:widowControl/>
              <w:suppressLineNumbers w:val="0"/>
              <w:adjustRightInd w:val="0"/>
              <w:snapToGrid w:val="0"/>
              <w:spacing w:before="0" w:beforeAutospacing="0" w:after="0" w:afterAutospacing="0" w:line="48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cs="Times New Roman"/>
                <w:b w:val="0"/>
                <w:bCs/>
                <w:color w:val="auto"/>
                <w:highlight w:val="none"/>
                <w:lang w:val="en-US" w:eastAsia="zh-CN"/>
              </w:rPr>
              <w:t>根据</w:t>
            </w:r>
            <w:r>
              <w:rPr>
                <w:rFonts w:hint="default" w:ascii="Times New Roman" w:hAnsi="Times New Roman" w:eastAsia="宋体" w:cs="Times New Roman"/>
                <w:b w:val="0"/>
                <w:bCs/>
                <w:color w:val="auto"/>
                <w:highlight w:val="none"/>
              </w:rPr>
              <w:t>《建设项目竣工环境保护验收暂行办法》（国环规环评〔2017〕4 号）</w:t>
            </w:r>
            <w:r>
              <w:rPr>
                <w:rFonts w:hint="default" w:ascii="Times New Roman" w:hAnsi="Times New Roman" w:cs="Times New Roman"/>
                <w:b w:val="0"/>
                <w:bCs/>
                <w:color w:val="auto"/>
                <w:highlight w:val="none"/>
                <w:lang w:eastAsia="zh-CN"/>
              </w:rPr>
              <w:t>，</w:t>
            </w:r>
            <w:r>
              <w:rPr>
                <w:rFonts w:hint="default" w:ascii="Times New Roman" w:hAnsi="Times New Roman" w:eastAsia="宋体" w:cs="Times New Roman"/>
                <w:b w:val="0"/>
                <w:bCs/>
                <w:color w:val="auto"/>
                <w:sz w:val="24"/>
                <w:szCs w:val="24"/>
                <w:highlight w:val="none"/>
                <w:lang w:val="en-US" w:eastAsia="zh-CN" w:bidi="ar-SA"/>
              </w:rPr>
              <w:t>建设项目竣工后，建设单位应当如实查验、监测、记载建设项目环境保护设施的建设和调试情况，编制验收监测（调查）报告。建设单位是验收责任主体，对验收真实性、准确性、完整性负责，不得弄虚作假。除按照国家需要保密的情形外，建设单位应当通过其网站</w:t>
            </w:r>
            <w:r>
              <w:rPr>
                <w:rFonts w:hint="default" w:ascii="Times New Roman" w:hAnsi="Times New Roman" w:cs="Times New Roman"/>
                <w:b w:val="0"/>
                <w:bCs/>
                <w:color w:val="auto"/>
                <w:sz w:val="24"/>
                <w:szCs w:val="24"/>
                <w:highlight w:val="none"/>
                <w:lang w:val="en-US" w:eastAsia="zh-CN" w:bidi="ar-SA"/>
              </w:rPr>
              <w:t>（</w:t>
            </w:r>
            <w:r>
              <w:rPr>
                <w:rFonts w:hint="default" w:ascii="Times New Roman" w:hAnsi="Times New Roman" w:cs="Times New Roman"/>
                <w:b w:val="0"/>
                <w:bCs/>
                <w:color w:val="auto"/>
                <w:sz w:val="22"/>
                <w:szCs w:val="22"/>
                <w:highlight w:val="none"/>
                <w:lang w:val="en-US" w:eastAsia="zh-CN" w:bidi="ar-SA"/>
              </w:rPr>
              <w:t>如生态环境公示网https://gongshi.qsyhbgj.com</w:t>
            </w:r>
            <w:r>
              <w:rPr>
                <w:rFonts w:hint="default" w:ascii="Times New Roman" w:hAnsi="Times New Roman" w:cs="Times New Roman"/>
                <w:b w:val="0"/>
                <w:bCs/>
                <w:color w:val="auto"/>
                <w:sz w:val="24"/>
                <w:szCs w:val="24"/>
                <w:highlight w:val="none"/>
                <w:lang w:val="en-US" w:eastAsia="zh-CN" w:bidi="ar-SA"/>
              </w:rPr>
              <w:t>）</w:t>
            </w:r>
            <w:r>
              <w:rPr>
                <w:rFonts w:hint="default" w:ascii="Times New Roman" w:hAnsi="Times New Roman" w:eastAsia="宋体" w:cs="Times New Roman"/>
                <w:b w:val="0"/>
                <w:bCs/>
                <w:color w:val="auto"/>
                <w:sz w:val="24"/>
                <w:szCs w:val="24"/>
                <w:highlight w:val="none"/>
                <w:lang w:val="en-US" w:eastAsia="zh-CN" w:bidi="ar-SA"/>
              </w:rPr>
              <w:t>或其他便于公众知晓的方式，向社会公开下列信息：（一）建设项目配套建设的环境保护设施竣工后，公开竣工日 期；（二）对建设项目配套建设的环境保护设施进行调试前，公开调试的起止日期；（三）验收报告编制完成后 5 个工作日内，公开验收报告，公示的期限不得少于 20 个工作日。建设单位公开上述信息的同时，应当向所在地县级以上环境保 护主管部门报送相关信息，并接受监督检查。</w:t>
            </w:r>
          </w:p>
        </w:tc>
      </w:tr>
      <w:bookmarkEnd w:id="108"/>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26" w:hRule="atLeast"/>
          <w:jc w:val="center"/>
        </w:trPr>
        <w:tc>
          <w:tcPr>
            <w:tcW w:w="753" w:type="dxa"/>
            <w:noWrap/>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Cs/>
                <w:color w:val="auto"/>
                <w:spacing w:val="10"/>
                <w:szCs w:val="21"/>
                <w:highlight w:val="none"/>
              </w:rPr>
            </w:pPr>
            <w:r>
              <w:rPr>
                <w:rFonts w:hint="default" w:ascii="Times New Roman" w:hAnsi="Times New Roman" w:eastAsia="宋体" w:cs="Times New Roman"/>
                <w:bCs/>
                <w:color w:val="auto"/>
                <w:highlight w:val="none"/>
              </w:rPr>
              <w:t>环保投资</w:t>
            </w:r>
          </w:p>
        </w:tc>
        <w:tc>
          <w:tcPr>
            <w:tcW w:w="8457" w:type="dxa"/>
            <w:noWrap/>
          </w:tcPr>
          <w:p>
            <w:pPr>
              <w:pStyle w:val="11"/>
              <w:keepNext w:val="0"/>
              <w:keepLines w:val="0"/>
              <w:widowControl/>
              <w:suppressLineNumbers w:val="0"/>
              <w:spacing w:before="0" w:beforeAutospacing="0" w:after="0" w:afterAutospacing="0"/>
              <w:ind w:left="0" w:leftChars="0" w:right="0" w:firstLine="480"/>
              <w:rPr>
                <w:rFonts w:hint="default" w:ascii="Times New Roman" w:hAnsi="Times New Roman" w:eastAsia="宋体" w:cs="Times New Roman"/>
                <w:color w:val="auto"/>
                <w:sz w:val="24"/>
                <w:highlight w:val="none"/>
              </w:rPr>
            </w:pPr>
            <w:bookmarkStart w:id="111" w:name="_Hlk202786069"/>
            <w:r>
              <w:rPr>
                <w:rFonts w:hint="default" w:ascii="Times New Roman" w:hAnsi="Times New Roman" w:eastAsia="宋体" w:cs="Times New Roman"/>
                <w:color w:val="auto"/>
                <w:sz w:val="24"/>
                <w:highlight w:val="none"/>
              </w:rPr>
              <w:t>本项目总投资为</w:t>
            </w:r>
            <w:r>
              <w:rPr>
                <w:rFonts w:hint="default" w:ascii="Times New Roman" w:hAnsi="Times New Roman" w:eastAsia="宋体" w:cs="Times New Roman"/>
                <w:bCs/>
                <w:color w:val="auto"/>
                <w:sz w:val="24"/>
                <w:highlight w:val="none"/>
                <w:lang w:eastAsia="zh-CN"/>
              </w:rPr>
              <w:t xml:space="preserve">10000 </w:t>
            </w:r>
            <w:r>
              <w:rPr>
                <w:rFonts w:hint="default" w:ascii="Times New Roman" w:hAnsi="Times New Roman" w:eastAsia="宋体" w:cs="Times New Roman"/>
                <w:bCs/>
                <w:color w:val="auto"/>
                <w:sz w:val="24"/>
                <w:highlight w:val="none"/>
              </w:rPr>
              <w:t>万</w:t>
            </w:r>
            <w:r>
              <w:rPr>
                <w:rFonts w:hint="default" w:ascii="Times New Roman" w:hAnsi="Times New Roman" w:eastAsia="宋体" w:cs="Times New Roman"/>
                <w:color w:val="auto"/>
                <w:sz w:val="24"/>
                <w:highlight w:val="none"/>
              </w:rPr>
              <w:t>元，其中环保投资约</w:t>
            </w:r>
            <w:r>
              <w:rPr>
                <w:rFonts w:hint="eastAsia" w:ascii="Times New Roman" w:hAnsi="Times New Roman" w:eastAsia="宋体" w:cs="Times New Roman"/>
                <w:color w:val="auto"/>
                <w:sz w:val="24"/>
                <w:highlight w:val="none"/>
                <w:lang w:val="en-US" w:eastAsia="zh-CN"/>
              </w:rPr>
              <w:t>100</w:t>
            </w:r>
            <w:r>
              <w:rPr>
                <w:rFonts w:hint="default" w:ascii="Times New Roman" w:hAnsi="Times New Roman" w:eastAsia="宋体" w:cs="Times New Roman"/>
                <w:color w:val="auto"/>
                <w:sz w:val="24"/>
                <w:highlight w:val="none"/>
              </w:rPr>
              <w:t>万元，占总投资额的</w:t>
            </w:r>
            <w:r>
              <w:rPr>
                <w:rFonts w:hint="eastAsia" w:ascii="Times New Roman" w:hAnsi="Times New Roman" w:eastAsia="宋体" w:cs="Times New Roman"/>
                <w:color w:val="auto"/>
                <w:sz w:val="24"/>
                <w:highlight w:val="none"/>
                <w:lang w:val="en-US" w:eastAsia="zh-CN"/>
              </w:rPr>
              <w:t>1</w:t>
            </w:r>
            <w:r>
              <w:rPr>
                <w:rFonts w:hint="default" w:ascii="Times New Roman" w:hAnsi="Times New Roman" w:eastAsia="宋体" w:cs="Times New Roman"/>
                <w:color w:val="auto"/>
                <w:sz w:val="24"/>
                <w:highlight w:val="none"/>
              </w:rPr>
              <w:t>%。环保投资明细见下表5-</w:t>
            </w:r>
            <w:r>
              <w:rPr>
                <w:rFonts w:hint="default" w:ascii="Times New Roman" w:hAnsi="Times New Roman" w:eastAsia="宋体" w:cs="Times New Roman"/>
                <w:color w:val="auto"/>
                <w:sz w:val="24"/>
                <w:highlight w:val="none"/>
                <w:lang w:val="en-US" w:eastAsia="zh-CN"/>
              </w:rPr>
              <w:t>6</w:t>
            </w:r>
            <w:r>
              <w:rPr>
                <w:rFonts w:hint="default" w:ascii="Times New Roman" w:hAnsi="Times New Roman" w:eastAsia="宋体" w:cs="Times New Roman"/>
                <w:color w:val="auto"/>
                <w:sz w:val="24"/>
                <w:highlight w:val="none"/>
              </w:rPr>
              <w:t>。</w:t>
            </w:r>
          </w:p>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color w:val="auto"/>
                <w:highlight w:val="none"/>
              </w:rPr>
            </w:pPr>
            <w:r>
              <w:rPr>
                <w:rFonts w:hint="eastAsia" w:ascii="Times New Roman" w:hAnsi="Times New Roman" w:cs="Times New Roman"/>
                <w:b/>
                <w:color w:val="auto"/>
                <w:sz w:val="24"/>
                <w:szCs w:val="24"/>
                <w:highlight w:val="none"/>
              </w:rPr>
              <w:t>表5-</w:t>
            </w:r>
            <w:r>
              <w:rPr>
                <w:rFonts w:hint="eastAsia" w:ascii="Times New Roman" w:hAnsi="Times New Roman" w:eastAsia="Times New Roman" w:cs="Times New Roman"/>
                <w:b/>
                <w:color w:val="auto"/>
                <w:sz w:val="24"/>
                <w:szCs w:val="24"/>
                <w:highlight w:val="none"/>
              </w:rPr>
              <w:t xml:space="preserve">6 </w:t>
            </w:r>
            <w:r>
              <w:rPr>
                <w:rFonts w:hint="eastAsia" w:ascii="Times New Roman" w:hAnsi="Times New Roman" w:cs="Times New Roman"/>
                <w:b/>
                <w:color w:val="auto"/>
                <w:sz w:val="24"/>
                <w:szCs w:val="24"/>
                <w:highlight w:val="none"/>
              </w:rPr>
              <w:t>本项目环保投资估算一览表</w:t>
            </w:r>
          </w:p>
          <w:tbl>
            <w:tblPr>
              <w:tblStyle w:val="28"/>
              <w:tblW w:w="7978" w:type="dxa"/>
              <w:tblInd w:w="-23"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659"/>
              <w:gridCol w:w="3888"/>
              <w:gridCol w:w="14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4" w:hRule="atLeast"/>
              </w:trPr>
              <w:tc>
                <w:tcPr>
                  <w:tcW w:w="2659"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投资阶段</w:t>
                  </w: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环保措施</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r>
                    <w:rPr>
                      <w:rFonts w:hint="eastAsia" w:cs="宋体"/>
                      <w:i w:val="0"/>
                      <w:iCs w:val="0"/>
                      <w:color w:val="auto"/>
                      <w:kern w:val="0"/>
                      <w:sz w:val="22"/>
                      <w:szCs w:val="22"/>
                      <w:highlight w:val="none"/>
                      <w:u w:val="none"/>
                      <w:lang w:val="en-US" w:eastAsia="zh-CN" w:bidi="ar"/>
                    </w:rPr>
                    <w:t>环保投资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3" w:hRule="exact"/>
              </w:trPr>
              <w:tc>
                <w:tcPr>
                  <w:tcW w:w="2659" w:type="dxa"/>
                  <w:vMerge w:val="restart"/>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施工期</w:t>
                  </w: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施工期建筑垃圾处置费</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PrEx>
              <w:trPr>
                <w:trHeight w:val="283" w:hRule="exact"/>
              </w:trPr>
              <w:tc>
                <w:tcPr>
                  <w:tcW w:w="2659" w:type="dxa"/>
                  <w:vMerge w:val="continue"/>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施工场地扬尘、噪声污染治理</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3" w:hRule="exact"/>
              </w:trPr>
              <w:tc>
                <w:tcPr>
                  <w:tcW w:w="2659" w:type="dxa"/>
                  <w:vMerge w:val="continue"/>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施工期生活污水处理设施</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3" w:hRule="exact"/>
              </w:trPr>
              <w:tc>
                <w:tcPr>
                  <w:tcW w:w="2659" w:type="dxa"/>
                  <w:vMerge w:val="continue"/>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施工期泥沙沉淀池</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3" w:hRule="exact"/>
              </w:trPr>
              <w:tc>
                <w:tcPr>
                  <w:tcW w:w="2659" w:type="dxa"/>
                  <w:vMerge w:val="continue"/>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施工期固体废物临时贮存设施</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PrEx>
              <w:trPr>
                <w:trHeight w:val="283" w:hRule="exact"/>
              </w:trPr>
              <w:tc>
                <w:tcPr>
                  <w:tcW w:w="2659" w:type="dxa"/>
                  <w:vMerge w:val="continue"/>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施工迹地生态恢复与植被重建工程</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3" w:hRule="exact"/>
              </w:trPr>
              <w:tc>
                <w:tcPr>
                  <w:tcW w:w="2659" w:type="dxa"/>
                  <w:vMerge w:val="continue"/>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临时、永久占地林草植被补偿费</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283" w:hRule="exact"/>
              </w:trPr>
              <w:tc>
                <w:tcPr>
                  <w:tcW w:w="2659" w:type="dxa"/>
                  <w:vMerge w:val="restart"/>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运营期</w:t>
                  </w: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设备减震减振垫、主变防火墙隔声</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659" w:type="dxa"/>
                  <w:vMerge w:val="continue"/>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电磁辐射防护设施警示标识</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659" w:type="dxa"/>
                  <w:vMerge w:val="continue"/>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鸟类防护设施（防鸟刺、反光标志）</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3" w:hRule="exact"/>
              </w:trPr>
              <w:tc>
                <w:tcPr>
                  <w:tcW w:w="2659" w:type="dxa"/>
                  <w:vMerge w:val="continue"/>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运营期定期环境监测费</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3" w:hRule="exact"/>
              </w:trPr>
              <w:tc>
                <w:tcPr>
                  <w:tcW w:w="2659" w:type="dxa"/>
                  <w:vMerge w:val="continue"/>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危险废物贮存库建设及委托处置费</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PrEx>
              <w:trPr>
                <w:trHeight w:val="283" w:hRule="exact"/>
              </w:trPr>
              <w:tc>
                <w:tcPr>
                  <w:tcW w:w="2659" w:type="dxa"/>
                  <w:vMerge w:val="continue"/>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事故油池坑建设费</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3" w:hRule="exact"/>
              </w:trPr>
              <w:tc>
                <w:tcPr>
                  <w:tcW w:w="2659" w:type="dxa"/>
                  <w:vMerge w:val="continue"/>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环保设施日常运维费</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2659" w:type="dxa"/>
                  <w:vMerge w:val="continue"/>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kern w:val="0"/>
                      <w:sz w:val="22"/>
                      <w:szCs w:val="22"/>
                      <w:highlight w:val="none"/>
                      <w:u w:val="none"/>
                      <w:lang w:val="en-US" w:eastAsia="zh-CN" w:bidi="ar"/>
                    </w:rPr>
                  </w:pPr>
                </w:p>
              </w:tc>
              <w:tc>
                <w:tcPr>
                  <w:tcW w:w="3888"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环境影响评价及竣工环保验收监测</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3" w:hRule="atLeast"/>
              </w:trPr>
              <w:tc>
                <w:tcPr>
                  <w:tcW w:w="6547" w:type="dxa"/>
                  <w:gridSpan w:val="2"/>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olor w:val="auto"/>
                      <w:sz w:val="22"/>
                      <w:szCs w:val="22"/>
                      <w:highlight w:val="none"/>
                      <w:u w:val="none"/>
                      <w:lang w:val="en-US" w:eastAsia="zh-CN"/>
                    </w:rPr>
                  </w:pPr>
                  <w:r>
                    <w:rPr>
                      <w:rFonts w:hint="eastAsia" w:ascii="宋体" w:hAnsi="宋体" w:eastAsia="宋体" w:cs="宋体"/>
                      <w:i w:val="0"/>
                      <w:iCs w:val="0"/>
                      <w:color w:val="auto"/>
                      <w:sz w:val="22"/>
                      <w:szCs w:val="22"/>
                      <w:highlight w:val="none"/>
                      <w:u w:val="none"/>
                      <w:lang w:val="en-US" w:eastAsia="zh-CN"/>
                    </w:rPr>
                    <w:t>合计</w:t>
                  </w:r>
                </w:p>
              </w:tc>
              <w:tc>
                <w:tcPr>
                  <w:tcW w:w="1431" w:type="dxa"/>
                  <w:tcBorders>
                    <w:tl2br w:val="nil"/>
                    <w:tr2bl w:val="nil"/>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auto"/>
                      <w:sz w:val="22"/>
                      <w:szCs w:val="22"/>
                      <w:highlight w:val="none"/>
                      <w:u w:val="none"/>
                      <w:lang w:val="en-US" w:eastAsia="zh-CN" w:bidi="ar-SA"/>
                    </w:rPr>
                  </w:pPr>
                  <w:r>
                    <w:rPr>
                      <w:rFonts w:hint="eastAsia" w:ascii="宋体" w:hAnsi="宋体" w:eastAsia="宋体" w:cs="宋体"/>
                      <w:i w:val="0"/>
                      <w:iCs w:val="0"/>
                      <w:color w:val="auto"/>
                      <w:kern w:val="0"/>
                      <w:sz w:val="22"/>
                      <w:szCs w:val="22"/>
                      <w:highlight w:val="none"/>
                      <w:u w:val="none"/>
                      <w:lang w:val="en-US" w:eastAsia="zh-CN" w:bidi="ar"/>
                    </w:rPr>
                    <w:t>100</w:t>
                  </w:r>
                </w:p>
              </w:tc>
            </w:tr>
          </w:tbl>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b/>
                <w:color w:val="auto"/>
                <w:highlight w:val="none"/>
              </w:rPr>
            </w:pPr>
          </w:p>
          <w:bookmarkEnd w:id="111"/>
          <w:p>
            <w:pPr>
              <w:keepNext w:val="0"/>
              <w:keepLines w:val="0"/>
              <w:widowControl/>
              <w:suppressLineNumbers w:val="0"/>
              <w:spacing w:before="0" w:beforeAutospacing="0" w:after="0" w:afterAutospacing="0"/>
              <w:ind w:left="0" w:right="0"/>
              <w:rPr>
                <w:rFonts w:hint="default" w:ascii="Times New Roman" w:hAnsi="Times New Roman" w:eastAsia="宋体" w:cs="Times New Roman"/>
                <w:color w:val="auto"/>
                <w:highlight w:val="none"/>
              </w:rPr>
            </w:pPr>
          </w:p>
        </w:tc>
      </w:tr>
    </w:tbl>
    <w:p>
      <w:pPr>
        <w:rPr>
          <w:rFonts w:hint="default" w:ascii="Times New Roman" w:hAnsi="Times New Roman" w:eastAsia="宋体" w:cs="Times New Roman"/>
          <w:snapToGrid w:val="0"/>
          <w:color w:val="auto"/>
          <w:highlight w:val="none"/>
        </w:rPr>
      </w:pPr>
      <w:bookmarkStart w:id="112" w:name="_Toc201659589"/>
      <w:bookmarkStart w:id="113" w:name="_Toc118237985"/>
      <w:bookmarkStart w:id="114" w:name="_Toc122187739"/>
      <w:bookmarkStart w:id="115" w:name="_Toc201659449"/>
      <w:bookmarkStart w:id="116" w:name="_Toc97229038"/>
      <w:bookmarkStart w:id="117" w:name="_Toc201659321"/>
      <w:bookmarkStart w:id="118" w:name="_Toc118834724"/>
      <w:bookmarkStart w:id="119" w:name="_Toc202798676"/>
      <w:bookmarkStart w:id="120" w:name="_Hlk202785366"/>
      <w:bookmarkStart w:id="121" w:name="_Toc67826174"/>
      <w:bookmarkStart w:id="122" w:name="_Toc70009663"/>
      <w:bookmarkStart w:id="123" w:name="_Toc67825880"/>
      <w:bookmarkStart w:id="124" w:name="_Toc70009851"/>
      <w:bookmarkStart w:id="125" w:name="_Toc70007238"/>
      <w:bookmarkStart w:id="126" w:name="_Toc72921456"/>
      <w:r>
        <w:rPr>
          <w:rFonts w:hint="default" w:ascii="Times New Roman" w:hAnsi="Times New Roman" w:eastAsia="宋体" w:cs="Times New Roman"/>
          <w:snapToGrid w:val="0"/>
          <w:color w:val="auto"/>
          <w:highlight w:val="none"/>
        </w:rPr>
        <w:br w:type="page"/>
      </w:r>
    </w:p>
    <w:p>
      <w:pPr>
        <w:pStyle w:val="26"/>
        <w:spacing w:before="0" w:beforeAutospacing="0" w:after="0" w:afterAutospacing="0"/>
        <w:jc w:val="center"/>
        <w:outlineLvl w:val="0"/>
        <w:rPr>
          <w:rFonts w:hint="default" w:ascii="Times New Roman" w:hAnsi="Times New Roman" w:eastAsia="宋体" w:cs="Times New Roman"/>
          <w:snapToGrid w:val="0"/>
          <w:color w:val="auto"/>
          <w:sz w:val="30"/>
          <w:szCs w:val="30"/>
          <w:highlight w:val="none"/>
        </w:rPr>
      </w:pPr>
      <w:bookmarkStart w:id="127" w:name="_Toc20487"/>
      <w:bookmarkStart w:id="128" w:name="_Toc210812363"/>
      <w:bookmarkStart w:id="129" w:name="_Toc15147"/>
      <w:bookmarkStart w:id="130" w:name="_Toc215697934"/>
      <w:r>
        <w:rPr>
          <w:rFonts w:hint="default" w:ascii="Times New Roman" w:hAnsi="Times New Roman" w:eastAsia="宋体" w:cs="Times New Roman"/>
          <w:snapToGrid w:val="0"/>
          <w:color w:val="auto"/>
          <w:sz w:val="30"/>
          <w:szCs w:val="30"/>
          <w:highlight w:val="none"/>
        </w:rPr>
        <w:t>六、生态环境保护措施监督检查清单</w:t>
      </w:r>
      <w:bookmarkEnd w:id="112"/>
      <w:bookmarkEnd w:id="113"/>
      <w:bookmarkEnd w:id="114"/>
      <w:bookmarkEnd w:id="115"/>
      <w:bookmarkEnd w:id="116"/>
      <w:bookmarkEnd w:id="117"/>
      <w:bookmarkEnd w:id="118"/>
      <w:bookmarkEnd w:id="119"/>
      <w:bookmarkEnd w:id="127"/>
      <w:bookmarkEnd w:id="128"/>
      <w:bookmarkEnd w:id="129"/>
      <w:bookmarkEnd w:id="130"/>
    </w:p>
    <w:tbl>
      <w:tblPr>
        <w:tblStyle w:val="28"/>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67"/>
        <w:gridCol w:w="1541"/>
        <w:gridCol w:w="1902"/>
        <w:gridCol w:w="17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45" w:type="pct"/>
            <w:vMerge w:val="restart"/>
            <w:tcBorders>
              <w:tl2br w:val="nil"/>
              <w:tr2bl w:val="nil"/>
            </w:tcBorders>
            <w:noWrap/>
            <w:vAlign w:val="center"/>
          </w:tcPr>
          <w:p>
            <w:pPr>
              <w:pStyle w:val="26"/>
              <w:keepNext w:val="0"/>
              <w:keepLines w:val="0"/>
              <w:widowControl/>
              <w:suppressLineNumbers w:val="0"/>
              <w:adjustRightInd w:val="0"/>
              <w:snapToGrid w:val="0"/>
              <w:spacing w:before="72" w:beforeLines="30" w:beforeAutospacing="0" w:after="0" w:afterAutospacing="0"/>
              <w:ind w:left="0" w:right="0"/>
              <w:jc w:val="right"/>
              <w:outlineLvl w:val="9"/>
              <w:rPr>
                <w:rFonts w:hint="default" w:ascii="Times New Roman" w:hAnsi="Times New Roman" w:eastAsia="宋体" w:cs="Times New Roman"/>
                <w:b/>
                <w:color w:val="auto"/>
                <w:kern w:val="2"/>
                <w:sz w:val="21"/>
                <w:szCs w:val="21"/>
                <w:highlight w:val="none"/>
              </w:rPr>
            </w:pPr>
            <w:bookmarkStart w:id="131" w:name="_Toc201659590"/>
            <w:bookmarkStart w:id="132" w:name="_Toc202798677"/>
            <w:bookmarkStart w:id="133" w:name="_Toc122187740"/>
            <w:bookmarkStart w:id="134" w:name="_Toc118237986"/>
            <w:bookmarkStart w:id="135" w:name="_Toc97229039"/>
            <w:bookmarkStart w:id="136" w:name="_Toc210812364"/>
            <w:bookmarkStart w:id="137" w:name="_Toc201659322"/>
            <w:bookmarkStart w:id="138" w:name="_Toc118834725"/>
            <w:bookmarkStart w:id="139" w:name="_Toc201659450"/>
            <w:bookmarkStart w:id="140" w:name="_Toc215697935"/>
            <w:r>
              <w:rPr>
                <w:rFonts w:hint="default" w:ascii="Times New Roman" w:hAnsi="Times New Roman" w:eastAsia="宋体" w:cs="Times New Roman"/>
                <w:b/>
                <w:color w:val="auto"/>
                <w:kern w:val="2"/>
                <w:sz w:val="21"/>
                <w:szCs w:val="21"/>
                <w:highlight w:val="none"/>
              </w:rPr>
              <w:t>内容</w:t>
            </w:r>
            <w:bookmarkEnd w:id="131"/>
            <w:bookmarkEnd w:id="132"/>
            <w:bookmarkEnd w:id="133"/>
            <w:bookmarkEnd w:id="134"/>
            <w:bookmarkEnd w:id="135"/>
            <w:bookmarkEnd w:id="136"/>
            <w:bookmarkEnd w:id="137"/>
            <w:bookmarkEnd w:id="138"/>
            <w:bookmarkEnd w:id="139"/>
            <w:bookmarkEnd w:id="140"/>
          </w:p>
          <w:p>
            <w:pPr>
              <w:pStyle w:val="26"/>
              <w:keepNext w:val="0"/>
              <w:keepLines w:val="0"/>
              <w:widowControl/>
              <w:suppressLineNumbers w:val="0"/>
              <w:adjustRightInd w:val="0"/>
              <w:snapToGrid w:val="0"/>
              <w:spacing w:before="72" w:beforeLines="30" w:beforeAutospacing="0" w:after="0" w:afterAutospacing="0"/>
              <w:ind w:left="0" w:right="0"/>
              <w:jc w:val="center"/>
              <w:outlineLvl w:val="9"/>
              <w:rPr>
                <w:rFonts w:hint="default" w:ascii="Times New Roman" w:hAnsi="Times New Roman" w:eastAsia="宋体" w:cs="Times New Roman"/>
                <w:b/>
                <w:color w:val="auto"/>
                <w:kern w:val="2"/>
                <w:sz w:val="21"/>
                <w:szCs w:val="21"/>
                <w:highlight w:val="none"/>
              </w:rPr>
            </w:pPr>
          </w:p>
          <w:p>
            <w:pPr>
              <w:pStyle w:val="26"/>
              <w:keepNext w:val="0"/>
              <w:keepLines w:val="0"/>
              <w:widowControl/>
              <w:suppressLineNumbers w:val="0"/>
              <w:adjustRightInd w:val="0"/>
              <w:snapToGrid w:val="0"/>
              <w:spacing w:before="0" w:beforeAutospacing="0" w:after="0" w:afterAutospacing="0" w:line="14" w:lineRule="auto"/>
              <w:ind w:left="0" w:right="0"/>
              <w:outlineLvl w:val="9"/>
              <w:rPr>
                <w:rFonts w:hint="default" w:ascii="Times New Roman" w:hAnsi="Times New Roman" w:eastAsia="宋体" w:cs="Times New Roman"/>
                <w:b/>
                <w:color w:val="auto"/>
                <w:kern w:val="2"/>
                <w:sz w:val="21"/>
                <w:szCs w:val="21"/>
                <w:highlight w:val="none"/>
              </w:rPr>
            </w:pPr>
          </w:p>
          <w:p>
            <w:pPr>
              <w:pStyle w:val="26"/>
              <w:keepNext w:val="0"/>
              <w:keepLines w:val="0"/>
              <w:widowControl/>
              <w:suppressLineNumbers w:val="0"/>
              <w:adjustRightInd w:val="0"/>
              <w:snapToGrid w:val="0"/>
              <w:spacing w:before="0" w:beforeAutospacing="0" w:after="0" w:afterAutospacing="0"/>
              <w:ind w:left="0" w:right="0"/>
              <w:outlineLvl w:val="9"/>
              <w:rPr>
                <w:rFonts w:hint="default" w:ascii="Times New Roman" w:hAnsi="Times New Roman" w:eastAsia="宋体" w:cs="Times New Roman"/>
                <w:b/>
                <w:color w:val="auto"/>
                <w:kern w:val="2"/>
                <w:sz w:val="21"/>
                <w:szCs w:val="21"/>
                <w:highlight w:val="none"/>
              </w:rPr>
            </w:pPr>
            <w:bookmarkStart w:id="141" w:name="_Toc201659323"/>
            <w:bookmarkStart w:id="142" w:name="_Toc118834726"/>
            <w:bookmarkStart w:id="143" w:name="_Toc122187741"/>
            <w:bookmarkStart w:id="144" w:name="_Toc201659591"/>
            <w:bookmarkStart w:id="145" w:name="_Toc201659451"/>
            <w:bookmarkStart w:id="146" w:name="_Toc215697936"/>
            <w:bookmarkStart w:id="147" w:name="_Toc118237987"/>
            <w:bookmarkStart w:id="148" w:name="_Toc202798678"/>
            <w:bookmarkStart w:id="149" w:name="_Toc97229040"/>
            <w:bookmarkStart w:id="150" w:name="_Toc210812365"/>
            <w:r>
              <w:rPr>
                <w:rFonts w:hint="default" w:ascii="Times New Roman" w:hAnsi="Times New Roman" w:eastAsia="宋体" w:cs="Times New Roman"/>
                <w:b/>
                <w:color w:val="auto"/>
                <w:kern w:val="2"/>
                <w:sz w:val="21"/>
                <w:szCs w:val="21"/>
                <w:highlight w:val="none"/>
              </w:rPr>
              <w:t>要素</w:t>
            </w:r>
            <w:bookmarkEnd w:id="141"/>
            <w:bookmarkEnd w:id="142"/>
            <w:bookmarkEnd w:id="143"/>
            <w:bookmarkEnd w:id="144"/>
            <w:bookmarkEnd w:id="145"/>
            <w:bookmarkEnd w:id="146"/>
            <w:bookmarkEnd w:id="147"/>
            <w:bookmarkEnd w:id="148"/>
            <w:bookmarkEnd w:id="149"/>
            <w:bookmarkEnd w:id="150"/>
          </w:p>
        </w:tc>
        <w:tc>
          <w:tcPr>
            <w:tcW w:w="2234" w:type="pct"/>
            <w:gridSpan w:val="2"/>
            <w:tcBorders>
              <w:tl2br w:val="nil"/>
              <w:tr2bl w:val="nil"/>
            </w:tcBorders>
            <w:noWrap/>
            <w:vAlign w:val="center"/>
          </w:tcPr>
          <w:p>
            <w:pPr>
              <w:pStyle w:val="26"/>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b/>
                <w:color w:val="auto"/>
                <w:kern w:val="2"/>
                <w:sz w:val="21"/>
                <w:szCs w:val="21"/>
                <w:highlight w:val="none"/>
              </w:rPr>
            </w:pPr>
            <w:bookmarkStart w:id="151" w:name="_Toc201659592"/>
            <w:bookmarkStart w:id="152" w:name="_Toc97229041"/>
            <w:bookmarkStart w:id="153" w:name="_Toc202798679"/>
            <w:bookmarkStart w:id="154" w:name="_Toc210812366"/>
            <w:bookmarkStart w:id="155" w:name="_Toc118834727"/>
            <w:bookmarkStart w:id="156" w:name="_Toc201659452"/>
            <w:bookmarkStart w:id="157" w:name="_Toc122187742"/>
            <w:bookmarkStart w:id="158" w:name="_Toc215697937"/>
            <w:bookmarkStart w:id="159" w:name="_Toc201659324"/>
            <w:bookmarkStart w:id="160" w:name="_Toc118237988"/>
            <w:r>
              <w:rPr>
                <w:rFonts w:hint="default" w:ascii="Times New Roman" w:hAnsi="Times New Roman" w:eastAsia="宋体" w:cs="Times New Roman"/>
                <w:b/>
                <w:color w:val="auto"/>
                <w:kern w:val="2"/>
                <w:sz w:val="21"/>
                <w:szCs w:val="21"/>
                <w:highlight w:val="none"/>
              </w:rPr>
              <w:t>施工期</w:t>
            </w:r>
            <w:bookmarkEnd w:id="151"/>
            <w:bookmarkEnd w:id="152"/>
            <w:bookmarkEnd w:id="153"/>
            <w:bookmarkEnd w:id="154"/>
            <w:bookmarkEnd w:id="155"/>
            <w:bookmarkEnd w:id="156"/>
            <w:bookmarkEnd w:id="157"/>
            <w:bookmarkEnd w:id="158"/>
            <w:bookmarkEnd w:id="159"/>
            <w:bookmarkEnd w:id="160"/>
          </w:p>
        </w:tc>
        <w:tc>
          <w:tcPr>
            <w:tcW w:w="2119" w:type="pct"/>
            <w:gridSpan w:val="2"/>
            <w:tcBorders>
              <w:tl2br w:val="nil"/>
              <w:tr2bl w:val="nil"/>
            </w:tcBorders>
            <w:noWrap/>
            <w:vAlign w:val="center"/>
          </w:tcPr>
          <w:p>
            <w:pPr>
              <w:pStyle w:val="26"/>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b/>
                <w:color w:val="auto"/>
                <w:kern w:val="2"/>
                <w:sz w:val="21"/>
                <w:szCs w:val="21"/>
                <w:highlight w:val="none"/>
              </w:rPr>
            </w:pPr>
            <w:bookmarkStart w:id="161" w:name="_Toc122187743"/>
            <w:bookmarkStart w:id="162" w:name="_Toc201659325"/>
            <w:bookmarkStart w:id="163" w:name="_Toc201659453"/>
            <w:bookmarkStart w:id="164" w:name="_Toc201659593"/>
            <w:bookmarkStart w:id="165" w:name="_Toc97229042"/>
            <w:bookmarkStart w:id="166" w:name="_Toc118237989"/>
            <w:bookmarkStart w:id="167" w:name="_Toc118834728"/>
            <w:bookmarkStart w:id="168" w:name="_Toc210812367"/>
            <w:bookmarkStart w:id="169" w:name="_Toc215697938"/>
            <w:bookmarkStart w:id="170" w:name="_Toc202798680"/>
            <w:r>
              <w:rPr>
                <w:rFonts w:hint="default" w:ascii="Times New Roman" w:hAnsi="Times New Roman" w:eastAsia="宋体" w:cs="Times New Roman"/>
                <w:b/>
                <w:color w:val="auto"/>
                <w:kern w:val="2"/>
                <w:sz w:val="21"/>
                <w:szCs w:val="21"/>
                <w:highlight w:val="none"/>
              </w:rPr>
              <w:t>运营期</w:t>
            </w:r>
            <w:bookmarkEnd w:id="161"/>
            <w:bookmarkEnd w:id="162"/>
            <w:bookmarkEnd w:id="163"/>
            <w:bookmarkEnd w:id="164"/>
            <w:bookmarkEnd w:id="165"/>
            <w:bookmarkEnd w:id="166"/>
            <w:bookmarkEnd w:id="167"/>
            <w:bookmarkEnd w:id="168"/>
            <w:bookmarkEnd w:id="169"/>
            <w:bookmarkEnd w:id="17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45" w:type="pct"/>
            <w:vMerge w:val="continue"/>
            <w:tcBorders>
              <w:tl2br w:val="nil"/>
              <w:tr2bl w:val="nil"/>
            </w:tcBorders>
            <w:noWrap/>
            <w:vAlign w:val="center"/>
          </w:tcPr>
          <w:p>
            <w:pPr>
              <w:pStyle w:val="26"/>
              <w:keepNext w:val="0"/>
              <w:keepLines w:val="0"/>
              <w:widowControl/>
              <w:suppressLineNumbers w:val="0"/>
              <w:adjustRightInd w:val="0"/>
              <w:snapToGrid w:val="0"/>
              <w:spacing w:before="0" w:beforeAutospacing="0" w:after="0" w:afterAutospacing="0"/>
              <w:ind w:left="0" w:right="0" w:firstLine="840"/>
              <w:jc w:val="center"/>
              <w:outlineLvl w:val="9"/>
              <w:rPr>
                <w:rFonts w:hint="default" w:ascii="Times New Roman" w:hAnsi="Times New Roman" w:eastAsia="宋体" w:cs="Times New Roman"/>
                <w:b/>
                <w:color w:val="auto"/>
                <w:kern w:val="2"/>
                <w:sz w:val="21"/>
                <w:szCs w:val="21"/>
                <w:highlight w:val="none"/>
              </w:rPr>
            </w:pPr>
          </w:p>
        </w:tc>
        <w:tc>
          <w:tcPr>
            <w:tcW w:w="1330" w:type="pct"/>
            <w:tcBorders>
              <w:tl2br w:val="nil"/>
              <w:tr2bl w:val="nil"/>
            </w:tcBorders>
            <w:noWrap/>
            <w:vAlign w:val="center"/>
          </w:tcPr>
          <w:p>
            <w:pPr>
              <w:pStyle w:val="26"/>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b/>
                <w:color w:val="auto"/>
                <w:kern w:val="2"/>
                <w:sz w:val="21"/>
                <w:szCs w:val="21"/>
                <w:highlight w:val="none"/>
              </w:rPr>
            </w:pPr>
            <w:bookmarkStart w:id="171" w:name="_Toc201659326"/>
            <w:bookmarkStart w:id="172" w:name="_Toc201659454"/>
            <w:bookmarkStart w:id="173" w:name="_Toc201659594"/>
            <w:bookmarkStart w:id="174" w:name="_Toc118237990"/>
            <w:bookmarkStart w:id="175" w:name="_Toc97229043"/>
            <w:bookmarkStart w:id="176" w:name="_Toc215697939"/>
            <w:bookmarkStart w:id="177" w:name="_Toc202798681"/>
            <w:bookmarkStart w:id="178" w:name="_Toc210812368"/>
            <w:bookmarkStart w:id="179" w:name="_Toc118834729"/>
            <w:bookmarkStart w:id="180" w:name="_Toc122187744"/>
            <w:r>
              <w:rPr>
                <w:rFonts w:hint="default" w:ascii="Times New Roman" w:hAnsi="Times New Roman" w:eastAsia="宋体" w:cs="Times New Roman"/>
                <w:b/>
                <w:color w:val="auto"/>
                <w:kern w:val="2"/>
                <w:sz w:val="21"/>
                <w:szCs w:val="21"/>
                <w:highlight w:val="none"/>
              </w:rPr>
              <w:t>环境保护措施</w:t>
            </w:r>
            <w:bookmarkEnd w:id="171"/>
            <w:bookmarkEnd w:id="172"/>
            <w:bookmarkEnd w:id="173"/>
            <w:bookmarkEnd w:id="174"/>
            <w:bookmarkEnd w:id="175"/>
            <w:bookmarkEnd w:id="176"/>
            <w:bookmarkEnd w:id="177"/>
            <w:bookmarkEnd w:id="178"/>
            <w:bookmarkEnd w:id="179"/>
            <w:bookmarkEnd w:id="180"/>
          </w:p>
        </w:tc>
        <w:tc>
          <w:tcPr>
            <w:tcW w:w="904" w:type="pct"/>
            <w:tcBorders>
              <w:tl2br w:val="nil"/>
              <w:tr2bl w:val="nil"/>
            </w:tcBorders>
            <w:noWrap/>
            <w:vAlign w:val="center"/>
          </w:tcPr>
          <w:p>
            <w:pPr>
              <w:pStyle w:val="26"/>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b/>
                <w:color w:val="auto"/>
                <w:kern w:val="2"/>
                <w:sz w:val="21"/>
                <w:szCs w:val="21"/>
                <w:highlight w:val="none"/>
              </w:rPr>
            </w:pPr>
            <w:bookmarkStart w:id="181" w:name="_Toc201659455"/>
            <w:bookmarkStart w:id="182" w:name="_Toc118237991"/>
            <w:bookmarkStart w:id="183" w:name="_Toc215697940"/>
            <w:bookmarkStart w:id="184" w:name="_Toc122187745"/>
            <w:bookmarkStart w:id="185" w:name="_Toc210812369"/>
            <w:bookmarkStart w:id="186" w:name="_Toc201659327"/>
            <w:bookmarkStart w:id="187" w:name="_Toc202798682"/>
            <w:bookmarkStart w:id="188" w:name="_Toc118834730"/>
            <w:bookmarkStart w:id="189" w:name="_Toc201659595"/>
            <w:bookmarkStart w:id="190" w:name="_Toc97229044"/>
            <w:r>
              <w:rPr>
                <w:rFonts w:hint="default" w:ascii="Times New Roman" w:hAnsi="Times New Roman" w:eastAsia="宋体" w:cs="Times New Roman"/>
                <w:b/>
                <w:color w:val="auto"/>
                <w:kern w:val="2"/>
                <w:sz w:val="21"/>
                <w:szCs w:val="21"/>
                <w:highlight w:val="none"/>
              </w:rPr>
              <w:t>验收要求</w:t>
            </w:r>
            <w:bookmarkEnd w:id="181"/>
            <w:bookmarkEnd w:id="182"/>
            <w:bookmarkEnd w:id="183"/>
            <w:bookmarkEnd w:id="184"/>
            <w:bookmarkEnd w:id="185"/>
            <w:bookmarkEnd w:id="186"/>
            <w:bookmarkEnd w:id="187"/>
            <w:bookmarkEnd w:id="188"/>
            <w:bookmarkEnd w:id="189"/>
            <w:bookmarkEnd w:id="190"/>
          </w:p>
        </w:tc>
        <w:tc>
          <w:tcPr>
            <w:tcW w:w="1115" w:type="pct"/>
            <w:tcBorders>
              <w:tl2br w:val="nil"/>
              <w:tr2bl w:val="nil"/>
            </w:tcBorders>
            <w:noWrap/>
            <w:vAlign w:val="center"/>
          </w:tcPr>
          <w:p>
            <w:pPr>
              <w:pStyle w:val="26"/>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b/>
                <w:color w:val="auto"/>
                <w:kern w:val="2"/>
                <w:sz w:val="21"/>
                <w:szCs w:val="21"/>
                <w:highlight w:val="none"/>
              </w:rPr>
            </w:pPr>
            <w:bookmarkStart w:id="191" w:name="_Toc118834731"/>
            <w:bookmarkStart w:id="192" w:name="_Toc201659328"/>
            <w:bookmarkStart w:id="193" w:name="_Toc201659596"/>
            <w:bookmarkStart w:id="194" w:name="_Toc202798683"/>
            <w:bookmarkStart w:id="195" w:name="_Toc215697941"/>
            <w:bookmarkStart w:id="196" w:name="_Toc118237992"/>
            <w:bookmarkStart w:id="197" w:name="_Toc122187746"/>
            <w:bookmarkStart w:id="198" w:name="_Toc97229045"/>
            <w:bookmarkStart w:id="199" w:name="_Toc201659456"/>
            <w:bookmarkStart w:id="200" w:name="_Toc210812370"/>
            <w:r>
              <w:rPr>
                <w:rFonts w:hint="default" w:ascii="Times New Roman" w:hAnsi="Times New Roman" w:eastAsia="宋体" w:cs="Times New Roman"/>
                <w:b/>
                <w:color w:val="auto"/>
                <w:kern w:val="2"/>
                <w:sz w:val="21"/>
                <w:szCs w:val="21"/>
                <w:highlight w:val="none"/>
              </w:rPr>
              <w:t>环境保护措施</w:t>
            </w:r>
            <w:bookmarkEnd w:id="191"/>
            <w:bookmarkEnd w:id="192"/>
            <w:bookmarkEnd w:id="193"/>
            <w:bookmarkEnd w:id="194"/>
            <w:bookmarkEnd w:id="195"/>
            <w:bookmarkEnd w:id="196"/>
            <w:bookmarkEnd w:id="197"/>
            <w:bookmarkEnd w:id="198"/>
            <w:bookmarkEnd w:id="199"/>
            <w:bookmarkEnd w:id="200"/>
          </w:p>
        </w:tc>
        <w:tc>
          <w:tcPr>
            <w:tcW w:w="1003" w:type="pct"/>
            <w:tcBorders>
              <w:tl2br w:val="nil"/>
              <w:tr2bl w:val="nil"/>
            </w:tcBorders>
            <w:noWrap/>
            <w:vAlign w:val="center"/>
          </w:tcPr>
          <w:p>
            <w:pPr>
              <w:pStyle w:val="26"/>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b/>
                <w:color w:val="auto"/>
                <w:kern w:val="2"/>
                <w:sz w:val="21"/>
                <w:szCs w:val="21"/>
                <w:highlight w:val="none"/>
              </w:rPr>
            </w:pPr>
            <w:bookmarkStart w:id="201" w:name="_Toc118834732"/>
            <w:bookmarkStart w:id="202" w:name="_Toc97229046"/>
            <w:bookmarkStart w:id="203" w:name="_Toc201659329"/>
            <w:bookmarkStart w:id="204" w:name="_Toc201659597"/>
            <w:bookmarkStart w:id="205" w:name="_Toc210812371"/>
            <w:bookmarkStart w:id="206" w:name="_Toc215697942"/>
            <w:bookmarkStart w:id="207" w:name="_Toc122187747"/>
            <w:bookmarkStart w:id="208" w:name="_Toc201659457"/>
            <w:bookmarkStart w:id="209" w:name="_Toc118237993"/>
            <w:bookmarkStart w:id="210" w:name="_Toc202798684"/>
            <w:r>
              <w:rPr>
                <w:rFonts w:hint="default" w:ascii="Times New Roman" w:hAnsi="Times New Roman" w:eastAsia="宋体" w:cs="Times New Roman"/>
                <w:b/>
                <w:color w:val="auto"/>
                <w:kern w:val="2"/>
                <w:sz w:val="21"/>
                <w:szCs w:val="21"/>
                <w:highlight w:val="none"/>
              </w:rPr>
              <w:t>验收要求</w:t>
            </w:r>
            <w:bookmarkEnd w:id="201"/>
            <w:bookmarkEnd w:id="202"/>
            <w:bookmarkEnd w:id="203"/>
            <w:bookmarkEnd w:id="204"/>
            <w:bookmarkEnd w:id="205"/>
            <w:bookmarkEnd w:id="206"/>
            <w:bookmarkEnd w:id="207"/>
            <w:bookmarkEnd w:id="208"/>
            <w:bookmarkEnd w:id="209"/>
            <w:bookmarkEnd w:id="210"/>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34" w:hRule="atLeast"/>
          <w:jc w:val="center"/>
        </w:trPr>
        <w:tc>
          <w:tcPr>
            <w:tcW w:w="64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陆生生态</w:t>
            </w:r>
          </w:p>
        </w:tc>
        <w:tc>
          <w:tcPr>
            <w:tcW w:w="1330"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应在施工前及时办理土地征用手续；尽量减少占地、控制施工范围、减少扰动面积，</w:t>
            </w:r>
            <w:r>
              <w:rPr>
                <w:rFonts w:hint="default" w:ascii="Times New Roman" w:hAnsi="Times New Roman" w:cs="Times New Roman"/>
                <w:color w:val="auto"/>
                <w:sz w:val="21"/>
                <w:szCs w:val="21"/>
                <w:highlight w:val="none"/>
                <w:lang w:val="en-US" w:eastAsia="zh-CN"/>
              </w:rPr>
              <w:t>在</w:t>
            </w:r>
            <w:r>
              <w:rPr>
                <w:rFonts w:hint="default" w:ascii="Times New Roman" w:hAnsi="Times New Roman" w:eastAsia="宋体" w:cs="Times New Roman"/>
                <w:color w:val="auto"/>
                <w:sz w:val="21"/>
                <w:szCs w:val="21"/>
                <w:highlight w:val="none"/>
              </w:rPr>
              <w:t>作业区四周设置彩带控制作业范围；分层开挖分层回填、减少地表开挖裸露时间、避开大风天气施工、及时进行迹地恢复等；对</w:t>
            </w:r>
            <w:r>
              <w:rPr>
                <w:rFonts w:hint="default" w:ascii="Times New Roman" w:hAnsi="Times New Roman" w:eastAsia="宋体" w:cs="Times New Roman"/>
                <w:snapToGrid w:val="0"/>
                <w:color w:val="auto"/>
                <w:sz w:val="21"/>
                <w:szCs w:val="21"/>
                <w:highlight w:val="none"/>
              </w:rPr>
              <w:t>牵张场、施工道路等临时占地区域，在</w:t>
            </w:r>
            <w:r>
              <w:rPr>
                <w:rFonts w:hint="default" w:ascii="Times New Roman" w:hAnsi="Times New Roman" w:eastAsia="宋体" w:cs="Times New Roman"/>
                <w:color w:val="auto"/>
                <w:sz w:val="21"/>
                <w:szCs w:val="21"/>
                <w:highlight w:val="none"/>
              </w:rPr>
              <w:t>施工结束后，对占地范围内清理平整。</w:t>
            </w:r>
          </w:p>
        </w:tc>
        <w:tc>
          <w:tcPr>
            <w:tcW w:w="904"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办理土地征用手续；各类临时占地平整压实，宜草地段植被得到恢复。</w:t>
            </w:r>
          </w:p>
        </w:tc>
        <w:tc>
          <w:tcPr>
            <w:tcW w:w="111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outlineLvl w:val="9"/>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牵张场、跨越场优先利用荒地、闲置空地</w:t>
            </w:r>
            <w:r>
              <w:rPr>
                <w:rFonts w:hint="eastAsia" w:ascii="Times New Roman" w:hAnsi="Times New Roman"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lang w:val="en-US" w:eastAsia="zh-CN"/>
              </w:rPr>
              <w:t>施工便道最大限度依托现有田间道路。</w:t>
            </w:r>
            <w:r>
              <w:rPr>
                <w:rFonts w:hint="default" w:ascii="Times New Roman" w:hAnsi="Times New Roman" w:eastAsia="宋体" w:cs="Times New Roman"/>
                <w:color w:val="auto"/>
                <w:sz w:val="21"/>
                <w:szCs w:val="21"/>
                <w:highlight w:val="none"/>
              </w:rPr>
              <w:t>线路全线安装防鸟刺。</w:t>
            </w:r>
          </w:p>
        </w:tc>
        <w:tc>
          <w:tcPr>
            <w:tcW w:w="1003"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临时占地植被恢复措施有效，线路全线安装防鸟刺。</w:t>
            </w:r>
          </w:p>
        </w:tc>
      </w:tr>
      <w:bookmarkEnd w:id="120"/>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46" w:hRule="atLeast"/>
          <w:jc w:val="center"/>
        </w:trPr>
        <w:tc>
          <w:tcPr>
            <w:tcW w:w="64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水生生态</w:t>
            </w:r>
          </w:p>
        </w:tc>
        <w:tc>
          <w:tcPr>
            <w:tcW w:w="1330"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904"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1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003"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66" w:hRule="atLeast"/>
          <w:jc w:val="center"/>
        </w:trPr>
        <w:tc>
          <w:tcPr>
            <w:tcW w:w="64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地表水环境</w:t>
            </w:r>
          </w:p>
        </w:tc>
        <w:tc>
          <w:tcPr>
            <w:tcW w:w="1330" w:type="pct"/>
            <w:tcBorders>
              <w:tl2br w:val="nil"/>
              <w:tr2bl w:val="nil"/>
            </w:tcBorders>
            <w:noWrap/>
            <w:vAlign w:val="center"/>
          </w:tcPr>
          <w:p>
            <w:pPr>
              <w:keepNext w:val="0"/>
              <w:keepLines w:val="0"/>
              <w:widowControl/>
              <w:suppressLineNumbers w:val="0"/>
              <w:adjustRightInd w:val="0"/>
              <w:snapToGrid w:val="0"/>
              <w:spacing w:before="78" w:beforeLines="25" w:beforeAutospacing="0" w:after="78" w:afterLines="25" w:afterAutospacing="0"/>
              <w:ind w:left="0" w:right="0"/>
              <w:jc w:val="center"/>
              <w:textAlignment w:val="baseline"/>
              <w:outlineLvl w:val="9"/>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设置的移动式环保厕所收集生活污水</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lang w:val="en-US" w:eastAsia="zh-CN"/>
              </w:rPr>
              <w:t>设置泥沙沉淀池收集施工废水</w:t>
            </w:r>
          </w:p>
        </w:tc>
        <w:tc>
          <w:tcPr>
            <w:tcW w:w="904" w:type="pct"/>
            <w:tcBorders>
              <w:tl2br w:val="nil"/>
              <w:tr2bl w:val="nil"/>
            </w:tcBorders>
            <w:noWrap/>
            <w:vAlign w:val="center"/>
          </w:tcPr>
          <w:p>
            <w:pPr>
              <w:keepNext w:val="0"/>
              <w:keepLines w:val="0"/>
              <w:widowControl/>
              <w:suppressLineNumbers w:val="0"/>
              <w:adjustRightInd w:val="0"/>
              <w:snapToGrid w:val="0"/>
              <w:spacing w:before="78" w:beforeLines="25" w:beforeAutospacing="0" w:after="78" w:afterLines="25" w:afterAutospacing="0"/>
              <w:ind w:left="0" w:right="0"/>
              <w:jc w:val="center"/>
              <w:textAlignment w:val="baseline"/>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施工废水</w:t>
            </w:r>
            <w:r>
              <w:rPr>
                <w:rFonts w:hint="default" w:ascii="Times New Roman" w:hAnsi="Times New Roman" w:eastAsia="宋体" w:cs="Times New Roman"/>
                <w:color w:val="auto"/>
                <w:sz w:val="21"/>
                <w:szCs w:val="21"/>
                <w:highlight w:val="none"/>
                <w:lang w:val="en-US" w:eastAsia="zh-CN"/>
              </w:rPr>
              <w:t>集中收集</w:t>
            </w:r>
            <w:r>
              <w:rPr>
                <w:rFonts w:hint="default" w:ascii="Times New Roman" w:hAnsi="Times New Roman" w:eastAsia="宋体" w:cs="Times New Roman"/>
                <w:color w:val="auto"/>
                <w:sz w:val="21"/>
                <w:szCs w:val="21"/>
                <w:highlight w:val="none"/>
              </w:rPr>
              <w:t>不外排</w:t>
            </w:r>
          </w:p>
        </w:tc>
        <w:tc>
          <w:tcPr>
            <w:tcW w:w="1902" w:type="dxa"/>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leftChars="0" w:right="0" w:rightChars="0"/>
              <w:jc w:val="center"/>
              <w:outlineLvl w:val="9"/>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无人值守变电站不产生废水</w:t>
            </w:r>
          </w:p>
        </w:tc>
        <w:tc>
          <w:tcPr>
            <w:tcW w:w="1711" w:type="dxa"/>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leftChars="0" w:right="0" w:rightChars="0"/>
              <w:jc w:val="center"/>
              <w:outlineLvl w:val="9"/>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不产生废水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64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地下水及土壤环境</w:t>
            </w:r>
          </w:p>
        </w:tc>
        <w:tc>
          <w:tcPr>
            <w:tcW w:w="1330"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904"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1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003"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16" w:hRule="atLeast"/>
          <w:jc w:val="center"/>
        </w:trPr>
        <w:tc>
          <w:tcPr>
            <w:tcW w:w="64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声环境</w:t>
            </w:r>
          </w:p>
        </w:tc>
        <w:tc>
          <w:tcPr>
            <w:tcW w:w="1330"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采用低噪声设备，加强维护保养，严格操作规程。</w:t>
            </w:r>
          </w:p>
        </w:tc>
        <w:tc>
          <w:tcPr>
            <w:tcW w:w="904"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施工期噪声防治措施有效落实。</w:t>
            </w:r>
          </w:p>
        </w:tc>
        <w:tc>
          <w:tcPr>
            <w:tcW w:w="111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优化导线特性</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变电站合理布置</w:t>
            </w:r>
            <w:r>
              <w:rPr>
                <w:rFonts w:hint="default" w:ascii="Times New Roman" w:hAnsi="Times New Roman" w:eastAsia="宋体" w:cs="Times New Roman"/>
                <w:color w:val="auto"/>
                <w:sz w:val="21"/>
                <w:szCs w:val="21"/>
                <w:highlight w:val="none"/>
              </w:rPr>
              <w:t>，加强运行管理，保证噪声影响符合国家要求。</w:t>
            </w:r>
          </w:p>
        </w:tc>
        <w:tc>
          <w:tcPr>
            <w:tcW w:w="1003"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线路沿线声环境满足《声环境质量标准》</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GB3096-2008</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中</w:t>
            </w:r>
            <w:r>
              <w:rPr>
                <w:rFonts w:hint="eastAsia" w:ascii="Times New Roman" w:hAnsi="Times New Roman" w:cs="Times New Roman"/>
                <w:color w:val="auto"/>
                <w:sz w:val="21"/>
                <w:szCs w:val="21"/>
                <w:highlight w:val="none"/>
                <w:lang w:val="en-US" w:eastAsia="zh-CN"/>
              </w:rPr>
              <w:t>相应声环境功能区</w:t>
            </w:r>
            <w:r>
              <w:rPr>
                <w:rFonts w:hint="default" w:ascii="Times New Roman" w:hAnsi="Times New Roman" w:eastAsia="宋体" w:cs="Times New Roman"/>
                <w:color w:val="auto"/>
                <w:sz w:val="21"/>
                <w:szCs w:val="21"/>
                <w:highlight w:val="none"/>
              </w:rPr>
              <w:t>标准要求，</w:t>
            </w:r>
            <w:r>
              <w:rPr>
                <w:rFonts w:hint="eastAsia" w:ascii="Times New Roman" w:hAnsi="Times New Roman" w:cs="Times New Roman"/>
                <w:color w:val="auto"/>
                <w:sz w:val="21"/>
                <w:szCs w:val="21"/>
                <w:highlight w:val="none"/>
                <w:lang w:val="en-US" w:eastAsia="zh-CN"/>
              </w:rPr>
              <w:t>跨越交通干线处满足4a类标准；</w:t>
            </w:r>
            <w:r>
              <w:rPr>
                <w:rFonts w:hint="default" w:ascii="Times New Roman" w:hAnsi="Times New Roman" w:eastAsia="宋体" w:cs="Times New Roman"/>
                <w:color w:val="auto"/>
                <w:sz w:val="21"/>
                <w:szCs w:val="21"/>
                <w:highlight w:val="none"/>
              </w:rPr>
              <w:t>变电站厂界噪声满足《工业企业厂界环境噪声排放标准》</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GB12348-2008</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中</w:t>
            </w:r>
            <w:r>
              <w:rPr>
                <w:rFonts w:hint="eastAsia" w:ascii="Times New Roman" w:hAnsi="Times New Roman" w:cs="Times New Roman"/>
                <w:color w:val="auto"/>
                <w:sz w:val="21"/>
                <w:szCs w:val="21"/>
                <w:highlight w:val="none"/>
                <w:lang w:val="en-US" w:eastAsia="zh-CN"/>
              </w:rPr>
              <w:t>3</w:t>
            </w:r>
            <w:r>
              <w:rPr>
                <w:rFonts w:hint="default" w:ascii="Times New Roman" w:hAnsi="Times New Roman" w:eastAsia="宋体" w:cs="Times New Roman"/>
                <w:color w:val="auto"/>
                <w:sz w:val="21"/>
                <w:szCs w:val="21"/>
                <w:highlight w:val="none"/>
              </w:rPr>
              <w:t>类标准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64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振动</w:t>
            </w:r>
          </w:p>
        </w:tc>
        <w:tc>
          <w:tcPr>
            <w:tcW w:w="1330"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904"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1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003"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48" w:hRule="atLeast"/>
          <w:jc w:val="center"/>
        </w:trPr>
        <w:tc>
          <w:tcPr>
            <w:tcW w:w="64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大气环境</w:t>
            </w:r>
          </w:p>
        </w:tc>
        <w:tc>
          <w:tcPr>
            <w:tcW w:w="1330"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道路及施工面洒水降尘、物料运输篷布遮盖、土石方采用防尘布</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网</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苫盖、禁止焚烧可燃垃圾。</w:t>
            </w:r>
          </w:p>
        </w:tc>
        <w:tc>
          <w:tcPr>
            <w:tcW w:w="904"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施工期大气污染防治措施有效落实</w:t>
            </w:r>
          </w:p>
        </w:tc>
        <w:tc>
          <w:tcPr>
            <w:tcW w:w="111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003"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65" w:hRule="atLeast"/>
          <w:jc w:val="center"/>
        </w:trPr>
        <w:tc>
          <w:tcPr>
            <w:tcW w:w="64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固体废物</w:t>
            </w:r>
          </w:p>
        </w:tc>
        <w:tc>
          <w:tcPr>
            <w:tcW w:w="1330"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pacing w:val="-4"/>
                <w:sz w:val="21"/>
                <w:szCs w:val="21"/>
                <w:highlight w:val="none"/>
              </w:rPr>
              <w:t>生活垃圾清运至</w:t>
            </w:r>
            <w:r>
              <w:rPr>
                <w:rFonts w:hint="default" w:ascii="Times New Roman" w:hAnsi="Times New Roman" w:cs="Times New Roman"/>
                <w:color w:val="auto"/>
                <w:spacing w:val="-4"/>
                <w:sz w:val="21"/>
                <w:szCs w:val="21"/>
                <w:highlight w:val="none"/>
                <w:lang w:val="en-US" w:eastAsia="zh-CN"/>
              </w:rPr>
              <w:t>岳普湖县</w:t>
            </w:r>
            <w:r>
              <w:rPr>
                <w:rFonts w:hint="default" w:ascii="Times New Roman" w:hAnsi="Times New Roman" w:eastAsia="宋体" w:cs="Times New Roman"/>
                <w:color w:val="auto"/>
                <w:spacing w:val="-4"/>
                <w:sz w:val="21"/>
                <w:szCs w:val="21"/>
                <w:highlight w:val="none"/>
                <w:lang w:val="en-US" w:eastAsia="zh-CN"/>
              </w:rPr>
              <w:t>垃圾填埋场</w:t>
            </w:r>
            <w:r>
              <w:rPr>
                <w:rFonts w:hint="default" w:ascii="Times New Roman" w:hAnsi="Times New Roman" w:eastAsia="宋体" w:cs="Times New Roman"/>
                <w:color w:val="auto"/>
                <w:spacing w:val="-4"/>
                <w:sz w:val="21"/>
                <w:szCs w:val="21"/>
                <w:highlight w:val="none"/>
              </w:rPr>
              <w:t>；施工弃土回填用于场平；建筑垃圾收集后清运至指定建筑垃圾填埋场处置。金具设备包装回收再利用</w:t>
            </w:r>
            <w:r>
              <w:rPr>
                <w:rFonts w:hint="default" w:ascii="Times New Roman" w:hAnsi="Times New Roman" w:eastAsia="宋体" w:cs="Times New Roman"/>
                <w:color w:val="auto"/>
                <w:spacing w:val="-4"/>
                <w:sz w:val="21"/>
                <w:szCs w:val="21"/>
                <w:highlight w:val="none"/>
                <w:lang w:eastAsia="zh-CN"/>
              </w:rPr>
              <w:t>。</w:t>
            </w:r>
          </w:p>
        </w:tc>
        <w:tc>
          <w:tcPr>
            <w:tcW w:w="904"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施工现场无遗留固体废物。</w:t>
            </w:r>
          </w:p>
        </w:tc>
        <w:tc>
          <w:tcPr>
            <w:tcW w:w="111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outlineLvl w:val="9"/>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检修一般固废集中收集后由检修人员就近带至生活垃圾转运点。</w:t>
            </w:r>
            <w:r>
              <w:rPr>
                <w:rFonts w:hint="default" w:ascii="Times New Roman" w:hAnsi="Times New Roman" w:eastAsia="宋体" w:cs="Times New Roman"/>
                <w:color w:val="auto"/>
                <w:sz w:val="21"/>
                <w:szCs w:val="21"/>
                <w:highlight w:val="none"/>
                <w:lang w:val="en-US" w:eastAsia="zh-CN"/>
              </w:rPr>
              <w:t>废变压器油、废铅酸蓄电池集中收集至危险废物贮存，变压器事故排入存入事故油池；由有资质单位处置。</w:t>
            </w:r>
          </w:p>
        </w:tc>
        <w:tc>
          <w:tcPr>
            <w:tcW w:w="1003"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各类固体废物能够妥善处置。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72" w:hRule="atLeast"/>
          <w:jc w:val="center"/>
        </w:trPr>
        <w:tc>
          <w:tcPr>
            <w:tcW w:w="64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电磁环境</w:t>
            </w:r>
          </w:p>
        </w:tc>
        <w:tc>
          <w:tcPr>
            <w:tcW w:w="1330"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904"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1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制定安全操作规程，加强职工安全教育，加强电磁水平监测；对员工进行电磁环境基础知识培训，在巡检带电维修过程中，尽可能减少曝露在电磁场中的时间；设立电磁防护安全警示标志，禁止无关人员靠近带电架构等。</w:t>
            </w:r>
          </w:p>
        </w:tc>
        <w:tc>
          <w:tcPr>
            <w:tcW w:w="1003"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线路运行时产生的电磁满足《电磁环境控制限值》</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GB8702-2014</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31" w:hRule="atLeast"/>
          <w:jc w:val="center"/>
        </w:trPr>
        <w:tc>
          <w:tcPr>
            <w:tcW w:w="64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环境风险</w:t>
            </w:r>
          </w:p>
        </w:tc>
        <w:tc>
          <w:tcPr>
            <w:tcW w:w="1330"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904"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1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003"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72" w:hRule="atLeast"/>
          <w:jc w:val="center"/>
        </w:trPr>
        <w:tc>
          <w:tcPr>
            <w:tcW w:w="64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环境监测</w:t>
            </w:r>
          </w:p>
        </w:tc>
        <w:tc>
          <w:tcPr>
            <w:tcW w:w="1330"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904"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1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本项目环保竣工验收监测一次，建设单位按监测计划进行环境监测，有投诉时监测。</w:t>
            </w:r>
          </w:p>
        </w:tc>
        <w:tc>
          <w:tcPr>
            <w:tcW w:w="1003"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委托有资质的单位开展监测或自行监测，监测记录完整，确保电磁环境和声环境满足监测计划要求。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59" w:hRule="atLeast"/>
          <w:jc w:val="center"/>
        </w:trPr>
        <w:tc>
          <w:tcPr>
            <w:tcW w:w="64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其他</w:t>
            </w:r>
          </w:p>
        </w:tc>
        <w:tc>
          <w:tcPr>
            <w:tcW w:w="1330"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904"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w:t>
            </w:r>
          </w:p>
        </w:tc>
        <w:tc>
          <w:tcPr>
            <w:tcW w:w="1115"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建设项目竣工后，建设单位应组织编制验收调查报告，对项目实施自主验收。</w:t>
            </w:r>
          </w:p>
        </w:tc>
        <w:tc>
          <w:tcPr>
            <w:tcW w:w="1003" w:type="pct"/>
            <w:tcBorders>
              <w:tl2br w:val="nil"/>
              <w:tr2bl w:val="nil"/>
            </w:tcBorders>
            <w:noWrap/>
            <w:vAlign w:val="center"/>
          </w:tcPr>
          <w:p>
            <w:pPr>
              <w:keepNext w:val="0"/>
              <w:keepLines w:val="0"/>
              <w:widowControl/>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满足《建设项目竣工环境保护验收暂行办法》</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国环规环评〔2017〕4号</w:t>
            </w:r>
            <w:r>
              <w:rPr>
                <w:rFonts w:hint="eastAsia"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相关要求。</w:t>
            </w:r>
          </w:p>
        </w:tc>
      </w:tr>
    </w:tbl>
    <w:p>
      <w:pPr>
        <w:pStyle w:val="26"/>
        <w:spacing w:before="0" w:beforeAutospacing="0" w:after="0" w:afterAutospacing="0"/>
        <w:jc w:val="center"/>
        <w:outlineLvl w:val="9"/>
        <w:rPr>
          <w:rFonts w:hint="default" w:ascii="Times New Roman" w:hAnsi="Times New Roman" w:eastAsia="宋体" w:cs="Times New Roman"/>
          <w:snapToGrid w:val="0"/>
          <w:color w:val="auto"/>
          <w:sz w:val="30"/>
          <w:szCs w:val="30"/>
          <w:highlight w:val="none"/>
        </w:rPr>
        <w:sectPr>
          <w:pgSz w:w="11906" w:h="16838"/>
          <w:pgMar w:top="1440" w:right="1800" w:bottom="1440" w:left="1800" w:header="851" w:footer="1077" w:gutter="0"/>
          <w:pgBorders>
            <w:top w:val="none" w:sz="0" w:space="0"/>
            <w:left w:val="none" w:sz="0" w:space="0"/>
            <w:bottom w:val="none" w:sz="0" w:space="0"/>
            <w:right w:val="none" w:sz="0" w:space="0"/>
          </w:pgBorders>
          <w:pgNumType w:fmt="decimal"/>
          <w:cols w:space="720" w:num="1"/>
        </w:sectPr>
      </w:pPr>
      <w:bookmarkStart w:id="211" w:name="_Toc97229047"/>
      <w:bookmarkStart w:id="212" w:name="_Toc118834733"/>
      <w:bookmarkStart w:id="213" w:name="_Toc122187748"/>
      <w:bookmarkStart w:id="214" w:name="_Toc118237994"/>
    </w:p>
    <w:p>
      <w:pPr>
        <w:pStyle w:val="26"/>
        <w:spacing w:before="0" w:beforeAutospacing="0" w:after="0" w:afterAutospacing="0"/>
        <w:jc w:val="center"/>
        <w:outlineLvl w:val="0"/>
        <w:rPr>
          <w:rFonts w:hint="default" w:ascii="Times New Roman" w:hAnsi="Times New Roman" w:eastAsia="宋体" w:cs="Times New Roman"/>
          <w:snapToGrid w:val="0"/>
          <w:color w:val="auto"/>
          <w:sz w:val="30"/>
          <w:szCs w:val="30"/>
          <w:highlight w:val="none"/>
        </w:rPr>
      </w:pPr>
      <w:bookmarkStart w:id="215" w:name="_Toc210812372"/>
      <w:bookmarkStart w:id="216" w:name="_Toc215697943"/>
      <w:bookmarkStart w:id="217" w:name="_Toc13745"/>
      <w:bookmarkStart w:id="218" w:name="_Toc26900"/>
      <w:bookmarkStart w:id="219" w:name="_Toc201659458"/>
      <w:bookmarkStart w:id="220" w:name="_Toc202798685"/>
      <w:bookmarkStart w:id="221" w:name="_Toc201659330"/>
      <w:bookmarkStart w:id="222" w:name="_Toc201659598"/>
      <w:r>
        <w:rPr>
          <w:rFonts w:hint="default" w:ascii="Times New Roman" w:hAnsi="Times New Roman" w:eastAsia="宋体" w:cs="Times New Roman"/>
          <w:snapToGrid w:val="0"/>
          <w:color w:val="auto"/>
          <w:sz w:val="30"/>
          <w:szCs w:val="30"/>
          <w:highlight w:val="none"/>
        </w:rPr>
        <w:t>七、结论</w:t>
      </w:r>
      <w:bookmarkEnd w:id="121"/>
      <w:bookmarkEnd w:id="122"/>
      <w:bookmarkEnd w:id="123"/>
      <w:bookmarkEnd w:id="124"/>
      <w:bookmarkEnd w:id="125"/>
      <w:bookmarkEnd w:id="126"/>
      <w:bookmarkEnd w:id="211"/>
      <w:bookmarkEnd w:id="212"/>
      <w:bookmarkEnd w:id="213"/>
      <w:bookmarkEnd w:id="214"/>
      <w:bookmarkEnd w:id="215"/>
      <w:bookmarkEnd w:id="216"/>
      <w:bookmarkEnd w:id="217"/>
      <w:bookmarkEnd w:id="218"/>
      <w:bookmarkEnd w:id="219"/>
      <w:bookmarkEnd w:id="220"/>
      <w:bookmarkEnd w:id="221"/>
      <w:bookmarkEnd w:id="222"/>
    </w:p>
    <w:tbl>
      <w:tblPr>
        <w:tblStyle w:val="28"/>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648" w:hRule="atLeast"/>
          <w:jc w:val="center"/>
        </w:trPr>
        <w:tc>
          <w:tcPr>
            <w:tcW w:w="5000" w:type="pct"/>
            <w:noWrap/>
          </w:tcPr>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r>
              <w:rPr>
                <w:rFonts w:hint="default" w:ascii="Times New Roman" w:hAnsi="Times New Roman" w:eastAsia="宋体" w:cs="Times New Roman"/>
                <w:color w:val="auto"/>
                <w:highlight w:val="none"/>
              </w:rPr>
              <w:t>本项目建设符合国家产业政策及相关规划要求，</w:t>
            </w:r>
            <w:r>
              <w:rPr>
                <w:rFonts w:hint="default" w:ascii="Times New Roman" w:hAnsi="Times New Roman" w:eastAsia="宋体" w:cs="Times New Roman"/>
                <w:color w:val="auto"/>
                <w:highlight w:val="none"/>
                <w:lang w:val="en-US" w:eastAsia="zh-CN"/>
              </w:rPr>
              <w:t>选址</w:t>
            </w:r>
            <w:r>
              <w:rPr>
                <w:rFonts w:hint="default" w:ascii="Times New Roman" w:hAnsi="Times New Roman" w:eastAsia="宋体" w:cs="Times New Roman"/>
                <w:color w:val="auto"/>
                <w:highlight w:val="none"/>
              </w:rPr>
              <w:t>选线合理，项目周边无明显环境制约因素，本项目符合所在区域生态环境分区管控要求。在严格落实本次环评提出的环保措施的前提下，施工期和运营期排放的各类污染物对区域环境影响不大，生态环境影响可接受。因此，本项目的建设从环保角度上分析是可行的。</w:t>
            </w: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highlight w:val="none"/>
              </w:rPr>
            </w:pPr>
          </w:p>
          <w:p>
            <w:pPr>
              <w:keepNext w:val="0"/>
              <w:keepLines w:val="0"/>
              <w:widowControl/>
              <w:suppressLineNumbers w:val="0"/>
              <w:adjustRightInd w:val="0"/>
              <w:snapToGrid w:val="0"/>
              <w:spacing w:before="0" w:beforeAutospacing="0" w:after="0" w:afterAutospacing="0" w:line="360" w:lineRule="auto"/>
              <w:ind w:left="0" w:right="0" w:firstLine="480" w:firstLineChars="200"/>
              <w:rPr>
                <w:rFonts w:hint="default" w:ascii="Times New Roman" w:hAnsi="Times New Roman" w:eastAsia="宋体" w:cs="Times New Roman"/>
                <w:color w:val="auto"/>
                <w:szCs w:val="21"/>
                <w:highlight w:val="none"/>
              </w:rPr>
            </w:pPr>
          </w:p>
        </w:tc>
      </w:tr>
    </w:tbl>
    <w:p>
      <w:pPr>
        <w:rPr>
          <w:rFonts w:hint="default" w:ascii="Times New Roman" w:hAnsi="Times New Roman" w:eastAsia="宋体" w:cs="Times New Roman"/>
          <w:color w:val="auto"/>
          <w:highlight w:val="none"/>
        </w:rPr>
      </w:pPr>
    </w:p>
    <w:p>
      <w:pPr>
        <w:widowControl w:val="0"/>
        <w:snapToGrid w:val="0"/>
        <w:spacing w:line="360" w:lineRule="auto"/>
        <w:jc w:val="both"/>
        <w:rPr>
          <w:rFonts w:hint="default" w:ascii="Times New Roman" w:hAnsi="Times New Roman" w:eastAsia="宋体" w:cs="Times New Roman"/>
          <w:color w:val="auto"/>
          <w:kern w:val="2"/>
          <w:highlight w:val="none"/>
          <w:lang w:val="en-US" w:eastAsia="zh-CN"/>
        </w:rPr>
      </w:pPr>
    </w:p>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41034934"/>
                          </w:sdtPr>
                          <w:sdtContent>
                            <w:p>
                              <w:pPr>
                                <w:pStyle w:val="17"/>
                                <w:jc w:val="center"/>
                              </w:pPr>
                              <w:r>
                                <w:fldChar w:fldCharType="begin"/>
                              </w:r>
                              <w:r>
                                <w:instrText xml:space="preserve">PAGE   \* MERGEFORMAT</w:instrText>
                              </w:r>
                              <w:r>
                                <w:fldChar w:fldCharType="separate"/>
                              </w:r>
                              <w:r>
                                <w:rPr>
                                  <w:lang w:val="zh-CN"/>
                                </w:rPr>
                                <w:t>2</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41034934"/>
                    </w:sdtPr>
                    <w:sdtContent>
                      <w:p>
                        <w:pPr>
                          <w:pStyle w:val="17"/>
                          <w:jc w:val="center"/>
                        </w:pPr>
                        <w:r>
                          <w:fldChar w:fldCharType="begin"/>
                        </w:r>
                        <w:r>
                          <w:instrText xml:space="preserve">PAGE   \* MERGEFORMAT</w:instrText>
                        </w:r>
                        <w:r>
                          <w:fldChar w:fldCharType="separate"/>
                        </w:r>
                        <w:r>
                          <w:rPr>
                            <w:lang w:val="zh-CN"/>
                          </w:rPr>
                          <w:t>2</w:t>
                        </w:r>
                        <w:r>
                          <w:fldChar w:fldCharType="end"/>
                        </w:r>
                      </w:p>
                    </w:sdtContent>
                  </w:sdt>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60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A82605"/>
    <w:multiLevelType w:val="singleLevel"/>
    <w:tmpl w:val="16A8260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NDE2NTM3NjcwMzA1NDNR0lEKTi0uzszPAymwMKgFAPkgORYtAAAA"/>
    <w:docVar w:name="commondata" w:val="eyJoZGlkIjoiYzhiNTI3NTAwZmM5NWNkZTU5ZDVkNjRjMjhlZGZkNWUifQ=="/>
    <w:docVar w:name="EN.InstantFormat" w:val="&lt;ENInstantFormat&gt;&lt;Enabled&gt;1&lt;/Enabled&gt;&lt;ScanUnformatted&gt;1&lt;/ScanUnformatted&gt;&lt;ScanChanges&gt;1&lt;/ScanChanges&gt;&lt;Suspended&gt;1&lt;/Suspended&gt;&lt;/ENInstantFormat&gt;"/>
  </w:docVars>
  <w:rsids>
    <w:rsidRoot w:val="00172A27"/>
    <w:rsid w:val="00002CBB"/>
    <w:rsid w:val="0001323F"/>
    <w:rsid w:val="00014B65"/>
    <w:rsid w:val="00014B79"/>
    <w:rsid w:val="0001690B"/>
    <w:rsid w:val="00017B95"/>
    <w:rsid w:val="000210DC"/>
    <w:rsid w:val="00022BAC"/>
    <w:rsid w:val="00023E26"/>
    <w:rsid w:val="00024776"/>
    <w:rsid w:val="0002482C"/>
    <w:rsid w:val="00031C54"/>
    <w:rsid w:val="0003205E"/>
    <w:rsid w:val="00032BAF"/>
    <w:rsid w:val="0003305F"/>
    <w:rsid w:val="000344E3"/>
    <w:rsid w:val="000346DE"/>
    <w:rsid w:val="00037CA2"/>
    <w:rsid w:val="00041D81"/>
    <w:rsid w:val="00047F1A"/>
    <w:rsid w:val="00056983"/>
    <w:rsid w:val="0007289D"/>
    <w:rsid w:val="000743E1"/>
    <w:rsid w:val="000755F3"/>
    <w:rsid w:val="00076188"/>
    <w:rsid w:val="00077ABF"/>
    <w:rsid w:val="000800DB"/>
    <w:rsid w:val="000801E1"/>
    <w:rsid w:val="00083ED3"/>
    <w:rsid w:val="000843FF"/>
    <w:rsid w:val="00094E36"/>
    <w:rsid w:val="000958CB"/>
    <w:rsid w:val="000A2B62"/>
    <w:rsid w:val="000A3376"/>
    <w:rsid w:val="000A6B8A"/>
    <w:rsid w:val="000B015A"/>
    <w:rsid w:val="000B5DDF"/>
    <w:rsid w:val="000B7313"/>
    <w:rsid w:val="000C5970"/>
    <w:rsid w:val="000D146B"/>
    <w:rsid w:val="000E4210"/>
    <w:rsid w:val="000F46B5"/>
    <w:rsid w:val="000F60E9"/>
    <w:rsid w:val="000F74DC"/>
    <w:rsid w:val="000F7E9F"/>
    <w:rsid w:val="00100451"/>
    <w:rsid w:val="00100D4D"/>
    <w:rsid w:val="0010303E"/>
    <w:rsid w:val="00111400"/>
    <w:rsid w:val="00116954"/>
    <w:rsid w:val="001179C2"/>
    <w:rsid w:val="00127EF7"/>
    <w:rsid w:val="0013558C"/>
    <w:rsid w:val="00136714"/>
    <w:rsid w:val="001402D6"/>
    <w:rsid w:val="00142171"/>
    <w:rsid w:val="0014587A"/>
    <w:rsid w:val="0014600F"/>
    <w:rsid w:val="001525ED"/>
    <w:rsid w:val="001570BA"/>
    <w:rsid w:val="00157336"/>
    <w:rsid w:val="00160AEE"/>
    <w:rsid w:val="001714E6"/>
    <w:rsid w:val="00172A27"/>
    <w:rsid w:val="00173293"/>
    <w:rsid w:val="001732BC"/>
    <w:rsid w:val="00184451"/>
    <w:rsid w:val="00193A42"/>
    <w:rsid w:val="00193B21"/>
    <w:rsid w:val="001945AA"/>
    <w:rsid w:val="00194F0D"/>
    <w:rsid w:val="001A0A4B"/>
    <w:rsid w:val="001A411B"/>
    <w:rsid w:val="001A5975"/>
    <w:rsid w:val="001A7C64"/>
    <w:rsid w:val="001B0A25"/>
    <w:rsid w:val="001B3C31"/>
    <w:rsid w:val="001B4011"/>
    <w:rsid w:val="001B4696"/>
    <w:rsid w:val="001C14EF"/>
    <w:rsid w:val="001C795C"/>
    <w:rsid w:val="001D02E4"/>
    <w:rsid w:val="001D4CAB"/>
    <w:rsid w:val="001D566A"/>
    <w:rsid w:val="001D7DF5"/>
    <w:rsid w:val="001F2250"/>
    <w:rsid w:val="001F7792"/>
    <w:rsid w:val="00200F17"/>
    <w:rsid w:val="00202074"/>
    <w:rsid w:val="002022FA"/>
    <w:rsid w:val="00207F3F"/>
    <w:rsid w:val="00210594"/>
    <w:rsid w:val="00210833"/>
    <w:rsid w:val="00210A9C"/>
    <w:rsid w:val="002136EB"/>
    <w:rsid w:val="00227E4A"/>
    <w:rsid w:val="00233319"/>
    <w:rsid w:val="002347B7"/>
    <w:rsid w:val="00240990"/>
    <w:rsid w:val="00242282"/>
    <w:rsid w:val="002570D0"/>
    <w:rsid w:val="002575DF"/>
    <w:rsid w:val="00270671"/>
    <w:rsid w:val="002707C1"/>
    <w:rsid w:val="00271C74"/>
    <w:rsid w:val="00271EF7"/>
    <w:rsid w:val="0027349C"/>
    <w:rsid w:val="00274ACB"/>
    <w:rsid w:val="00274E7E"/>
    <w:rsid w:val="00285D86"/>
    <w:rsid w:val="00287201"/>
    <w:rsid w:val="002901B0"/>
    <w:rsid w:val="00292539"/>
    <w:rsid w:val="0029299F"/>
    <w:rsid w:val="00293088"/>
    <w:rsid w:val="00297B6F"/>
    <w:rsid w:val="002A3B23"/>
    <w:rsid w:val="002B085A"/>
    <w:rsid w:val="002B1845"/>
    <w:rsid w:val="002B4E64"/>
    <w:rsid w:val="002B6E32"/>
    <w:rsid w:val="002C09EA"/>
    <w:rsid w:val="002C2577"/>
    <w:rsid w:val="002C66B0"/>
    <w:rsid w:val="002C76C9"/>
    <w:rsid w:val="002D32A4"/>
    <w:rsid w:val="002E1E6F"/>
    <w:rsid w:val="002E298D"/>
    <w:rsid w:val="002F3CAF"/>
    <w:rsid w:val="0030341C"/>
    <w:rsid w:val="00320CB9"/>
    <w:rsid w:val="00321A22"/>
    <w:rsid w:val="00333A6B"/>
    <w:rsid w:val="0033673C"/>
    <w:rsid w:val="00344F9A"/>
    <w:rsid w:val="003518E2"/>
    <w:rsid w:val="003528DC"/>
    <w:rsid w:val="0035770D"/>
    <w:rsid w:val="00364F05"/>
    <w:rsid w:val="0036760E"/>
    <w:rsid w:val="00376B65"/>
    <w:rsid w:val="00381052"/>
    <w:rsid w:val="00381225"/>
    <w:rsid w:val="00384152"/>
    <w:rsid w:val="00386859"/>
    <w:rsid w:val="0038694B"/>
    <w:rsid w:val="003878C7"/>
    <w:rsid w:val="0039121D"/>
    <w:rsid w:val="003918F3"/>
    <w:rsid w:val="00392E76"/>
    <w:rsid w:val="00397CA2"/>
    <w:rsid w:val="003A1A52"/>
    <w:rsid w:val="003A4CF1"/>
    <w:rsid w:val="003B7714"/>
    <w:rsid w:val="003C0AF2"/>
    <w:rsid w:val="003D096B"/>
    <w:rsid w:val="003D1147"/>
    <w:rsid w:val="003D1351"/>
    <w:rsid w:val="003D165A"/>
    <w:rsid w:val="003D16A7"/>
    <w:rsid w:val="003D4337"/>
    <w:rsid w:val="003D64CB"/>
    <w:rsid w:val="003E49D6"/>
    <w:rsid w:val="003E6DC9"/>
    <w:rsid w:val="003F184B"/>
    <w:rsid w:val="003F3C89"/>
    <w:rsid w:val="0040543C"/>
    <w:rsid w:val="00412F4D"/>
    <w:rsid w:val="00422E5D"/>
    <w:rsid w:val="004241AD"/>
    <w:rsid w:val="004261FD"/>
    <w:rsid w:val="00433521"/>
    <w:rsid w:val="00434190"/>
    <w:rsid w:val="004358F0"/>
    <w:rsid w:val="004375BC"/>
    <w:rsid w:val="00446C1C"/>
    <w:rsid w:val="004471DB"/>
    <w:rsid w:val="00447AA0"/>
    <w:rsid w:val="00451BD9"/>
    <w:rsid w:val="00455FDE"/>
    <w:rsid w:val="00457586"/>
    <w:rsid w:val="0046081A"/>
    <w:rsid w:val="00461D6E"/>
    <w:rsid w:val="00461F70"/>
    <w:rsid w:val="0046402E"/>
    <w:rsid w:val="00465287"/>
    <w:rsid w:val="00465D11"/>
    <w:rsid w:val="00467BBB"/>
    <w:rsid w:val="0047531E"/>
    <w:rsid w:val="00476B98"/>
    <w:rsid w:val="00476D82"/>
    <w:rsid w:val="00480418"/>
    <w:rsid w:val="004849A3"/>
    <w:rsid w:val="00487C68"/>
    <w:rsid w:val="0049354D"/>
    <w:rsid w:val="004A1AF2"/>
    <w:rsid w:val="004A2CD6"/>
    <w:rsid w:val="004B09B9"/>
    <w:rsid w:val="004C0429"/>
    <w:rsid w:val="004C6092"/>
    <w:rsid w:val="004C7A9B"/>
    <w:rsid w:val="004D14B8"/>
    <w:rsid w:val="004D6A4D"/>
    <w:rsid w:val="004E3907"/>
    <w:rsid w:val="004E5B6E"/>
    <w:rsid w:val="004E6691"/>
    <w:rsid w:val="004E69D5"/>
    <w:rsid w:val="004E6F16"/>
    <w:rsid w:val="004F378F"/>
    <w:rsid w:val="004F645E"/>
    <w:rsid w:val="004F7B87"/>
    <w:rsid w:val="00501C01"/>
    <w:rsid w:val="005125A6"/>
    <w:rsid w:val="00514168"/>
    <w:rsid w:val="00527CE3"/>
    <w:rsid w:val="00533E74"/>
    <w:rsid w:val="005369B1"/>
    <w:rsid w:val="0054178F"/>
    <w:rsid w:val="00544092"/>
    <w:rsid w:val="0054545D"/>
    <w:rsid w:val="00545F8D"/>
    <w:rsid w:val="005473F0"/>
    <w:rsid w:val="0055751B"/>
    <w:rsid w:val="00560139"/>
    <w:rsid w:val="00563E3F"/>
    <w:rsid w:val="0056517C"/>
    <w:rsid w:val="00572FE4"/>
    <w:rsid w:val="00582C19"/>
    <w:rsid w:val="00585DDA"/>
    <w:rsid w:val="00594A15"/>
    <w:rsid w:val="0059502A"/>
    <w:rsid w:val="005955A3"/>
    <w:rsid w:val="005A26B1"/>
    <w:rsid w:val="005A79B0"/>
    <w:rsid w:val="005B00EE"/>
    <w:rsid w:val="005B6DE2"/>
    <w:rsid w:val="005C13FC"/>
    <w:rsid w:val="005C56D6"/>
    <w:rsid w:val="005D52EB"/>
    <w:rsid w:val="005E1FB1"/>
    <w:rsid w:val="005E2715"/>
    <w:rsid w:val="005E2964"/>
    <w:rsid w:val="005F6FF7"/>
    <w:rsid w:val="005F7337"/>
    <w:rsid w:val="006004DF"/>
    <w:rsid w:val="00604BF2"/>
    <w:rsid w:val="0061009E"/>
    <w:rsid w:val="00612100"/>
    <w:rsid w:val="00613A70"/>
    <w:rsid w:val="00614A04"/>
    <w:rsid w:val="00614E31"/>
    <w:rsid w:val="006244B0"/>
    <w:rsid w:val="00631C17"/>
    <w:rsid w:val="006320C3"/>
    <w:rsid w:val="006353E0"/>
    <w:rsid w:val="006372CD"/>
    <w:rsid w:val="0064305B"/>
    <w:rsid w:val="00650056"/>
    <w:rsid w:val="0065797B"/>
    <w:rsid w:val="00657FC7"/>
    <w:rsid w:val="00664E67"/>
    <w:rsid w:val="00665472"/>
    <w:rsid w:val="006729B5"/>
    <w:rsid w:val="00672FCC"/>
    <w:rsid w:val="00684078"/>
    <w:rsid w:val="00685BAC"/>
    <w:rsid w:val="006942D1"/>
    <w:rsid w:val="006943C5"/>
    <w:rsid w:val="00695FE8"/>
    <w:rsid w:val="006A24CF"/>
    <w:rsid w:val="006A2E20"/>
    <w:rsid w:val="006B4FDD"/>
    <w:rsid w:val="006B50E0"/>
    <w:rsid w:val="006B6C3A"/>
    <w:rsid w:val="006B6D49"/>
    <w:rsid w:val="006C7954"/>
    <w:rsid w:val="006D1593"/>
    <w:rsid w:val="006D693D"/>
    <w:rsid w:val="006E5FBD"/>
    <w:rsid w:val="006E61F5"/>
    <w:rsid w:val="006E6ABE"/>
    <w:rsid w:val="006F05B8"/>
    <w:rsid w:val="006F271A"/>
    <w:rsid w:val="006F3BD2"/>
    <w:rsid w:val="006F5150"/>
    <w:rsid w:val="006F6F3D"/>
    <w:rsid w:val="006F70E4"/>
    <w:rsid w:val="006F7436"/>
    <w:rsid w:val="006F7810"/>
    <w:rsid w:val="007017B6"/>
    <w:rsid w:val="00701F9A"/>
    <w:rsid w:val="00701FA7"/>
    <w:rsid w:val="00702DE2"/>
    <w:rsid w:val="00703EE8"/>
    <w:rsid w:val="007058F3"/>
    <w:rsid w:val="00706F4F"/>
    <w:rsid w:val="00711441"/>
    <w:rsid w:val="00720EEC"/>
    <w:rsid w:val="00725D1A"/>
    <w:rsid w:val="007409FE"/>
    <w:rsid w:val="00741118"/>
    <w:rsid w:val="00743ACC"/>
    <w:rsid w:val="00746E0C"/>
    <w:rsid w:val="007501F4"/>
    <w:rsid w:val="00753D58"/>
    <w:rsid w:val="00754CD1"/>
    <w:rsid w:val="007570CD"/>
    <w:rsid w:val="0075719A"/>
    <w:rsid w:val="00757B22"/>
    <w:rsid w:val="007624E5"/>
    <w:rsid w:val="0076530D"/>
    <w:rsid w:val="0077374F"/>
    <w:rsid w:val="00785DC3"/>
    <w:rsid w:val="00786D01"/>
    <w:rsid w:val="0078746C"/>
    <w:rsid w:val="007944E8"/>
    <w:rsid w:val="007946C5"/>
    <w:rsid w:val="007A0801"/>
    <w:rsid w:val="007A39F2"/>
    <w:rsid w:val="007A5CCE"/>
    <w:rsid w:val="007B12BC"/>
    <w:rsid w:val="007B3F6B"/>
    <w:rsid w:val="007C2388"/>
    <w:rsid w:val="007C6705"/>
    <w:rsid w:val="007C6E7A"/>
    <w:rsid w:val="007C7C93"/>
    <w:rsid w:val="007D2AFB"/>
    <w:rsid w:val="007E02DA"/>
    <w:rsid w:val="007E1400"/>
    <w:rsid w:val="007E3CE7"/>
    <w:rsid w:val="007E7494"/>
    <w:rsid w:val="007F3B62"/>
    <w:rsid w:val="007F6022"/>
    <w:rsid w:val="008072AC"/>
    <w:rsid w:val="00807F4C"/>
    <w:rsid w:val="0081276B"/>
    <w:rsid w:val="00815A69"/>
    <w:rsid w:val="00815FDA"/>
    <w:rsid w:val="00816DFE"/>
    <w:rsid w:val="00816E68"/>
    <w:rsid w:val="00817E67"/>
    <w:rsid w:val="00820271"/>
    <w:rsid w:val="00826E1E"/>
    <w:rsid w:val="00827A35"/>
    <w:rsid w:val="0083014A"/>
    <w:rsid w:val="00832ACF"/>
    <w:rsid w:val="00841E7A"/>
    <w:rsid w:val="008433CF"/>
    <w:rsid w:val="00844D5E"/>
    <w:rsid w:val="00850E4A"/>
    <w:rsid w:val="008516D7"/>
    <w:rsid w:val="00854101"/>
    <w:rsid w:val="00854496"/>
    <w:rsid w:val="008558E2"/>
    <w:rsid w:val="008629F5"/>
    <w:rsid w:val="00871002"/>
    <w:rsid w:val="0087223F"/>
    <w:rsid w:val="00873E6E"/>
    <w:rsid w:val="00873EB9"/>
    <w:rsid w:val="00876BB8"/>
    <w:rsid w:val="00881C48"/>
    <w:rsid w:val="00894516"/>
    <w:rsid w:val="00897502"/>
    <w:rsid w:val="008A0394"/>
    <w:rsid w:val="008A06D1"/>
    <w:rsid w:val="008A1B42"/>
    <w:rsid w:val="008A206A"/>
    <w:rsid w:val="008A607C"/>
    <w:rsid w:val="008B2688"/>
    <w:rsid w:val="008B2A41"/>
    <w:rsid w:val="008B7322"/>
    <w:rsid w:val="008C25C0"/>
    <w:rsid w:val="008D3868"/>
    <w:rsid w:val="008D7C88"/>
    <w:rsid w:val="008E15EF"/>
    <w:rsid w:val="008F12A1"/>
    <w:rsid w:val="008F68FE"/>
    <w:rsid w:val="0090164B"/>
    <w:rsid w:val="0090609A"/>
    <w:rsid w:val="00907719"/>
    <w:rsid w:val="00912F12"/>
    <w:rsid w:val="00915441"/>
    <w:rsid w:val="00932CB8"/>
    <w:rsid w:val="0093556E"/>
    <w:rsid w:val="00941542"/>
    <w:rsid w:val="009473E0"/>
    <w:rsid w:val="00951314"/>
    <w:rsid w:val="00952B02"/>
    <w:rsid w:val="00956198"/>
    <w:rsid w:val="00961B86"/>
    <w:rsid w:val="00962759"/>
    <w:rsid w:val="00963A46"/>
    <w:rsid w:val="00966C2C"/>
    <w:rsid w:val="00973590"/>
    <w:rsid w:val="009735ED"/>
    <w:rsid w:val="009767A4"/>
    <w:rsid w:val="009812E5"/>
    <w:rsid w:val="009836EE"/>
    <w:rsid w:val="009850D8"/>
    <w:rsid w:val="00987DC6"/>
    <w:rsid w:val="0099620B"/>
    <w:rsid w:val="009A22F2"/>
    <w:rsid w:val="009A3FDE"/>
    <w:rsid w:val="009A72C3"/>
    <w:rsid w:val="009B2290"/>
    <w:rsid w:val="009B55D2"/>
    <w:rsid w:val="009C0790"/>
    <w:rsid w:val="009C337D"/>
    <w:rsid w:val="009D1ADC"/>
    <w:rsid w:val="009D3157"/>
    <w:rsid w:val="009D37E6"/>
    <w:rsid w:val="009D52C7"/>
    <w:rsid w:val="009D5FB3"/>
    <w:rsid w:val="009E38F4"/>
    <w:rsid w:val="009F566D"/>
    <w:rsid w:val="009F722A"/>
    <w:rsid w:val="009F7779"/>
    <w:rsid w:val="00A01319"/>
    <w:rsid w:val="00A019C9"/>
    <w:rsid w:val="00A02A7A"/>
    <w:rsid w:val="00A02E90"/>
    <w:rsid w:val="00A076B4"/>
    <w:rsid w:val="00A163DA"/>
    <w:rsid w:val="00A20565"/>
    <w:rsid w:val="00A27F80"/>
    <w:rsid w:val="00A31A76"/>
    <w:rsid w:val="00A419D6"/>
    <w:rsid w:val="00A531CC"/>
    <w:rsid w:val="00A56767"/>
    <w:rsid w:val="00A57762"/>
    <w:rsid w:val="00A57BD0"/>
    <w:rsid w:val="00A6485F"/>
    <w:rsid w:val="00A66C1A"/>
    <w:rsid w:val="00A73100"/>
    <w:rsid w:val="00A7641A"/>
    <w:rsid w:val="00A80C37"/>
    <w:rsid w:val="00A859A9"/>
    <w:rsid w:val="00A90B18"/>
    <w:rsid w:val="00A915B9"/>
    <w:rsid w:val="00A93BF2"/>
    <w:rsid w:val="00A94B39"/>
    <w:rsid w:val="00A95A9A"/>
    <w:rsid w:val="00AA0268"/>
    <w:rsid w:val="00AA3B85"/>
    <w:rsid w:val="00AA72EA"/>
    <w:rsid w:val="00AA75E0"/>
    <w:rsid w:val="00AB1AF3"/>
    <w:rsid w:val="00AB1BF3"/>
    <w:rsid w:val="00AB3B66"/>
    <w:rsid w:val="00AC45D7"/>
    <w:rsid w:val="00AC783C"/>
    <w:rsid w:val="00AD0606"/>
    <w:rsid w:val="00AD39B7"/>
    <w:rsid w:val="00AD6453"/>
    <w:rsid w:val="00AD7D72"/>
    <w:rsid w:val="00AE080E"/>
    <w:rsid w:val="00AF1B46"/>
    <w:rsid w:val="00AF287B"/>
    <w:rsid w:val="00B00B76"/>
    <w:rsid w:val="00B01804"/>
    <w:rsid w:val="00B01C94"/>
    <w:rsid w:val="00B01DA6"/>
    <w:rsid w:val="00B042FF"/>
    <w:rsid w:val="00B05B14"/>
    <w:rsid w:val="00B12640"/>
    <w:rsid w:val="00B129DB"/>
    <w:rsid w:val="00B131CE"/>
    <w:rsid w:val="00B15A5E"/>
    <w:rsid w:val="00B164E4"/>
    <w:rsid w:val="00B22339"/>
    <w:rsid w:val="00B22F52"/>
    <w:rsid w:val="00B25FBA"/>
    <w:rsid w:val="00B26E6F"/>
    <w:rsid w:val="00B2728C"/>
    <w:rsid w:val="00B35D04"/>
    <w:rsid w:val="00B35ECE"/>
    <w:rsid w:val="00B37F4A"/>
    <w:rsid w:val="00B44BFC"/>
    <w:rsid w:val="00B510E2"/>
    <w:rsid w:val="00B52CEB"/>
    <w:rsid w:val="00B52EA6"/>
    <w:rsid w:val="00B5476A"/>
    <w:rsid w:val="00B551AA"/>
    <w:rsid w:val="00B55385"/>
    <w:rsid w:val="00B5793D"/>
    <w:rsid w:val="00B6347A"/>
    <w:rsid w:val="00B67C2B"/>
    <w:rsid w:val="00B7208C"/>
    <w:rsid w:val="00B74FA4"/>
    <w:rsid w:val="00B801A6"/>
    <w:rsid w:val="00B84603"/>
    <w:rsid w:val="00B87596"/>
    <w:rsid w:val="00B902A7"/>
    <w:rsid w:val="00B94626"/>
    <w:rsid w:val="00B95562"/>
    <w:rsid w:val="00B95E1C"/>
    <w:rsid w:val="00BA6DD7"/>
    <w:rsid w:val="00BA6F7B"/>
    <w:rsid w:val="00BB2C6D"/>
    <w:rsid w:val="00BB35C0"/>
    <w:rsid w:val="00BB5C17"/>
    <w:rsid w:val="00BB6C5D"/>
    <w:rsid w:val="00BC07D1"/>
    <w:rsid w:val="00BC2CEF"/>
    <w:rsid w:val="00BC604D"/>
    <w:rsid w:val="00BD10E6"/>
    <w:rsid w:val="00BD2189"/>
    <w:rsid w:val="00BD4193"/>
    <w:rsid w:val="00BD42ED"/>
    <w:rsid w:val="00BD50E9"/>
    <w:rsid w:val="00BD6DAF"/>
    <w:rsid w:val="00BE71F9"/>
    <w:rsid w:val="00BF27F1"/>
    <w:rsid w:val="00BF36B7"/>
    <w:rsid w:val="00BF37C3"/>
    <w:rsid w:val="00C0175A"/>
    <w:rsid w:val="00C11F17"/>
    <w:rsid w:val="00C175BD"/>
    <w:rsid w:val="00C20F98"/>
    <w:rsid w:val="00C2194E"/>
    <w:rsid w:val="00C35FDF"/>
    <w:rsid w:val="00C3610F"/>
    <w:rsid w:val="00C400BA"/>
    <w:rsid w:val="00C44A4E"/>
    <w:rsid w:val="00C467F3"/>
    <w:rsid w:val="00C47375"/>
    <w:rsid w:val="00C50E23"/>
    <w:rsid w:val="00C56BCC"/>
    <w:rsid w:val="00C6290F"/>
    <w:rsid w:val="00C64133"/>
    <w:rsid w:val="00C6453E"/>
    <w:rsid w:val="00C66767"/>
    <w:rsid w:val="00C66FFD"/>
    <w:rsid w:val="00C72D56"/>
    <w:rsid w:val="00C74AC4"/>
    <w:rsid w:val="00C8123B"/>
    <w:rsid w:val="00C95C3A"/>
    <w:rsid w:val="00CA1140"/>
    <w:rsid w:val="00CA2420"/>
    <w:rsid w:val="00CA6793"/>
    <w:rsid w:val="00CB0BE8"/>
    <w:rsid w:val="00CB680A"/>
    <w:rsid w:val="00CC097E"/>
    <w:rsid w:val="00CC2110"/>
    <w:rsid w:val="00CC4E51"/>
    <w:rsid w:val="00CD00AA"/>
    <w:rsid w:val="00CD249E"/>
    <w:rsid w:val="00CD4A26"/>
    <w:rsid w:val="00CE2699"/>
    <w:rsid w:val="00CE30D5"/>
    <w:rsid w:val="00CE31F5"/>
    <w:rsid w:val="00CE387C"/>
    <w:rsid w:val="00CE48DF"/>
    <w:rsid w:val="00CE4A01"/>
    <w:rsid w:val="00CF5B55"/>
    <w:rsid w:val="00CF71C5"/>
    <w:rsid w:val="00D007D1"/>
    <w:rsid w:val="00D0142C"/>
    <w:rsid w:val="00D07C6F"/>
    <w:rsid w:val="00D1327E"/>
    <w:rsid w:val="00D169B9"/>
    <w:rsid w:val="00D252F6"/>
    <w:rsid w:val="00D315D1"/>
    <w:rsid w:val="00D37305"/>
    <w:rsid w:val="00D427D2"/>
    <w:rsid w:val="00D42A8F"/>
    <w:rsid w:val="00D4659B"/>
    <w:rsid w:val="00D50C8A"/>
    <w:rsid w:val="00D519BC"/>
    <w:rsid w:val="00D66452"/>
    <w:rsid w:val="00D70FBC"/>
    <w:rsid w:val="00D7779E"/>
    <w:rsid w:val="00D818DD"/>
    <w:rsid w:val="00D845A8"/>
    <w:rsid w:val="00D85FD3"/>
    <w:rsid w:val="00D975C1"/>
    <w:rsid w:val="00DA181D"/>
    <w:rsid w:val="00DA2C04"/>
    <w:rsid w:val="00DA312A"/>
    <w:rsid w:val="00DA31B4"/>
    <w:rsid w:val="00DB21DA"/>
    <w:rsid w:val="00DC2C74"/>
    <w:rsid w:val="00DC34F4"/>
    <w:rsid w:val="00DC3FB4"/>
    <w:rsid w:val="00DC6AD5"/>
    <w:rsid w:val="00DD1F77"/>
    <w:rsid w:val="00DD4268"/>
    <w:rsid w:val="00DD5C7A"/>
    <w:rsid w:val="00DE13EB"/>
    <w:rsid w:val="00DE2011"/>
    <w:rsid w:val="00DF0573"/>
    <w:rsid w:val="00DF2225"/>
    <w:rsid w:val="00DF5C18"/>
    <w:rsid w:val="00E05105"/>
    <w:rsid w:val="00E052F9"/>
    <w:rsid w:val="00E119F0"/>
    <w:rsid w:val="00E231E8"/>
    <w:rsid w:val="00E26378"/>
    <w:rsid w:val="00E30523"/>
    <w:rsid w:val="00E331B9"/>
    <w:rsid w:val="00E40C36"/>
    <w:rsid w:val="00E44451"/>
    <w:rsid w:val="00E55558"/>
    <w:rsid w:val="00E55D64"/>
    <w:rsid w:val="00E61CA1"/>
    <w:rsid w:val="00E6288F"/>
    <w:rsid w:val="00E63DA0"/>
    <w:rsid w:val="00E63E5C"/>
    <w:rsid w:val="00E713ED"/>
    <w:rsid w:val="00E71D35"/>
    <w:rsid w:val="00E73CC1"/>
    <w:rsid w:val="00E745F9"/>
    <w:rsid w:val="00E7556B"/>
    <w:rsid w:val="00E75968"/>
    <w:rsid w:val="00E760C7"/>
    <w:rsid w:val="00E76222"/>
    <w:rsid w:val="00E765BD"/>
    <w:rsid w:val="00E8616E"/>
    <w:rsid w:val="00E865D7"/>
    <w:rsid w:val="00E9105F"/>
    <w:rsid w:val="00E91350"/>
    <w:rsid w:val="00E94C18"/>
    <w:rsid w:val="00EA36F8"/>
    <w:rsid w:val="00EA5730"/>
    <w:rsid w:val="00EA5AE8"/>
    <w:rsid w:val="00EB15FC"/>
    <w:rsid w:val="00EB1F34"/>
    <w:rsid w:val="00EB6DEA"/>
    <w:rsid w:val="00EC1C44"/>
    <w:rsid w:val="00EC2317"/>
    <w:rsid w:val="00EC3689"/>
    <w:rsid w:val="00ED138A"/>
    <w:rsid w:val="00ED1A3D"/>
    <w:rsid w:val="00ED4AE3"/>
    <w:rsid w:val="00ED5F83"/>
    <w:rsid w:val="00EE0583"/>
    <w:rsid w:val="00EE116A"/>
    <w:rsid w:val="00EE266C"/>
    <w:rsid w:val="00EE2AA3"/>
    <w:rsid w:val="00EF4EFA"/>
    <w:rsid w:val="00EF4FB0"/>
    <w:rsid w:val="00EF61BE"/>
    <w:rsid w:val="00F0353E"/>
    <w:rsid w:val="00F04C06"/>
    <w:rsid w:val="00F04E24"/>
    <w:rsid w:val="00F05574"/>
    <w:rsid w:val="00F103E1"/>
    <w:rsid w:val="00F124A2"/>
    <w:rsid w:val="00F1271C"/>
    <w:rsid w:val="00F14BC5"/>
    <w:rsid w:val="00F15912"/>
    <w:rsid w:val="00F1754C"/>
    <w:rsid w:val="00F271F4"/>
    <w:rsid w:val="00F27988"/>
    <w:rsid w:val="00F3370D"/>
    <w:rsid w:val="00F33842"/>
    <w:rsid w:val="00F42FDD"/>
    <w:rsid w:val="00F44CE7"/>
    <w:rsid w:val="00F45D88"/>
    <w:rsid w:val="00F561E7"/>
    <w:rsid w:val="00F56397"/>
    <w:rsid w:val="00F61B01"/>
    <w:rsid w:val="00F6277C"/>
    <w:rsid w:val="00F644E7"/>
    <w:rsid w:val="00F64FAA"/>
    <w:rsid w:val="00F66964"/>
    <w:rsid w:val="00F704EA"/>
    <w:rsid w:val="00F74D3E"/>
    <w:rsid w:val="00F80394"/>
    <w:rsid w:val="00F82290"/>
    <w:rsid w:val="00F824EA"/>
    <w:rsid w:val="00F8267D"/>
    <w:rsid w:val="00F82B49"/>
    <w:rsid w:val="00F873CD"/>
    <w:rsid w:val="00F9266D"/>
    <w:rsid w:val="00F950A6"/>
    <w:rsid w:val="00F95BFA"/>
    <w:rsid w:val="00F962D9"/>
    <w:rsid w:val="00F97FDE"/>
    <w:rsid w:val="00FA0E55"/>
    <w:rsid w:val="00FA15D1"/>
    <w:rsid w:val="00FA4D39"/>
    <w:rsid w:val="00FA4F5E"/>
    <w:rsid w:val="00FB1ABF"/>
    <w:rsid w:val="00FB3BF9"/>
    <w:rsid w:val="00FB45D6"/>
    <w:rsid w:val="00FC21D5"/>
    <w:rsid w:val="00FC2A52"/>
    <w:rsid w:val="00FC36EC"/>
    <w:rsid w:val="00FC3A06"/>
    <w:rsid w:val="00FC47EA"/>
    <w:rsid w:val="00FC51AB"/>
    <w:rsid w:val="00FD6D79"/>
    <w:rsid w:val="00FD76F2"/>
    <w:rsid w:val="00FE0A42"/>
    <w:rsid w:val="00FE0D6D"/>
    <w:rsid w:val="00FE101C"/>
    <w:rsid w:val="00FE4BA8"/>
    <w:rsid w:val="00FF0324"/>
    <w:rsid w:val="00FF0AAE"/>
    <w:rsid w:val="00FF1334"/>
    <w:rsid w:val="00FF2C83"/>
    <w:rsid w:val="00FF2FDB"/>
    <w:rsid w:val="00FF3C04"/>
    <w:rsid w:val="011E1826"/>
    <w:rsid w:val="01326F3B"/>
    <w:rsid w:val="01534AD1"/>
    <w:rsid w:val="01671BDD"/>
    <w:rsid w:val="016F67BE"/>
    <w:rsid w:val="01AC54F3"/>
    <w:rsid w:val="01B0647C"/>
    <w:rsid w:val="01B9698F"/>
    <w:rsid w:val="01E80C34"/>
    <w:rsid w:val="01FF40DD"/>
    <w:rsid w:val="02235B22"/>
    <w:rsid w:val="02481B14"/>
    <w:rsid w:val="02A15A09"/>
    <w:rsid w:val="02D6239E"/>
    <w:rsid w:val="02FA1BF6"/>
    <w:rsid w:val="03215DBB"/>
    <w:rsid w:val="03250081"/>
    <w:rsid w:val="03432256"/>
    <w:rsid w:val="03433CC0"/>
    <w:rsid w:val="03480A27"/>
    <w:rsid w:val="03605661"/>
    <w:rsid w:val="036439CE"/>
    <w:rsid w:val="036A1C19"/>
    <w:rsid w:val="03B86720"/>
    <w:rsid w:val="03BE497B"/>
    <w:rsid w:val="040A7B61"/>
    <w:rsid w:val="041534AD"/>
    <w:rsid w:val="0427257C"/>
    <w:rsid w:val="043517D0"/>
    <w:rsid w:val="043A5387"/>
    <w:rsid w:val="04772C64"/>
    <w:rsid w:val="049A1F4E"/>
    <w:rsid w:val="04AE2D97"/>
    <w:rsid w:val="04B436AB"/>
    <w:rsid w:val="04D94B9F"/>
    <w:rsid w:val="04E73D88"/>
    <w:rsid w:val="04E92909"/>
    <w:rsid w:val="04F225FA"/>
    <w:rsid w:val="05031408"/>
    <w:rsid w:val="05087233"/>
    <w:rsid w:val="05344141"/>
    <w:rsid w:val="05382CE4"/>
    <w:rsid w:val="0546524F"/>
    <w:rsid w:val="05561024"/>
    <w:rsid w:val="056332FC"/>
    <w:rsid w:val="058F525E"/>
    <w:rsid w:val="05984632"/>
    <w:rsid w:val="059C69EB"/>
    <w:rsid w:val="05A43D2F"/>
    <w:rsid w:val="05A50F27"/>
    <w:rsid w:val="05C04DF3"/>
    <w:rsid w:val="05EC445F"/>
    <w:rsid w:val="05FE2AE0"/>
    <w:rsid w:val="060F0FE8"/>
    <w:rsid w:val="06300B9E"/>
    <w:rsid w:val="06476E10"/>
    <w:rsid w:val="064E0C77"/>
    <w:rsid w:val="066A6E26"/>
    <w:rsid w:val="06740D55"/>
    <w:rsid w:val="06943E37"/>
    <w:rsid w:val="06997467"/>
    <w:rsid w:val="06D60F42"/>
    <w:rsid w:val="06DD0335"/>
    <w:rsid w:val="06E83342"/>
    <w:rsid w:val="06EB0BBA"/>
    <w:rsid w:val="071B77DC"/>
    <w:rsid w:val="072865CF"/>
    <w:rsid w:val="07522290"/>
    <w:rsid w:val="07924D61"/>
    <w:rsid w:val="07B24CD8"/>
    <w:rsid w:val="07D357F7"/>
    <w:rsid w:val="07D47BD7"/>
    <w:rsid w:val="07D97D18"/>
    <w:rsid w:val="07E1440E"/>
    <w:rsid w:val="07E67605"/>
    <w:rsid w:val="07EE1198"/>
    <w:rsid w:val="080C5E72"/>
    <w:rsid w:val="081B19CD"/>
    <w:rsid w:val="081F7D01"/>
    <w:rsid w:val="08311986"/>
    <w:rsid w:val="086217EE"/>
    <w:rsid w:val="0868119C"/>
    <w:rsid w:val="08C50867"/>
    <w:rsid w:val="08DD7E0F"/>
    <w:rsid w:val="08E32277"/>
    <w:rsid w:val="09167328"/>
    <w:rsid w:val="091C32AD"/>
    <w:rsid w:val="093F51ED"/>
    <w:rsid w:val="09495A67"/>
    <w:rsid w:val="094B2A8C"/>
    <w:rsid w:val="094F7A59"/>
    <w:rsid w:val="095A2027"/>
    <w:rsid w:val="095E7545"/>
    <w:rsid w:val="09774BF3"/>
    <w:rsid w:val="09CA5775"/>
    <w:rsid w:val="09D266D3"/>
    <w:rsid w:val="09F50350"/>
    <w:rsid w:val="09F80B22"/>
    <w:rsid w:val="0A16735A"/>
    <w:rsid w:val="0A21725C"/>
    <w:rsid w:val="0A52038C"/>
    <w:rsid w:val="0A530095"/>
    <w:rsid w:val="0A9652E1"/>
    <w:rsid w:val="0AC33D31"/>
    <w:rsid w:val="0B01302A"/>
    <w:rsid w:val="0B4836F1"/>
    <w:rsid w:val="0B6F55A6"/>
    <w:rsid w:val="0BA07341"/>
    <w:rsid w:val="0C016277"/>
    <w:rsid w:val="0C221F70"/>
    <w:rsid w:val="0C475EF7"/>
    <w:rsid w:val="0C52150C"/>
    <w:rsid w:val="0C564D28"/>
    <w:rsid w:val="0C7561B0"/>
    <w:rsid w:val="0C8A3DD3"/>
    <w:rsid w:val="0CA33BE4"/>
    <w:rsid w:val="0CC06645"/>
    <w:rsid w:val="0CCB59F8"/>
    <w:rsid w:val="0CDA24BB"/>
    <w:rsid w:val="0D187AA3"/>
    <w:rsid w:val="0D36628A"/>
    <w:rsid w:val="0D49488C"/>
    <w:rsid w:val="0D6364B4"/>
    <w:rsid w:val="0D66350D"/>
    <w:rsid w:val="0D777923"/>
    <w:rsid w:val="0D815DD4"/>
    <w:rsid w:val="0D8458C4"/>
    <w:rsid w:val="0D93706C"/>
    <w:rsid w:val="0DA76B8C"/>
    <w:rsid w:val="0DAC10DE"/>
    <w:rsid w:val="0DFA594D"/>
    <w:rsid w:val="0E25341F"/>
    <w:rsid w:val="0E95657C"/>
    <w:rsid w:val="0EB450AC"/>
    <w:rsid w:val="0EC84028"/>
    <w:rsid w:val="0EEE4073"/>
    <w:rsid w:val="0F015230"/>
    <w:rsid w:val="0F130CDE"/>
    <w:rsid w:val="0F1829AD"/>
    <w:rsid w:val="0F4508E7"/>
    <w:rsid w:val="0F841BAC"/>
    <w:rsid w:val="10015183"/>
    <w:rsid w:val="104F3929"/>
    <w:rsid w:val="105608B9"/>
    <w:rsid w:val="106B23FC"/>
    <w:rsid w:val="1074755A"/>
    <w:rsid w:val="108B0255"/>
    <w:rsid w:val="10C51B36"/>
    <w:rsid w:val="10C60D0D"/>
    <w:rsid w:val="10F663EF"/>
    <w:rsid w:val="110166B5"/>
    <w:rsid w:val="110A69B9"/>
    <w:rsid w:val="115858F0"/>
    <w:rsid w:val="1178231F"/>
    <w:rsid w:val="118D159A"/>
    <w:rsid w:val="11A34EE8"/>
    <w:rsid w:val="11C35A86"/>
    <w:rsid w:val="11FA42C8"/>
    <w:rsid w:val="122338FE"/>
    <w:rsid w:val="12336F62"/>
    <w:rsid w:val="123A47A4"/>
    <w:rsid w:val="12404081"/>
    <w:rsid w:val="124267B3"/>
    <w:rsid w:val="12436FAE"/>
    <w:rsid w:val="124B55AF"/>
    <w:rsid w:val="125F2DFC"/>
    <w:rsid w:val="12620FF0"/>
    <w:rsid w:val="12857AB0"/>
    <w:rsid w:val="129A6329"/>
    <w:rsid w:val="12C0739F"/>
    <w:rsid w:val="12CB65FB"/>
    <w:rsid w:val="12D05689"/>
    <w:rsid w:val="12DE784D"/>
    <w:rsid w:val="12FD6EE0"/>
    <w:rsid w:val="12FF4188"/>
    <w:rsid w:val="13101EDA"/>
    <w:rsid w:val="13141499"/>
    <w:rsid w:val="131F0B36"/>
    <w:rsid w:val="13485EDB"/>
    <w:rsid w:val="134A3212"/>
    <w:rsid w:val="1352503A"/>
    <w:rsid w:val="13751AFF"/>
    <w:rsid w:val="138E2FF9"/>
    <w:rsid w:val="139452E8"/>
    <w:rsid w:val="13DF1AA7"/>
    <w:rsid w:val="13EB087E"/>
    <w:rsid w:val="14085134"/>
    <w:rsid w:val="14342CC0"/>
    <w:rsid w:val="14454F96"/>
    <w:rsid w:val="145A112D"/>
    <w:rsid w:val="14615391"/>
    <w:rsid w:val="146B50D7"/>
    <w:rsid w:val="147005DC"/>
    <w:rsid w:val="14743674"/>
    <w:rsid w:val="14785667"/>
    <w:rsid w:val="148A203F"/>
    <w:rsid w:val="14B7657F"/>
    <w:rsid w:val="14D7277E"/>
    <w:rsid w:val="14F21061"/>
    <w:rsid w:val="14F43330"/>
    <w:rsid w:val="15023C9F"/>
    <w:rsid w:val="150546E3"/>
    <w:rsid w:val="15060AB9"/>
    <w:rsid w:val="15190FE8"/>
    <w:rsid w:val="153E414F"/>
    <w:rsid w:val="154125F0"/>
    <w:rsid w:val="155A4A8D"/>
    <w:rsid w:val="15963D13"/>
    <w:rsid w:val="15966195"/>
    <w:rsid w:val="15A05265"/>
    <w:rsid w:val="15BD7BC5"/>
    <w:rsid w:val="15C454EA"/>
    <w:rsid w:val="15C95501"/>
    <w:rsid w:val="15CC5038"/>
    <w:rsid w:val="15CC605B"/>
    <w:rsid w:val="15DB4CAF"/>
    <w:rsid w:val="15E92769"/>
    <w:rsid w:val="15FB06EE"/>
    <w:rsid w:val="16037F4F"/>
    <w:rsid w:val="161B48EC"/>
    <w:rsid w:val="161D37F6"/>
    <w:rsid w:val="162D1BE7"/>
    <w:rsid w:val="164A2326"/>
    <w:rsid w:val="16553A24"/>
    <w:rsid w:val="16787547"/>
    <w:rsid w:val="16C75AA6"/>
    <w:rsid w:val="16FA5506"/>
    <w:rsid w:val="1713796A"/>
    <w:rsid w:val="173E0892"/>
    <w:rsid w:val="174C6C6A"/>
    <w:rsid w:val="1753217C"/>
    <w:rsid w:val="179F3AE8"/>
    <w:rsid w:val="17AB0A64"/>
    <w:rsid w:val="17B60D70"/>
    <w:rsid w:val="17C0719B"/>
    <w:rsid w:val="17E657A8"/>
    <w:rsid w:val="183420DA"/>
    <w:rsid w:val="18390F8C"/>
    <w:rsid w:val="184C5231"/>
    <w:rsid w:val="1876121D"/>
    <w:rsid w:val="187A702B"/>
    <w:rsid w:val="187F30EA"/>
    <w:rsid w:val="18834415"/>
    <w:rsid w:val="1884654A"/>
    <w:rsid w:val="189F1A11"/>
    <w:rsid w:val="18A920E9"/>
    <w:rsid w:val="18B30899"/>
    <w:rsid w:val="194362B0"/>
    <w:rsid w:val="1951729C"/>
    <w:rsid w:val="19693EF6"/>
    <w:rsid w:val="19747A66"/>
    <w:rsid w:val="19852D86"/>
    <w:rsid w:val="19B36FCB"/>
    <w:rsid w:val="19F258BB"/>
    <w:rsid w:val="1A0074A0"/>
    <w:rsid w:val="1A1A66A8"/>
    <w:rsid w:val="1A357D6B"/>
    <w:rsid w:val="1A3F521F"/>
    <w:rsid w:val="1A4F7F00"/>
    <w:rsid w:val="1AB63B24"/>
    <w:rsid w:val="1AB75BC6"/>
    <w:rsid w:val="1ADC54A3"/>
    <w:rsid w:val="1AEC2CE2"/>
    <w:rsid w:val="1B0F4537"/>
    <w:rsid w:val="1B147E47"/>
    <w:rsid w:val="1B1C538E"/>
    <w:rsid w:val="1B3D6B15"/>
    <w:rsid w:val="1B6E26C3"/>
    <w:rsid w:val="1B8016C7"/>
    <w:rsid w:val="1B80180D"/>
    <w:rsid w:val="1B845BCD"/>
    <w:rsid w:val="1B8765A5"/>
    <w:rsid w:val="1B891331"/>
    <w:rsid w:val="1B8F4AE3"/>
    <w:rsid w:val="1B9413C8"/>
    <w:rsid w:val="1BAA0BEC"/>
    <w:rsid w:val="1BAF61FB"/>
    <w:rsid w:val="1BC869CB"/>
    <w:rsid w:val="1C257A07"/>
    <w:rsid w:val="1C2F4C4D"/>
    <w:rsid w:val="1C505D06"/>
    <w:rsid w:val="1C985803"/>
    <w:rsid w:val="1CC0279F"/>
    <w:rsid w:val="1CC21F65"/>
    <w:rsid w:val="1CE14B63"/>
    <w:rsid w:val="1CED0DF6"/>
    <w:rsid w:val="1D172F01"/>
    <w:rsid w:val="1D1E2860"/>
    <w:rsid w:val="1D4474E5"/>
    <w:rsid w:val="1D81772B"/>
    <w:rsid w:val="1DAC3DB6"/>
    <w:rsid w:val="1DC046F7"/>
    <w:rsid w:val="1DD44186"/>
    <w:rsid w:val="1DDA2B0F"/>
    <w:rsid w:val="1E2D7FE2"/>
    <w:rsid w:val="1E515D7F"/>
    <w:rsid w:val="1E69422B"/>
    <w:rsid w:val="1E9642BD"/>
    <w:rsid w:val="1EAA2CB1"/>
    <w:rsid w:val="1EBB77FD"/>
    <w:rsid w:val="1ECE074D"/>
    <w:rsid w:val="1F087540"/>
    <w:rsid w:val="1F3B2714"/>
    <w:rsid w:val="1F5309BA"/>
    <w:rsid w:val="1F5C2A6C"/>
    <w:rsid w:val="1F6115F1"/>
    <w:rsid w:val="1F784B5D"/>
    <w:rsid w:val="1F9608D6"/>
    <w:rsid w:val="1FC90489"/>
    <w:rsid w:val="1FD460E6"/>
    <w:rsid w:val="1FE2748A"/>
    <w:rsid w:val="1FEB0DFF"/>
    <w:rsid w:val="20494439"/>
    <w:rsid w:val="2072123C"/>
    <w:rsid w:val="207277FE"/>
    <w:rsid w:val="207D3264"/>
    <w:rsid w:val="20855784"/>
    <w:rsid w:val="20DE0B00"/>
    <w:rsid w:val="21303B67"/>
    <w:rsid w:val="21406F94"/>
    <w:rsid w:val="21476693"/>
    <w:rsid w:val="215C2FE1"/>
    <w:rsid w:val="21703D3E"/>
    <w:rsid w:val="21C26E80"/>
    <w:rsid w:val="21E32F98"/>
    <w:rsid w:val="21ED4214"/>
    <w:rsid w:val="22026DCF"/>
    <w:rsid w:val="2203441A"/>
    <w:rsid w:val="22347EC0"/>
    <w:rsid w:val="2240367A"/>
    <w:rsid w:val="225524FA"/>
    <w:rsid w:val="227B299A"/>
    <w:rsid w:val="228A5C8F"/>
    <w:rsid w:val="22B717AA"/>
    <w:rsid w:val="22CA1B74"/>
    <w:rsid w:val="22DA188C"/>
    <w:rsid w:val="22F35A76"/>
    <w:rsid w:val="23333275"/>
    <w:rsid w:val="23731E0F"/>
    <w:rsid w:val="23AA447C"/>
    <w:rsid w:val="23AC477C"/>
    <w:rsid w:val="23D5432C"/>
    <w:rsid w:val="23F55DE2"/>
    <w:rsid w:val="24091012"/>
    <w:rsid w:val="241F52FF"/>
    <w:rsid w:val="2427666D"/>
    <w:rsid w:val="243005EF"/>
    <w:rsid w:val="24480832"/>
    <w:rsid w:val="246123DC"/>
    <w:rsid w:val="24641284"/>
    <w:rsid w:val="249A4004"/>
    <w:rsid w:val="24AD4B41"/>
    <w:rsid w:val="24C820E3"/>
    <w:rsid w:val="24E55330"/>
    <w:rsid w:val="24E753F8"/>
    <w:rsid w:val="25965427"/>
    <w:rsid w:val="25B716AC"/>
    <w:rsid w:val="25D54AB7"/>
    <w:rsid w:val="25E13F31"/>
    <w:rsid w:val="25E76849"/>
    <w:rsid w:val="26215F4F"/>
    <w:rsid w:val="262B0784"/>
    <w:rsid w:val="26622EB6"/>
    <w:rsid w:val="266C3EE1"/>
    <w:rsid w:val="268575A2"/>
    <w:rsid w:val="268F16F6"/>
    <w:rsid w:val="26AA4188"/>
    <w:rsid w:val="26B52A8E"/>
    <w:rsid w:val="26C94F77"/>
    <w:rsid w:val="270C5331"/>
    <w:rsid w:val="270C5549"/>
    <w:rsid w:val="27212E28"/>
    <w:rsid w:val="27317989"/>
    <w:rsid w:val="27374B5B"/>
    <w:rsid w:val="27695653"/>
    <w:rsid w:val="27C15702"/>
    <w:rsid w:val="27C32B0E"/>
    <w:rsid w:val="27EA7A37"/>
    <w:rsid w:val="27EB18FC"/>
    <w:rsid w:val="282021B7"/>
    <w:rsid w:val="28222C3B"/>
    <w:rsid w:val="285F07E7"/>
    <w:rsid w:val="28B44129"/>
    <w:rsid w:val="28DA4193"/>
    <w:rsid w:val="28E53263"/>
    <w:rsid w:val="28ED3EC6"/>
    <w:rsid w:val="29455AB0"/>
    <w:rsid w:val="295D54F0"/>
    <w:rsid w:val="296A3BD3"/>
    <w:rsid w:val="297A634C"/>
    <w:rsid w:val="298C3AA9"/>
    <w:rsid w:val="298D2CB9"/>
    <w:rsid w:val="29BD1AEA"/>
    <w:rsid w:val="29C36AE8"/>
    <w:rsid w:val="29D053CA"/>
    <w:rsid w:val="29F32A64"/>
    <w:rsid w:val="2A094D30"/>
    <w:rsid w:val="2A1A333C"/>
    <w:rsid w:val="2A35030B"/>
    <w:rsid w:val="2A3F5B17"/>
    <w:rsid w:val="2A731B6B"/>
    <w:rsid w:val="2A785481"/>
    <w:rsid w:val="2A900FAD"/>
    <w:rsid w:val="2AA965D8"/>
    <w:rsid w:val="2AC45C8A"/>
    <w:rsid w:val="2AC96135"/>
    <w:rsid w:val="2AE15CAC"/>
    <w:rsid w:val="2AE27075"/>
    <w:rsid w:val="2B404FE5"/>
    <w:rsid w:val="2B826D62"/>
    <w:rsid w:val="2B9F28A3"/>
    <w:rsid w:val="2BB37649"/>
    <w:rsid w:val="2BBC3B55"/>
    <w:rsid w:val="2BE03E2F"/>
    <w:rsid w:val="2BEB02C0"/>
    <w:rsid w:val="2BF3666D"/>
    <w:rsid w:val="2C0E7E49"/>
    <w:rsid w:val="2C1E3B21"/>
    <w:rsid w:val="2C3557B0"/>
    <w:rsid w:val="2C6A365C"/>
    <w:rsid w:val="2C794ED2"/>
    <w:rsid w:val="2C8114F5"/>
    <w:rsid w:val="2C8360AA"/>
    <w:rsid w:val="2CB847EB"/>
    <w:rsid w:val="2CC65456"/>
    <w:rsid w:val="2CEC3EC3"/>
    <w:rsid w:val="2CEF608D"/>
    <w:rsid w:val="2D054832"/>
    <w:rsid w:val="2D0F4D53"/>
    <w:rsid w:val="2D4C71F6"/>
    <w:rsid w:val="2D741E8D"/>
    <w:rsid w:val="2DD84B80"/>
    <w:rsid w:val="2DDB7535"/>
    <w:rsid w:val="2DF06F8A"/>
    <w:rsid w:val="2E1A2E27"/>
    <w:rsid w:val="2E2C6A07"/>
    <w:rsid w:val="2E383AEE"/>
    <w:rsid w:val="2E904A0A"/>
    <w:rsid w:val="2EA96AE1"/>
    <w:rsid w:val="2EB904C0"/>
    <w:rsid w:val="2F01440C"/>
    <w:rsid w:val="2F0E5A28"/>
    <w:rsid w:val="2F292AAB"/>
    <w:rsid w:val="2F5809E3"/>
    <w:rsid w:val="2F5D5847"/>
    <w:rsid w:val="2F823576"/>
    <w:rsid w:val="2F827A5E"/>
    <w:rsid w:val="2FB03B32"/>
    <w:rsid w:val="2FB848E8"/>
    <w:rsid w:val="2FF404A4"/>
    <w:rsid w:val="2FFD4B65"/>
    <w:rsid w:val="30063D65"/>
    <w:rsid w:val="30210D6A"/>
    <w:rsid w:val="3048367E"/>
    <w:rsid w:val="30542CDD"/>
    <w:rsid w:val="306906BD"/>
    <w:rsid w:val="30CE7BD1"/>
    <w:rsid w:val="311A098E"/>
    <w:rsid w:val="31317669"/>
    <w:rsid w:val="31684A32"/>
    <w:rsid w:val="31A36B64"/>
    <w:rsid w:val="31A74577"/>
    <w:rsid w:val="31A94CC1"/>
    <w:rsid w:val="31AA58F1"/>
    <w:rsid w:val="31D9592F"/>
    <w:rsid w:val="322D12EF"/>
    <w:rsid w:val="322D6032"/>
    <w:rsid w:val="322E0CCE"/>
    <w:rsid w:val="323C7F64"/>
    <w:rsid w:val="323E57B8"/>
    <w:rsid w:val="325A2F90"/>
    <w:rsid w:val="326805FE"/>
    <w:rsid w:val="326B7C1E"/>
    <w:rsid w:val="328A3F5F"/>
    <w:rsid w:val="329669AE"/>
    <w:rsid w:val="32BA4F73"/>
    <w:rsid w:val="32C80C7B"/>
    <w:rsid w:val="32E50901"/>
    <w:rsid w:val="32ED1D79"/>
    <w:rsid w:val="32FE0135"/>
    <w:rsid w:val="333A5DB6"/>
    <w:rsid w:val="33426A70"/>
    <w:rsid w:val="33BD18B0"/>
    <w:rsid w:val="33E0333C"/>
    <w:rsid w:val="33E83C08"/>
    <w:rsid w:val="33EF31E8"/>
    <w:rsid w:val="340A7CF4"/>
    <w:rsid w:val="340C1162"/>
    <w:rsid w:val="343677BC"/>
    <w:rsid w:val="34577E56"/>
    <w:rsid w:val="34667622"/>
    <w:rsid w:val="34695BBC"/>
    <w:rsid w:val="3484147A"/>
    <w:rsid w:val="34AB4315"/>
    <w:rsid w:val="34AD52AF"/>
    <w:rsid w:val="34F67B0A"/>
    <w:rsid w:val="34F93B52"/>
    <w:rsid w:val="35011D94"/>
    <w:rsid w:val="35015C5B"/>
    <w:rsid w:val="35672121"/>
    <w:rsid w:val="357F234A"/>
    <w:rsid w:val="35814314"/>
    <w:rsid w:val="35B07770"/>
    <w:rsid w:val="35B33211"/>
    <w:rsid w:val="35B36039"/>
    <w:rsid w:val="35F9034E"/>
    <w:rsid w:val="35F971A6"/>
    <w:rsid w:val="36097359"/>
    <w:rsid w:val="362129AF"/>
    <w:rsid w:val="36221919"/>
    <w:rsid w:val="369477BE"/>
    <w:rsid w:val="36C54D59"/>
    <w:rsid w:val="36D743FE"/>
    <w:rsid w:val="36F9445A"/>
    <w:rsid w:val="3709498F"/>
    <w:rsid w:val="371A1B6C"/>
    <w:rsid w:val="371A305F"/>
    <w:rsid w:val="37214138"/>
    <w:rsid w:val="372E4027"/>
    <w:rsid w:val="37467350"/>
    <w:rsid w:val="374B4BD9"/>
    <w:rsid w:val="375C193B"/>
    <w:rsid w:val="376C68FE"/>
    <w:rsid w:val="378123A9"/>
    <w:rsid w:val="37963E29"/>
    <w:rsid w:val="37A970AE"/>
    <w:rsid w:val="37B21EFE"/>
    <w:rsid w:val="37DB645D"/>
    <w:rsid w:val="37EC6507"/>
    <w:rsid w:val="38211BD6"/>
    <w:rsid w:val="3836053E"/>
    <w:rsid w:val="38454D98"/>
    <w:rsid w:val="386922B8"/>
    <w:rsid w:val="38784F2C"/>
    <w:rsid w:val="388A21AD"/>
    <w:rsid w:val="388D4232"/>
    <w:rsid w:val="38A5656B"/>
    <w:rsid w:val="38A70E06"/>
    <w:rsid w:val="38AC3AF4"/>
    <w:rsid w:val="38C727A6"/>
    <w:rsid w:val="38DE5291"/>
    <w:rsid w:val="38E10B27"/>
    <w:rsid w:val="38E3349C"/>
    <w:rsid w:val="38F209F9"/>
    <w:rsid w:val="39062905"/>
    <w:rsid w:val="391D76E1"/>
    <w:rsid w:val="3922075E"/>
    <w:rsid w:val="39514231"/>
    <w:rsid w:val="395714A0"/>
    <w:rsid w:val="39687825"/>
    <w:rsid w:val="39710ACD"/>
    <w:rsid w:val="39714388"/>
    <w:rsid w:val="398C3AD5"/>
    <w:rsid w:val="398D45C3"/>
    <w:rsid w:val="39C32011"/>
    <w:rsid w:val="39DA66B4"/>
    <w:rsid w:val="39E53047"/>
    <w:rsid w:val="3A2F02DC"/>
    <w:rsid w:val="3A390ED2"/>
    <w:rsid w:val="3A423F76"/>
    <w:rsid w:val="3A7B7429"/>
    <w:rsid w:val="3AC41FA9"/>
    <w:rsid w:val="3AD11AA8"/>
    <w:rsid w:val="3ADC523C"/>
    <w:rsid w:val="3B043E44"/>
    <w:rsid w:val="3B0D07BB"/>
    <w:rsid w:val="3B1A7F98"/>
    <w:rsid w:val="3B293484"/>
    <w:rsid w:val="3B5C4FCC"/>
    <w:rsid w:val="3B7172BA"/>
    <w:rsid w:val="3B8F366E"/>
    <w:rsid w:val="3B9F56B3"/>
    <w:rsid w:val="3BC907C3"/>
    <w:rsid w:val="3BFC7B74"/>
    <w:rsid w:val="3BFE021D"/>
    <w:rsid w:val="3C202CC2"/>
    <w:rsid w:val="3C3F6CE9"/>
    <w:rsid w:val="3C97266F"/>
    <w:rsid w:val="3CB11AC2"/>
    <w:rsid w:val="3CB86E4C"/>
    <w:rsid w:val="3CBC4C73"/>
    <w:rsid w:val="3D422C9F"/>
    <w:rsid w:val="3D485717"/>
    <w:rsid w:val="3D8873F2"/>
    <w:rsid w:val="3DAA4BF0"/>
    <w:rsid w:val="3DAB2A6B"/>
    <w:rsid w:val="3DAD689F"/>
    <w:rsid w:val="3DDE4BB6"/>
    <w:rsid w:val="3DEA654E"/>
    <w:rsid w:val="3E482FBD"/>
    <w:rsid w:val="3E4F4AF4"/>
    <w:rsid w:val="3E5668B2"/>
    <w:rsid w:val="3E78202C"/>
    <w:rsid w:val="3E94479A"/>
    <w:rsid w:val="3E986769"/>
    <w:rsid w:val="3EB43B5F"/>
    <w:rsid w:val="3EF05CE8"/>
    <w:rsid w:val="3F6F52B3"/>
    <w:rsid w:val="3F9B5FD2"/>
    <w:rsid w:val="3FAB53A4"/>
    <w:rsid w:val="3FBF21A8"/>
    <w:rsid w:val="3FEE25A6"/>
    <w:rsid w:val="3FF948DF"/>
    <w:rsid w:val="40313944"/>
    <w:rsid w:val="40436CA1"/>
    <w:rsid w:val="406457BE"/>
    <w:rsid w:val="40785FF9"/>
    <w:rsid w:val="40D92A92"/>
    <w:rsid w:val="40E25413"/>
    <w:rsid w:val="40F30882"/>
    <w:rsid w:val="40F57964"/>
    <w:rsid w:val="41277C80"/>
    <w:rsid w:val="41524DB6"/>
    <w:rsid w:val="41546D80"/>
    <w:rsid w:val="416C05A2"/>
    <w:rsid w:val="41A06FEC"/>
    <w:rsid w:val="41FE5DE6"/>
    <w:rsid w:val="42170D12"/>
    <w:rsid w:val="421D53C4"/>
    <w:rsid w:val="42521512"/>
    <w:rsid w:val="4265561A"/>
    <w:rsid w:val="42A91C31"/>
    <w:rsid w:val="42BE57D3"/>
    <w:rsid w:val="42C3032D"/>
    <w:rsid w:val="42E51806"/>
    <w:rsid w:val="42ED50A1"/>
    <w:rsid w:val="430F11B1"/>
    <w:rsid w:val="43317CF1"/>
    <w:rsid w:val="434E3BCE"/>
    <w:rsid w:val="43916EF7"/>
    <w:rsid w:val="43921EAF"/>
    <w:rsid w:val="439C5ED9"/>
    <w:rsid w:val="440A7BCA"/>
    <w:rsid w:val="444A69E9"/>
    <w:rsid w:val="446F06BF"/>
    <w:rsid w:val="449811DD"/>
    <w:rsid w:val="44E2662B"/>
    <w:rsid w:val="44EA027E"/>
    <w:rsid w:val="44F11803"/>
    <w:rsid w:val="45010FCD"/>
    <w:rsid w:val="45074DE6"/>
    <w:rsid w:val="451B752C"/>
    <w:rsid w:val="452D175E"/>
    <w:rsid w:val="45321187"/>
    <w:rsid w:val="453A5E85"/>
    <w:rsid w:val="454526D8"/>
    <w:rsid w:val="455025B6"/>
    <w:rsid w:val="4568052B"/>
    <w:rsid w:val="45B4254C"/>
    <w:rsid w:val="45F620E1"/>
    <w:rsid w:val="461D7F93"/>
    <w:rsid w:val="46270E21"/>
    <w:rsid w:val="463276D6"/>
    <w:rsid w:val="463827CD"/>
    <w:rsid w:val="464320EC"/>
    <w:rsid w:val="467D7EAE"/>
    <w:rsid w:val="4684580E"/>
    <w:rsid w:val="469F0A9E"/>
    <w:rsid w:val="46B70BF7"/>
    <w:rsid w:val="46E84E75"/>
    <w:rsid w:val="46F30DEA"/>
    <w:rsid w:val="47000909"/>
    <w:rsid w:val="476725FC"/>
    <w:rsid w:val="476A43DB"/>
    <w:rsid w:val="47AD49AB"/>
    <w:rsid w:val="47C8099D"/>
    <w:rsid w:val="47D430B3"/>
    <w:rsid w:val="47E744AA"/>
    <w:rsid w:val="48335942"/>
    <w:rsid w:val="483B65A4"/>
    <w:rsid w:val="48540C87"/>
    <w:rsid w:val="4859143A"/>
    <w:rsid w:val="48712626"/>
    <w:rsid w:val="489839F7"/>
    <w:rsid w:val="48C23BD6"/>
    <w:rsid w:val="48DE2E2C"/>
    <w:rsid w:val="48F12B17"/>
    <w:rsid w:val="48FA1FBB"/>
    <w:rsid w:val="492E39C8"/>
    <w:rsid w:val="49975A5C"/>
    <w:rsid w:val="49C15B00"/>
    <w:rsid w:val="49C530BD"/>
    <w:rsid w:val="49C56A6D"/>
    <w:rsid w:val="49E758CD"/>
    <w:rsid w:val="49F45924"/>
    <w:rsid w:val="4A0F39E7"/>
    <w:rsid w:val="4A213237"/>
    <w:rsid w:val="4A4204DC"/>
    <w:rsid w:val="4A805CB0"/>
    <w:rsid w:val="4A8E29DD"/>
    <w:rsid w:val="4A993A56"/>
    <w:rsid w:val="4AAE12AF"/>
    <w:rsid w:val="4AAF15F0"/>
    <w:rsid w:val="4AEA3FCC"/>
    <w:rsid w:val="4AFA7446"/>
    <w:rsid w:val="4B1E340D"/>
    <w:rsid w:val="4B6A20D4"/>
    <w:rsid w:val="4B7F5179"/>
    <w:rsid w:val="4BE01CBF"/>
    <w:rsid w:val="4BEB6533"/>
    <w:rsid w:val="4C093134"/>
    <w:rsid w:val="4C5C6A36"/>
    <w:rsid w:val="4C7D362F"/>
    <w:rsid w:val="4C7F0FE4"/>
    <w:rsid w:val="4CD82614"/>
    <w:rsid w:val="4CF626E9"/>
    <w:rsid w:val="4D135D42"/>
    <w:rsid w:val="4D142AFA"/>
    <w:rsid w:val="4D1C7368"/>
    <w:rsid w:val="4D212D7B"/>
    <w:rsid w:val="4D400CC0"/>
    <w:rsid w:val="4D862719"/>
    <w:rsid w:val="4D9F4277"/>
    <w:rsid w:val="4DA13EB0"/>
    <w:rsid w:val="4DBF22CB"/>
    <w:rsid w:val="4DE4148C"/>
    <w:rsid w:val="4DF23436"/>
    <w:rsid w:val="4E2F546C"/>
    <w:rsid w:val="4E477232"/>
    <w:rsid w:val="4E4F4D7A"/>
    <w:rsid w:val="4E51609D"/>
    <w:rsid w:val="4E6D2575"/>
    <w:rsid w:val="4E8D7AC6"/>
    <w:rsid w:val="4EA67106"/>
    <w:rsid w:val="4EBE7F2F"/>
    <w:rsid w:val="4EEA2EB6"/>
    <w:rsid w:val="4F42290E"/>
    <w:rsid w:val="4F4232B0"/>
    <w:rsid w:val="4F532425"/>
    <w:rsid w:val="4F6B6FE2"/>
    <w:rsid w:val="4F6F1BB2"/>
    <w:rsid w:val="4F7F30B8"/>
    <w:rsid w:val="4F815C1D"/>
    <w:rsid w:val="4F9C4678"/>
    <w:rsid w:val="4FF143CC"/>
    <w:rsid w:val="4FFF4529"/>
    <w:rsid w:val="506E7FDD"/>
    <w:rsid w:val="50AB7B60"/>
    <w:rsid w:val="50AF3F44"/>
    <w:rsid w:val="50C11611"/>
    <w:rsid w:val="50C551B6"/>
    <w:rsid w:val="50E6222F"/>
    <w:rsid w:val="50FC65B4"/>
    <w:rsid w:val="5107796B"/>
    <w:rsid w:val="512B5E46"/>
    <w:rsid w:val="51313562"/>
    <w:rsid w:val="5133628F"/>
    <w:rsid w:val="51A62607"/>
    <w:rsid w:val="51AB4A09"/>
    <w:rsid w:val="51C64CB1"/>
    <w:rsid w:val="520E30B2"/>
    <w:rsid w:val="524E7273"/>
    <w:rsid w:val="526E2CBC"/>
    <w:rsid w:val="52706A0C"/>
    <w:rsid w:val="527E2A64"/>
    <w:rsid w:val="5285403C"/>
    <w:rsid w:val="5291113E"/>
    <w:rsid w:val="52D1178A"/>
    <w:rsid w:val="52EE0DA3"/>
    <w:rsid w:val="53040493"/>
    <w:rsid w:val="530D3349"/>
    <w:rsid w:val="531F6B90"/>
    <w:rsid w:val="533F05E1"/>
    <w:rsid w:val="53690833"/>
    <w:rsid w:val="53702921"/>
    <w:rsid w:val="539B202B"/>
    <w:rsid w:val="53B36CF8"/>
    <w:rsid w:val="53C55637"/>
    <w:rsid w:val="53CE5AE7"/>
    <w:rsid w:val="53FA0067"/>
    <w:rsid w:val="54351444"/>
    <w:rsid w:val="543F324C"/>
    <w:rsid w:val="54541257"/>
    <w:rsid w:val="54574A01"/>
    <w:rsid w:val="54881046"/>
    <w:rsid w:val="54931516"/>
    <w:rsid w:val="54A3130B"/>
    <w:rsid w:val="54E01871"/>
    <w:rsid w:val="54E3323A"/>
    <w:rsid w:val="54EF2944"/>
    <w:rsid w:val="54FC5522"/>
    <w:rsid w:val="552B4BC5"/>
    <w:rsid w:val="552E2E3E"/>
    <w:rsid w:val="55562E7E"/>
    <w:rsid w:val="556A2277"/>
    <w:rsid w:val="557131F5"/>
    <w:rsid w:val="557F1517"/>
    <w:rsid w:val="558A286E"/>
    <w:rsid w:val="55900356"/>
    <w:rsid w:val="55A150EB"/>
    <w:rsid w:val="55AC5161"/>
    <w:rsid w:val="55B55CBA"/>
    <w:rsid w:val="55B81234"/>
    <w:rsid w:val="560B2EF7"/>
    <w:rsid w:val="56312437"/>
    <w:rsid w:val="564B02FA"/>
    <w:rsid w:val="565C10AE"/>
    <w:rsid w:val="566A5514"/>
    <w:rsid w:val="56854457"/>
    <w:rsid w:val="56883B2C"/>
    <w:rsid w:val="56A92549"/>
    <w:rsid w:val="56D3358D"/>
    <w:rsid w:val="56D60B7D"/>
    <w:rsid w:val="57174A84"/>
    <w:rsid w:val="571E4D79"/>
    <w:rsid w:val="572D0BDE"/>
    <w:rsid w:val="5743262D"/>
    <w:rsid w:val="574B60D8"/>
    <w:rsid w:val="57583215"/>
    <w:rsid w:val="57B500F0"/>
    <w:rsid w:val="57D367F9"/>
    <w:rsid w:val="581F39E2"/>
    <w:rsid w:val="582150BD"/>
    <w:rsid w:val="583346B1"/>
    <w:rsid w:val="583B2BC6"/>
    <w:rsid w:val="58462D52"/>
    <w:rsid w:val="58923090"/>
    <w:rsid w:val="58A60AF4"/>
    <w:rsid w:val="58B55EFF"/>
    <w:rsid w:val="58D5317F"/>
    <w:rsid w:val="58E13D68"/>
    <w:rsid w:val="58F63A82"/>
    <w:rsid w:val="58F7058B"/>
    <w:rsid w:val="59440611"/>
    <w:rsid w:val="5988435F"/>
    <w:rsid w:val="598F3A95"/>
    <w:rsid w:val="599A4600"/>
    <w:rsid w:val="59A95A02"/>
    <w:rsid w:val="59AC1815"/>
    <w:rsid w:val="59BE7C04"/>
    <w:rsid w:val="59E10469"/>
    <w:rsid w:val="59E5282A"/>
    <w:rsid w:val="59EB1149"/>
    <w:rsid w:val="59F93F3B"/>
    <w:rsid w:val="5A026448"/>
    <w:rsid w:val="5A094754"/>
    <w:rsid w:val="5A184997"/>
    <w:rsid w:val="5A256BBD"/>
    <w:rsid w:val="5A2C21F1"/>
    <w:rsid w:val="5A5654C0"/>
    <w:rsid w:val="5A6A7465"/>
    <w:rsid w:val="5A6F21DF"/>
    <w:rsid w:val="5A9408C3"/>
    <w:rsid w:val="5A9479A3"/>
    <w:rsid w:val="5AA26167"/>
    <w:rsid w:val="5ACF7D1C"/>
    <w:rsid w:val="5ADA1C4D"/>
    <w:rsid w:val="5AEF2DFF"/>
    <w:rsid w:val="5B117888"/>
    <w:rsid w:val="5B29775E"/>
    <w:rsid w:val="5B5E7A1E"/>
    <w:rsid w:val="5BB751BD"/>
    <w:rsid w:val="5BBC347C"/>
    <w:rsid w:val="5BBF415F"/>
    <w:rsid w:val="5BFD51BD"/>
    <w:rsid w:val="5C7068F1"/>
    <w:rsid w:val="5C7F2AAC"/>
    <w:rsid w:val="5C9D7DAC"/>
    <w:rsid w:val="5CBC0EE1"/>
    <w:rsid w:val="5CC5670D"/>
    <w:rsid w:val="5CC901CB"/>
    <w:rsid w:val="5CE257A6"/>
    <w:rsid w:val="5D2E3A1B"/>
    <w:rsid w:val="5D4567E9"/>
    <w:rsid w:val="5D5C5AF4"/>
    <w:rsid w:val="5D8E2889"/>
    <w:rsid w:val="5DBB1F55"/>
    <w:rsid w:val="5DDA4BDD"/>
    <w:rsid w:val="5DFE37C1"/>
    <w:rsid w:val="5E11071A"/>
    <w:rsid w:val="5E542C00"/>
    <w:rsid w:val="5E6D6D95"/>
    <w:rsid w:val="5EBE4EAD"/>
    <w:rsid w:val="5EC90BAE"/>
    <w:rsid w:val="5ED02514"/>
    <w:rsid w:val="5ED330A2"/>
    <w:rsid w:val="5EE4067B"/>
    <w:rsid w:val="5EE72758"/>
    <w:rsid w:val="5EEB267A"/>
    <w:rsid w:val="5EEC5FAD"/>
    <w:rsid w:val="5F3C6647"/>
    <w:rsid w:val="5F4330C1"/>
    <w:rsid w:val="5F4A790B"/>
    <w:rsid w:val="5F5A15AE"/>
    <w:rsid w:val="5F9D7C48"/>
    <w:rsid w:val="5FA12D39"/>
    <w:rsid w:val="5FBD5702"/>
    <w:rsid w:val="5FBE1740"/>
    <w:rsid w:val="5FCB4777"/>
    <w:rsid w:val="5FCE4A2E"/>
    <w:rsid w:val="5FD857EF"/>
    <w:rsid w:val="5FF50914"/>
    <w:rsid w:val="5FF94823"/>
    <w:rsid w:val="5FFC1D9A"/>
    <w:rsid w:val="604A510F"/>
    <w:rsid w:val="605A0FEE"/>
    <w:rsid w:val="605F64C6"/>
    <w:rsid w:val="6064430B"/>
    <w:rsid w:val="606A6CB7"/>
    <w:rsid w:val="608D043D"/>
    <w:rsid w:val="60912B92"/>
    <w:rsid w:val="60966B35"/>
    <w:rsid w:val="60991EE6"/>
    <w:rsid w:val="60A725D1"/>
    <w:rsid w:val="60BB42CE"/>
    <w:rsid w:val="60D41180"/>
    <w:rsid w:val="60DD2497"/>
    <w:rsid w:val="60E21390"/>
    <w:rsid w:val="611817E9"/>
    <w:rsid w:val="61182CAE"/>
    <w:rsid w:val="611F2908"/>
    <w:rsid w:val="612C1589"/>
    <w:rsid w:val="613434EE"/>
    <w:rsid w:val="613C1835"/>
    <w:rsid w:val="613F0A5C"/>
    <w:rsid w:val="615A3AE7"/>
    <w:rsid w:val="61643E4E"/>
    <w:rsid w:val="61646714"/>
    <w:rsid w:val="61754C2B"/>
    <w:rsid w:val="61790110"/>
    <w:rsid w:val="617C4D3D"/>
    <w:rsid w:val="61903065"/>
    <w:rsid w:val="61CA2A1B"/>
    <w:rsid w:val="61CC06BA"/>
    <w:rsid w:val="61D02DCE"/>
    <w:rsid w:val="61E741EB"/>
    <w:rsid w:val="61F03A2A"/>
    <w:rsid w:val="620C17CA"/>
    <w:rsid w:val="62136798"/>
    <w:rsid w:val="621F2170"/>
    <w:rsid w:val="62223DB3"/>
    <w:rsid w:val="6230766F"/>
    <w:rsid w:val="623606C6"/>
    <w:rsid w:val="62454F0D"/>
    <w:rsid w:val="624F0696"/>
    <w:rsid w:val="626E292D"/>
    <w:rsid w:val="62871987"/>
    <w:rsid w:val="62B03953"/>
    <w:rsid w:val="62D97819"/>
    <w:rsid w:val="62E51990"/>
    <w:rsid w:val="62EE07F9"/>
    <w:rsid w:val="62F133AA"/>
    <w:rsid w:val="63180986"/>
    <w:rsid w:val="633811FF"/>
    <w:rsid w:val="634F638C"/>
    <w:rsid w:val="63514A76"/>
    <w:rsid w:val="63535997"/>
    <w:rsid w:val="63601286"/>
    <w:rsid w:val="637B1AF3"/>
    <w:rsid w:val="637C0CE8"/>
    <w:rsid w:val="63915D6C"/>
    <w:rsid w:val="63925819"/>
    <w:rsid w:val="63B951DE"/>
    <w:rsid w:val="63D2647C"/>
    <w:rsid w:val="641C136D"/>
    <w:rsid w:val="641C7B3F"/>
    <w:rsid w:val="642E2AB6"/>
    <w:rsid w:val="64582A17"/>
    <w:rsid w:val="64731D6E"/>
    <w:rsid w:val="64884B43"/>
    <w:rsid w:val="648F2ACE"/>
    <w:rsid w:val="64960073"/>
    <w:rsid w:val="64D227E6"/>
    <w:rsid w:val="64D301AD"/>
    <w:rsid w:val="64D41A3E"/>
    <w:rsid w:val="650E4745"/>
    <w:rsid w:val="65591445"/>
    <w:rsid w:val="65A172B5"/>
    <w:rsid w:val="65B70DDE"/>
    <w:rsid w:val="65C84576"/>
    <w:rsid w:val="66196791"/>
    <w:rsid w:val="66454C79"/>
    <w:rsid w:val="666810F5"/>
    <w:rsid w:val="6692037C"/>
    <w:rsid w:val="669C06FE"/>
    <w:rsid w:val="66C319E1"/>
    <w:rsid w:val="66E24D1D"/>
    <w:rsid w:val="66F77724"/>
    <w:rsid w:val="67065B78"/>
    <w:rsid w:val="670D5AF3"/>
    <w:rsid w:val="67236278"/>
    <w:rsid w:val="67264120"/>
    <w:rsid w:val="672B21FE"/>
    <w:rsid w:val="672F6E1E"/>
    <w:rsid w:val="67316B81"/>
    <w:rsid w:val="67356E3D"/>
    <w:rsid w:val="67435CE3"/>
    <w:rsid w:val="674943E2"/>
    <w:rsid w:val="674F5770"/>
    <w:rsid w:val="67525607"/>
    <w:rsid w:val="678E6299"/>
    <w:rsid w:val="67B47451"/>
    <w:rsid w:val="67C3692C"/>
    <w:rsid w:val="67C82FE6"/>
    <w:rsid w:val="67E1286C"/>
    <w:rsid w:val="681F3395"/>
    <w:rsid w:val="68354A1C"/>
    <w:rsid w:val="683B4FAF"/>
    <w:rsid w:val="684D4516"/>
    <w:rsid w:val="68D67EF7"/>
    <w:rsid w:val="68D94E82"/>
    <w:rsid w:val="69234D84"/>
    <w:rsid w:val="69333123"/>
    <w:rsid w:val="69422C39"/>
    <w:rsid w:val="698D2D4D"/>
    <w:rsid w:val="69B33D95"/>
    <w:rsid w:val="69BD0DB8"/>
    <w:rsid w:val="69FD3C78"/>
    <w:rsid w:val="6A355DC7"/>
    <w:rsid w:val="6A415369"/>
    <w:rsid w:val="6A4D58B0"/>
    <w:rsid w:val="6A645B73"/>
    <w:rsid w:val="6A8219B9"/>
    <w:rsid w:val="6AC94CA8"/>
    <w:rsid w:val="6AD36262"/>
    <w:rsid w:val="6AE5294D"/>
    <w:rsid w:val="6AEA76CC"/>
    <w:rsid w:val="6AF405C0"/>
    <w:rsid w:val="6AFD2464"/>
    <w:rsid w:val="6B090420"/>
    <w:rsid w:val="6B1503B3"/>
    <w:rsid w:val="6B181649"/>
    <w:rsid w:val="6B2F1E53"/>
    <w:rsid w:val="6B4F3935"/>
    <w:rsid w:val="6B835DBC"/>
    <w:rsid w:val="6B923E7E"/>
    <w:rsid w:val="6B972037"/>
    <w:rsid w:val="6BA37D93"/>
    <w:rsid w:val="6BA430EE"/>
    <w:rsid w:val="6BAB6A35"/>
    <w:rsid w:val="6BAC3191"/>
    <w:rsid w:val="6BB37AA8"/>
    <w:rsid w:val="6BC50EA9"/>
    <w:rsid w:val="6BE04F53"/>
    <w:rsid w:val="6BFA1B71"/>
    <w:rsid w:val="6C0D53B5"/>
    <w:rsid w:val="6C1638FA"/>
    <w:rsid w:val="6C462792"/>
    <w:rsid w:val="6C865D76"/>
    <w:rsid w:val="6C897776"/>
    <w:rsid w:val="6C902D12"/>
    <w:rsid w:val="6CAA4603"/>
    <w:rsid w:val="6CEF5C33"/>
    <w:rsid w:val="6D056D5E"/>
    <w:rsid w:val="6D2B6338"/>
    <w:rsid w:val="6D4B0D11"/>
    <w:rsid w:val="6D5D4D13"/>
    <w:rsid w:val="6D7C3182"/>
    <w:rsid w:val="6D967C55"/>
    <w:rsid w:val="6DB80D3C"/>
    <w:rsid w:val="6DE71F52"/>
    <w:rsid w:val="6E107C24"/>
    <w:rsid w:val="6E196EE0"/>
    <w:rsid w:val="6E2912F0"/>
    <w:rsid w:val="6E375EBF"/>
    <w:rsid w:val="6E557B10"/>
    <w:rsid w:val="6EA77C40"/>
    <w:rsid w:val="6EA94FE8"/>
    <w:rsid w:val="6EDC7C8E"/>
    <w:rsid w:val="6EEC3DC4"/>
    <w:rsid w:val="6F257D2A"/>
    <w:rsid w:val="6FDC74A3"/>
    <w:rsid w:val="6FEA072C"/>
    <w:rsid w:val="6FEE1FCA"/>
    <w:rsid w:val="70036B82"/>
    <w:rsid w:val="7011414C"/>
    <w:rsid w:val="7024730F"/>
    <w:rsid w:val="70276161"/>
    <w:rsid w:val="702C48A1"/>
    <w:rsid w:val="70363A74"/>
    <w:rsid w:val="704113DB"/>
    <w:rsid w:val="70493772"/>
    <w:rsid w:val="70521EB8"/>
    <w:rsid w:val="70694DD8"/>
    <w:rsid w:val="70A3548D"/>
    <w:rsid w:val="70B8186B"/>
    <w:rsid w:val="70EB40F8"/>
    <w:rsid w:val="70FB0C9D"/>
    <w:rsid w:val="71035421"/>
    <w:rsid w:val="711A7BFB"/>
    <w:rsid w:val="71300372"/>
    <w:rsid w:val="716F2BC3"/>
    <w:rsid w:val="719B4B65"/>
    <w:rsid w:val="719E5122"/>
    <w:rsid w:val="71A32CB9"/>
    <w:rsid w:val="71D04E8D"/>
    <w:rsid w:val="71DC4440"/>
    <w:rsid w:val="71DF1931"/>
    <w:rsid w:val="71E01DE7"/>
    <w:rsid w:val="72141A90"/>
    <w:rsid w:val="72165809"/>
    <w:rsid w:val="72275B8A"/>
    <w:rsid w:val="72360274"/>
    <w:rsid w:val="7237226D"/>
    <w:rsid w:val="723B139B"/>
    <w:rsid w:val="72420251"/>
    <w:rsid w:val="72431602"/>
    <w:rsid w:val="72793FFD"/>
    <w:rsid w:val="728111D5"/>
    <w:rsid w:val="72B24618"/>
    <w:rsid w:val="72D60AF4"/>
    <w:rsid w:val="72E43211"/>
    <w:rsid w:val="72F3214D"/>
    <w:rsid w:val="73474704"/>
    <w:rsid w:val="73836321"/>
    <w:rsid w:val="738B675B"/>
    <w:rsid w:val="739B6B24"/>
    <w:rsid w:val="739C792C"/>
    <w:rsid w:val="73CD3748"/>
    <w:rsid w:val="73D61233"/>
    <w:rsid w:val="73D702FF"/>
    <w:rsid w:val="74130252"/>
    <w:rsid w:val="741C0920"/>
    <w:rsid w:val="742A7349"/>
    <w:rsid w:val="74302426"/>
    <w:rsid w:val="7440702B"/>
    <w:rsid w:val="744D13F1"/>
    <w:rsid w:val="74AA6C61"/>
    <w:rsid w:val="74CA6436"/>
    <w:rsid w:val="74D56DE8"/>
    <w:rsid w:val="74F6547D"/>
    <w:rsid w:val="750270C6"/>
    <w:rsid w:val="75230DD5"/>
    <w:rsid w:val="752F592A"/>
    <w:rsid w:val="756643B1"/>
    <w:rsid w:val="75724D80"/>
    <w:rsid w:val="757271FA"/>
    <w:rsid w:val="75897B79"/>
    <w:rsid w:val="75905C37"/>
    <w:rsid w:val="759C43D7"/>
    <w:rsid w:val="75AE2EB8"/>
    <w:rsid w:val="75BA2246"/>
    <w:rsid w:val="75DB5B36"/>
    <w:rsid w:val="76074BD5"/>
    <w:rsid w:val="76124539"/>
    <w:rsid w:val="761D6071"/>
    <w:rsid w:val="762B2C7E"/>
    <w:rsid w:val="764F480F"/>
    <w:rsid w:val="766F730F"/>
    <w:rsid w:val="767158B2"/>
    <w:rsid w:val="768701FB"/>
    <w:rsid w:val="769F6506"/>
    <w:rsid w:val="76A41635"/>
    <w:rsid w:val="76CF1EB7"/>
    <w:rsid w:val="76D1673E"/>
    <w:rsid w:val="77260604"/>
    <w:rsid w:val="77316C41"/>
    <w:rsid w:val="77E441F4"/>
    <w:rsid w:val="77E632C4"/>
    <w:rsid w:val="77F34F39"/>
    <w:rsid w:val="78037B0C"/>
    <w:rsid w:val="78186EE8"/>
    <w:rsid w:val="78276A7B"/>
    <w:rsid w:val="78363C2E"/>
    <w:rsid w:val="7839084C"/>
    <w:rsid w:val="783C589D"/>
    <w:rsid w:val="78411EB4"/>
    <w:rsid w:val="784F55D0"/>
    <w:rsid w:val="78850670"/>
    <w:rsid w:val="78AE7B7F"/>
    <w:rsid w:val="78BB0EB8"/>
    <w:rsid w:val="78EA76EE"/>
    <w:rsid w:val="790970F9"/>
    <w:rsid w:val="791C42B2"/>
    <w:rsid w:val="792A1B99"/>
    <w:rsid w:val="792F71B0"/>
    <w:rsid w:val="794F03AD"/>
    <w:rsid w:val="79576DB4"/>
    <w:rsid w:val="79827C8F"/>
    <w:rsid w:val="798474FC"/>
    <w:rsid w:val="798A119E"/>
    <w:rsid w:val="79A934AD"/>
    <w:rsid w:val="79C4418F"/>
    <w:rsid w:val="79C71BC4"/>
    <w:rsid w:val="79D97E3C"/>
    <w:rsid w:val="7A0927D1"/>
    <w:rsid w:val="7A0942E6"/>
    <w:rsid w:val="7A234C78"/>
    <w:rsid w:val="7A4A0950"/>
    <w:rsid w:val="7A575946"/>
    <w:rsid w:val="7A771D83"/>
    <w:rsid w:val="7AF75AAB"/>
    <w:rsid w:val="7B0E3456"/>
    <w:rsid w:val="7B3C3859"/>
    <w:rsid w:val="7B5814B1"/>
    <w:rsid w:val="7B585CF4"/>
    <w:rsid w:val="7B672C31"/>
    <w:rsid w:val="7B716633"/>
    <w:rsid w:val="7B7C2667"/>
    <w:rsid w:val="7B7C72EA"/>
    <w:rsid w:val="7B863637"/>
    <w:rsid w:val="7BAB7636"/>
    <w:rsid w:val="7BD52290"/>
    <w:rsid w:val="7BFE6F41"/>
    <w:rsid w:val="7C0F76B3"/>
    <w:rsid w:val="7C17554D"/>
    <w:rsid w:val="7C653614"/>
    <w:rsid w:val="7C8C4439"/>
    <w:rsid w:val="7C99506C"/>
    <w:rsid w:val="7CA66056"/>
    <w:rsid w:val="7CC55E61"/>
    <w:rsid w:val="7CC61BD9"/>
    <w:rsid w:val="7CD44130"/>
    <w:rsid w:val="7CFB6747"/>
    <w:rsid w:val="7D064C0A"/>
    <w:rsid w:val="7D084B43"/>
    <w:rsid w:val="7D142945"/>
    <w:rsid w:val="7D3134F6"/>
    <w:rsid w:val="7D8262D5"/>
    <w:rsid w:val="7DB1376C"/>
    <w:rsid w:val="7E1536A4"/>
    <w:rsid w:val="7E1B656F"/>
    <w:rsid w:val="7E7C4C45"/>
    <w:rsid w:val="7E7F2578"/>
    <w:rsid w:val="7E861620"/>
    <w:rsid w:val="7EA30424"/>
    <w:rsid w:val="7EAA09EA"/>
    <w:rsid w:val="7ECF4994"/>
    <w:rsid w:val="7ED96879"/>
    <w:rsid w:val="7F64033C"/>
    <w:rsid w:val="7F741DC0"/>
    <w:rsid w:val="7F847AC0"/>
    <w:rsid w:val="7F8C294B"/>
    <w:rsid w:val="7F9263B1"/>
    <w:rsid w:val="7F955AC2"/>
    <w:rsid w:val="7FBC2004"/>
    <w:rsid w:val="7FBD5515"/>
    <w:rsid w:val="7FC15A2F"/>
    <w:rsid w:val="7FCD4085"/>
    <w:rsid w:val="7FDB18A6"/>
    <w:rsid w:val="7FEB5F33"/>
    <w:rsid w:val="7FF47FE1"/>
    <w:rsid w:val="7FF63359"/>
    <w:rsid w:val="97FFEB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qFormat="1" w:unhideWhenUsed="0" w:uiPriority="99"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0" w:semiHidden="0" w:name="Body Text First Indent"/>
    <w:lsdException w:qFormat="1" w:uiPriority="0" w:semiHidden="0" w:name="Body Text First Indent 2"/>
    <w:lsdException w:unhideWhenUsed="0" w:uiPriority="0" w:semiHidden="0" w:name="Note Heading"/>
    <w:lsdException w:qFormat="1"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next w:val="1"/>
    <w:link w:val="83"/>
    <w:qFormat/>
    <w:uiPriority w:val="0"/>
    <w:pPr>
      <w:keepNext/>
      <w:widowControl w:val="0"/>
      <w:overflowPunct w:val="0"/>
      <w:snapToGrid w:val="0"/>
      <w:spacing w:before="120" w:after="160" w:line="259" w:lineRule="auto"/>
      <w:ind w:left="432" w:hanging="432"/>
      <w:jc w:val="both"/>
      <w:outlineLvl w:val="0"/>
    </w:pPr>
    <w:rPr>
      <w:rFonts w:ascii="Times New Roman" w:hAnsi="Times New Roman" w:eastAsia="黑体" w:cs="Times New Roman"/>
      <w:b/>
      <w:bCs/>
      <w:color w:val="000000"/>
      <w:kern w:val="44"/>
      <w:sz w:val="30"/>
      <w:szCs w:val="30"/>
      <w:lang w:val="en-US" w:eastAsia="zh-CN" w:bidi="ar-SA"/>
    </w:rPr>
  </w:style>
  <w:style w:type="paragraph" w:styleId="3">
    <w:name w:val="heading 2"/>
    <w:next w:val="1"/>
    <w:link w:val="84"/>
    <w:qFormat/>
    <w:uiPriority w:val="0"/>
    <w:pPr>
      <w:keepNext/>
      <w:keepLines/>
      <w:widowControl w:val="0"/>
      <w:spacing w:before="260" w:after="260" w:line="413" w:lineRule="auto"/>
      <w:jc w:val="both"/>
      <w:outlineLvl w:val="1"/>
    </w:pPr>
    <w:rPr>
      <w:rFonts w:ascii="Arial" w:hAnsi="Arial" w:eastAsia="黑体" w:cs="Times New Roman"/>
      <w:b/>
      <w:kern w:val="2"/>
      <w:sz w:val="32"/>
      <w:szCs w:val="24"/>
      <w:lang w:val="en-US" w:eastAsia="zh-CN" w:bidi="ar-SA"/>
    </w:rPr>
  </w:style>
  <w:style w:type="paragraph" w:styleId="4">
    <w:name w:val="heading 3"/>
    <w:basedOn w:val="1"/>
    <w:next w:val="1"/>
    <w:link w:val="85"/>
    <w:qFormat/>
    <w:uiPriority w:val="0"/>
    <w:pPr>
      <w:adjustRightInd w:val="0"/>
      <w:spacing w:line="360" w:lineRule="auto"/>
      <w:textAlignment w:val="baseline"/>
      <w:outlineLvl w:val="2"/>
    </w:pPr>
    <w:rPr>
      <w:rFonts w:eastAsia="黑体"/>
      <w:sz w:val="28"/>
    </w:rPr>
  </w:style>
  <w:style w:type="paragraph" w:styleId="5">
    <w:name w:val="heading 4"/>
    <w:basedOn w:val="1"/>
    <w:next w:val="1"/>
    <w:link w:val="86"/>
    <w:qFormat/>
    <w:uiPriority w:val="0"/>
    <w:pPr>
      <w:keepNext/>
      <w:keepLines/>
      <w:spacing w:before="280" w:after="290" w:line="372" w:lineRule="auto"/>
      <w:outlineLvl w:val="3"/>
    </w:pPr>
    <w:rPr>
      <w:rFonts w:ascii="Arial" w:hAnsi="Arial" w:eastAsia="黑体" w:cs="Calibr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toa heading"/>
    <w:next w:val="1"/>
    <w:qFormat/>
    <w:uiPriority w:val="0"/>
    <w:pPr>
      <w:widowControl w:val="0"/>
      <w:spacing w:before="120"/>
      <w:jc w:val="both"/>
    </w:pPr>
    <w:rPr>
      <w:rFonts w:ascii="Arial" w:hAnsi="Arial" w:eastAsia="宋体" w:cs="Arial"/>
      <w:kern w:val="2"/>
      <w:sz w:val="24"/>
      <w:szCs w:val="24"/>
      <w:lang w:val="en-US" w:eastAsia="zh-CN" w:bidi="ar-SA"/>
    </w:rPr>
  </w:style>
  <w:style w:type="paragraph" w:styleId="8">
    <w:name w:val="annotation text"/>
    <w:basedOn w:val="1"/>
    <w:link w:val="77"/>
    <w:semiHidden/>
    <w:qFormat/>
    <w:uiPriority w:val="0"/>
    <w:pPr>
      <w:widowControl w:val="0"/>
    </w:pPr>
    <w:rPr>
      <w:rFonts w:ascii="Times New Roman" w:hAnsi="Times New Roman" w:eastAsia="宋体" w:cs="Times New Roman"/>
      <w:sz w:val="24"/>
      <w:lang w:val="en-US" w:eastAsia="zh-CN" w:bidi="ar-SA"/>
    </w:rPr>
  </w:style>
  <w:style w:type="paragraph" w:styleId="9">
    <w:name w:val="Body Text 3"/>
    <w:basedOn w:val="1"/>
    <w:link w:val="91"/>
    <w:qFormat/>
    <w:uiPriority w:val="0"/>
    <w:pPr>
      <w:widowControl w:val="0"/>
      <w:spacing w:after="120" w:line="360" w:lineRule="auto"/>
      <w:jc w:val="both"/>
    </w:pPr>
    <w:rPr>
      <w:rFonts w:hAnsi="Times New Roman" w:cs="Times New Roman"/>
      <w:kern w:val="2"/>
      <w:sz w:val="16"/>
      <w:szCs w:val="16"/>
    </w:rPr>
  </w:style>
  <w:style w:type="paragraph" w:styleId="10">
    <w:name w:val="Body Text"/>
    <w:basedOn w:val="1"/>
    <w:next w:val="1"/>
    <w:link w:val="87"/>
    <w:qFormat/>
    <w:uiPriority w:val="0"/>
    <w:pPr>
      <w:snapToGrid w:val="0"/>
      <w:spacing w:before="60" w:after="160" w:line="259" w:lineRule="auto"/>
      <w:ind w:right="113"/>
      <w:jc w:val="both"/>
    </w:pPr>
    <w:rPr>
      <w:rFonts w:ascii="Calibri" w:hAnsi="Calibri" w:eastAsia="宋体" w:cs="Calibri"/>
      <w:sz w:val="18"/>
      <w:lang w:val="en-US" w:eastAsia="zh-CN" w:bidi="ar-SA"/>
    </w:rPr>
  </w:style>
  <w:style w:type="paragraph" w:styleId="11">
    <w:name w:val="Body Text Indent"/>
    <w:basedOn w:val="1"/>
    <w:next w:val="12"/>
    <w:link w:val="88"/>
    <w:qFormat/>
    <w:uiPriority w:val="0"/>
    <w:pPr>
      <w:adjustRightInd w:val="0"/>
      <w:snapToGrid w:val="0"/>
      <w:spacing w:after="120" w:line="360" w:lineRule="auto"/>
      <w:ind w:left="420" w:leftChars="200" w:firstLine="200" w:firstLineChars="200"/>
    </w:pPr>
    <w:rPr>
      <w:rFonts w:eastAsia="仿宋"/>
      <w:sz w:val="28"/>
      <w:lang w:bidi="en-US"/>
    </w:rPr>
  </w:style>
  <w:style w:type="paragraph" w:styleId="12">
    <w:name w:val="Body Text First Indent 2"/>
    <w:basedOn w:val="11"/>
    <w:next w:val="1"/>
    <w:link w:val="90"/>
    <w:unhideWhenUsed/>
    <w:qFormat/>
    <w:uiPriority w:val="0"/>
    <w:pPr>
      <w:ind w:firstLine="420"/>
    </w:pPr>
    <w:rPr>
      <w:rFonts w:ascii="Calibri" w:hAnsi="Calibri"/>
    </w:rPr>
  </w:style>
  <w:style w:type="paragraph" w:styleId="13">
    <w:name w:val="toc 3"/>
    <w:basedOn w:val="1"/>
    <w:next w:val="1"/>
    <w:qFormat/>
    <w:uiPriority w:val="39"/>
    <w:pPr>
      <w:ind w:left="840" w:leftChars="400"/>
    </w:pPr>
  </w:style>
  <w:style w:type="paragraph" w:styleId="14">
    <w:name w:val="Plain Text"/>
    <w:basedOn w:val="1"/>
    <w:link w:val="59"/>
    <w:qFormat/>
    <w:uiPriority w:val="0"/>
    <w:pPr>
      <w:spacing w:line="360" w:lineRule="auto"/>
      <w:ind w:firstLine="1446" w:firstLineChars="200"/>
    </w:pPr>
  </w:style>
  <w:style w:type="paragraph" w:styleId="15">
    <w:name w:val="Date"/>
    <w:basedOn w:val="1"/>
    <w:next w:val="1"/>
    <w:link w:val="94"/>
    <w:qFormat/>
    <w:uiPriority w:val="0"/>
    <w:pPr>
      <w:widowControl w:val="0"/>
      <w:spacing w:line="360" w:lineRule="auto"/>
      <w:ind w:left="100" w:leftChars="2500"/>
      <w:jc w:val="both"/>
    </w:pPr>
    <w:rPr>
      <w:rFonts w:hAnsi="Times New Roman" w:cs="Times New Roman"/>
      <w:sz w:val="20"/>
    </w:rPr>
  </w:style>
  <w:style w:type="paragraph" w:styleId="16">
    <w:name w:val="Balloon Text"/>
    <w:basedOn w:val="1"/>
    <w:link w:val="58"/>
    <w:qFormat/>
    <w:uiPriority w:val="0"/>
    <w:rPr>
      <w:sz w:val="18"/>
      <w:szCs w:val="18"/>
    </w:rPr>
  </w:style>
  <w:style w:type="paragraph" w:styleId="17">
    <w:name w:val="footer"/>
    <w:basedOn w:val="1"/>
    <w:link w:val="61"/>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18">
    <w:name w:val="header"/>
    <w:basedOn w:val="1"/>
    <w:link w:val="8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9">
    <w:name w:val="Signature"/>
    <w:basedOn w:val="1"/>
    <w:link w:val="92"/>
    <w:qFormat/>
    <w:uiPriority w:val="99"/>
    <w:pPr>
      <w:widowControl w:val="0"/>
      <w:spacing w:line="360" w:lineRule="auto"/>
      <w:ind w:left="100" w:leftChars="2100"/>
      <w:jc w:val="both"/>
    </w:pPr>
    <w:rPr>
      <w:rFonts w:hAnsi="Times New Roman" w:cs="Times New Roman"/>
      <w:kern w:val="2"/>
    </w:rPr>
  </w:style>
  <w:style w:type="paragraph" w:styleId="20">
    <w:name w:val="toc 1"/>
    <w:basedOn w:val="1"/>
    <w:next w:val="1"/>
    <w:qFormat/>
    <w:uiPriority w:val="39"/>
    <w:pPr>
      <w:tabs>
        <w:tab w:val="right" w:leader="dot" w:pos="8296"/>
      </w:tabs>
      <w:spacing w:line="360" w:lineRule="auto"/>
    </w:pPr>
    <w:rPr>
      <w:b/>
      <w:bCs/>
      <w:kern w:val="44"/>
      <w:sz w:val="28"/>
    </w:rPr>
  </w:style>
  <w:style w:type="paragraph" w:styleId="21">
    <w:name w:val="index heading"/>
    <w:basedOn w:val="1"/>
    <w:next w:val="22"/>
    <w:qFormat/>
    <w:uiPriority w:val="0"/>
    <w:rPr>
      <w:szCs w:val="20"/>
    </w:rPr>
  </w:style>
  <w:style w:type="paragraph" w:styleId="22">
    <w:name w:val="index 1"/>
    <w:basedOn w:val="1"/>
    <w:next w:val="1"/>
    <w:unhideWhenUsed/>
    <w:qFormat/>
    <w:uiPriority w:val="0"/>
    <w:pPr>
      <w:adjustRightInd w:val="0"/>
      <w:snapToGrid w:val="0"/>
      <w:spacing w:line="440" w:lineRule="atLeast"/>
      <w:ind w:left="240" w:hanging="240"/>
    </w:pPr>
    <w:rPr>
      <w:sz w:val="18"/>
      <w:szCs w:val="18"/>
    </w:rPr>
  </w:style>
  <w:style w:type="paragraph" w:styleId="23">
    <w:name w:val="List"/>
    <w:basedOn w:val="1"/>
    <w:unhideWhenUsed/>
    <w:qFormat/>
    <w:uiPriority w:val="0"/>
    <w:pPr>
      <w:ind w:left="200" w:hanging="200" w:hangingChars="200"/>
    </w:pPr>
  </w:style>
  <w:style w:type="paragraph" w:styleId="24">
    <w:name w:val="toc 2"/>
    <w:next w:val="7"/>
    <w:qFormat/>
    <w:uiPriority w:val="39"/>
    <w:pPr>
      <w:widowControl w:val="0"/>
      <w:spacing w:line="360" w:lineRule="auto"/>
      <w:ind w:left="200" w:leftChars="200"/>
      <w:jc w:val="both"/>
    </w:pPr>
    <w:rPr>
      <w:rFonts w:ascii="宋体" w:hAnsi="Arial" w:eastAsia="宋体" w:cs="Arial"/>
      <w:kern w:val="2"/>
      <w:sz w:val="24"/>
      <w:szCs w:val="24"/>
      <w:lang w:val="en-US" w:eastAsia="zh-CN" w:bidi="ar-SA"/>
    </w:rPr>
  </w:style>
  <w:style w:type="paragraph" w:styleId="25">
    <w:name w:val="Body Text 2"/>
    <w:basedOn w:val="1"/>
    <w:unhideWhenUsed/>
    <w:qFormat/>
    <w:uiPriority w:val="0"/>
    <w:pPr>
      <w:spacing w:beforeLines="0" w:after="120" w:afterLines="0" w:line="480" w:lineRule="auto"/>
    </w:pPr>
    <w:rPr>
      <w:rFonts w:hint="default"/>
      <w:sz w:val="21"/>
      <w:szCs w:val="24"/>
    </w:rPr>
  </w:style>
  <w:style w:type="paragraph" w:styleId="26">
    <w:name w:val="Normal (Web)"/>
    <w:basedOn w:val="1"/>
    <w:link w:val="95"/>
    <w:qFormat/>
    <w:uiPriority w:val="0"/>
    <w:pPr>
      <w:spacing w:before="100" w:beforeAutospacing="1" w:after="100" w:afterAutospacing="1"/>
    </w:pPr>
    <w:rPr>
      <w:szCs w:val="20"/>
    </w:rPr>
  </w:style>
  <w:style w:type="paragraph" w:styleId="27">
    <w:name w:val="annotation subject"/>
    <w:basedOn w:val="8"/>
    <w:next w:val="8"/>
    <w:link w:val="78"/>
    <w:qFormat/>
    <w:uiPriority w:val="0"/>
    <w:rPr>
      <w:b/>
      <w:bCs/>
      <w:kern w:val="2"/>
      <w:sz w:val="21"/>
      <w:szCs w:val="24"/>
    </w:rPr>
  </w:style>
  <w:style w:type="table" w:styleId="29">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31">
    <w:name w:val="Strong"/>
    <w:qFormat/>
    <w:uiPriority w:val="0"/>
    <w:rPr>
      <w:b/>
    </w:rPr>
  </w:style>
  <w:style w:type="character" w:styleId="32">
    <w:name w:val="page number"/>
    <w:basedOn w:val="30"/>
    <w:qFormat/>
    <w:uiPriority w:val="0"/>
  </w:style>
  <w:style w:type="character" w:styleId="33">
    <w:name w:val="FollowedHyperlink"/>
    <w:basedOn w:val="30"/>
    <w:unhideWhenUsed/>
    <w:qFormat/>
    <w:uiPriority w:val="99"/>
    <w:rPr>
      <w:color w:val="954F72"/>
      <w:u w:val="single"/>
    </w:rPr>
  </w:style>
  <w:style w:type="character" w:styleId="34">
    <w:name w:val="Hyperlink"/>
    <w:basedOn w:val="30"/>
    <w:unhideWhenUsed/>
    <w:qFormat/>
    <w:uiPriority w:val="99"/>
    <w:rPr>
      <w:color w:val="0563C1"/>
      <w:u w:val="single"/>
    </w:rPr>
  </w:style>
  <w:style w:type="character" w:styleId="35">
    <w:name w:val="annotation reference"/>
    <w:basedOn w:val="30"/>
    <w:qFormat/>
    <w:uiPriority w:val="0"/>
    <w:rPr>
      <w:sz w:val="21"/>
      <w:szCs w:val="21"/>
    </w:rPr>
  </w:style>
  <w:style w:type="paragraph" w:customStyle="1" w:styleId="36">
    <w:name w:val="Char"/>
    <w:next w:val="1"/>
    <w:qFormat/>
    <w:uiPriority w:val="0"/>
    <w:pPr>
      <w:widowControl w:val="0"/>
      <w:jc w:val="both"/>
    </w:pPr>
    <w:rPr>
      <w:rFonts w:ascii="Arial" w:hAnsi="Arial" w:eastAsia="黑体" w:cs="Calibri"/>
      <w:b/>
      <w:kern w:val="2"/>
      <w:sz w:val="28"/>
      <w:szCs w:val="21"/>
      <w:lang w:val="en-US" w:eastAsia="zh-CN" w:bidi="ar-SA"/>
    </w:rPr>
  </w:style>
  <w:style w:type="paragraph" w:customStyle="1" w:styleId="37">
    <w:name w:val="Default"/>
    <w:basedOn w:val="38"/>
    <w:next w:val="39"/>
    <w:qFormat/>
    <w:uiPriority w:val="0"/>
    <w:pPr>
      <w:tabs>
        <w:tab w:val="left" w:pos="2760"/>
      </w:tabs>
      <w:autoSpaceDE w:val="0"/>
      <w:autoSpaceDN w:val="0"/>
    </w:pPr>
    <w:rPr>
      <w:rFonts w:ascii="仿宋_GB2312" w:eastAsia="仿宋_GB2312" w:cs="仿宋_GB2312"/>
      <w:color w:val="000000"/>
      <w:szCs w:val="24"/>
    </w:rPr>
  </w:style>
  <w:style w:type="paragraph" w:customStyle="1" w:styleId="38">
    <w:name w:val="纯文本1"/>
    <w:basedOn w:val="1"/>
    <w:qFormat/>
    <w:uiPriority w:val="0"/>
    <w:pPr>
      <w:tabs>
        <w:tab w:val="left" w:pos="2760"/>
      </w:tabs>
      <w:adjustRightInd w:val="0"/>
    </w:pPr>
    <w:rPr>
      <w:rFonts w:hAnsi="Courier New"/>
      <w:szCs w:val="20"/>
    </w:rPr>
  </w:style>
  <w:style w:type="paragraph" w:customStyle="1" w:styleId="39">
    <w:name w:val="样式1"/>
    <w:basedOn w:val="21"/>
    <w:next w:val="1"/>
    <w:qFormat/>
    <w:uiPriority w:val="0"/>
    <w:pPr>
      <w:jc w:val="center"/>
      <w:outlineLvl w:val="0"/>
    </w:pPr>
    <w:rPr>
      <w:szCs w:val="21"/>
    </w:rPr>
  </w:style>
  <w:style w:type="table" w:customStyle="1" w:styleId="40">
    <w:name w:val="Table Normal"/>
    <w:semiHidden/>
    <w:unhideWhenUsed/>
    <w:qFormat/>
    <w:uiPriority w:val="0"/>
    <w:tblPr>
      <w:tblCellMar>
        <w:top w:w="0" w:type="dxa"/>
        <w:left w:w="0" w:type="dxa"/>
        <w:bottom w:w="0" w:type="dxa"/>
        <w:right w:w="0" w:type="dxa"/>
      </w:tblCellMar>
    </w:tblPr>
  </w:style>
  <w:style w:type="paragraph" w:customStyle="1" w:styleId="41">
    <w:name w:val="Table Text"/>
    <w:basedOn w:val="1"/>
    <w:semiHidden/>
    <w:qFormat/>
    <w:uiPriority w:val="0"/>
    <w:rPr>
      <w:rFonts w:ascii="仿宋" w:hAnsi="仿宋" w:eastAsia="仿宋" w:cs="仿宋"/>
      <w:lang w:eastAsia="en-US"/>
    </w:rPr>
  </w:style>
  <w:style w:type="paragraph" w:customStyle="1" w:styleId="42">
    <w:name w:val="Char Char Char Char Char Char Char Char Char"/>
    <w:semiHidden/>
    <w:qFormat/>
    <w:uiPriority w:val="99"/>
    <w:pPr>
      <w:widowControl w:val="0"/>
      <w:jc w:val="both"/>
    </w:pPr>
    <w:rPr>
      <w:rFonts w:ascii="Times New Roman" w:hAnsi="Times New Roman" w:eastAsia="宋体" w:cs="Times New Roman"/>
      <w:kern w:val="2"/>
      <w:sz w:val="24"/>
      <w:szCs w:val="24"/>
      <w:lang w:val="en-US" w:eastAsia="zh-CN" w:bidi="ar-SA"/>
    </w:rPr>
  </w:style>
  <w:style w:type="paragraph" w:customStyle="1" w:styleId="43">
    <w:name w:val="样式 四号"/>
    <w:qFormat/>
    <w:uiPriority w:val="0"/>
    <w:pPr>
      <w:widowControl w:val="0"/>
      <w:spacing w:line="360" w:lineRule="auto"/>
      <w:ind w:firstLine="480" w:firstLineChars="200"/>
      <w:jc w:val="both"/>
    </w:pPr>
    <w:rPr>
      <w:rFonts w:ascii="Times New Roman" w:hAnsi="Times New Roman" w:eastAsia="宋体" w:cs="Times New Roman"/>
      <w:kern w:val="2"/>
      <w:sz w:val="24"/>
      <w:lang w:val="en-US" w:eastAsia="zh-CN" w:bidi="ar-SA"/>
    </w:rPr>
  </w:style>
  <w:style w:type="paragraph" w:customStyle="1" w:styleId="44">
    <w:name w:val="zw"/>
    <w:basedOn w:val="14"/>
    <w:next w:val="1"/>
    <w:qFormat/>
    <w:uiPriority w:val="0"/>
    <w:pPr>
      <w:ind w:firstLine="480"/>
    </w:pPr>
    <w:rPr>
      <w:rFonts w:ascii="Times New Roman" w:hAnsi="Times New Roman"/>
      <w:szCs w:val="20"/>
    </w:rPr>
  </w:style>
  <w:style w:type="paragraph" w:customStyle="1" w:styleId="45">
    <w:name w:val="文本"/>
    <w:qFormat/>
    <w:uiPriority w:val="0"/>
    <w:pPr>
      <w:widowControl w:val="0"/>
      <w:adjustRightInd w:val="0"/>
      <w:snapToGrid w:val="0"/>
      <w:spacing w:line="360" w:lineRule="auto"/>
      <w:ind w:firstLine="480" w:firstLineChars="200"/>
    </w:pPr>
    <w:rPr>
      <w:rFonts w:ascii="Times New Roman" w:hAnsi="Times New Roman" w:eastAsia="宋体" w:cs="Times New Roman"/>
      <w:sz w:val="24"/>
      <w:szCs w:val="24"/>
      <w:lang w:val="en-US" w:eastAsia="zh-CN" w:bidi="ar-SA"/>
    </w:rPr>
  </w:style>
  <w:style w:type="character" w:customStyle="1" w:styleId="46">
    <w:name w:val="表头 Char Char"/>
    <w:link w:val="47"/>
    <w:qFormat/>
    <w:locked/>
    <w:uiPriority w:val="0"/>
    <w:rPr>
      <w:rFonts w:ascii="黑体" w:hAnsi="黑体" w:eastAsia="黑体"/>
      <w:sz w:val="24"/>
    </w:rPr>
  </w:style>
  <w:style w:type="paragraph" w:customStyle="1" w:styleId="47">
    <w:name w:val="表头"/>
    <w:basedOn w:val="48"/>
    <w:next w:val="1"/>
    <w:link w:val="46"/>
    <w:qFormat/>
    <w:uiPriority w:val="0"/>
    <w:pPr>
      <w:snapToGrid w:val="0"/>
      <w:spacing w:line="400" w:lineRule="atLeast"/>
    </w:pPr>
    <w:rPr>
      <w:rFonts w:ascii="黑体" w:hAnsi="黑体" w:eastAsia="黑体"/>
    </w:rPr>
  </w:style>
  <w:style w:type="paragraph" w:customStyle="1" w:styleId="48">
    <w:name w:val="表外"/>
    <w:basedOn w:val="1"/>
    <w:unhideWhenUsed/>
    <w:qFormat/>
    <w:uiPriority w:val="0"/>
    <w:pPr>
      <w:spacing w:beforeLines="0" w:afterLines="0"/>
    </w:pPr>
    <w:rPr>
      <w:rFonts w:hint="default" w:ascii="Times New Roman" w:hAnsi="Times New Roman" w:eastAsia="宋体"/>
      <w:b/>
      <w:sz w:val="32"/>
      <w:szCs w:val="24"/>
    </w:rPr>
  </w:style>
  <w:style w:type="paragraph" w:customStyle="1" w:styleId="49">
    <w:name w:val="样式2"/>
    <w:basedOn w:val="1"/>
    <w:qFormat/>
    <w:uiPriority w:val="0"/>
    <w:pPr>
      <w:tabs>
        <w:tab w:val="left" w:pos="634"/>
      </w:tabs>
      <w:adjustRightInd w:val="0"/>
      <w:snapToGrid w:val="0"/>
    </w:pPr>
  </w:style>
  <w:style w:type="paragraph" w:customStyle="1" w:styleId="50">
    <w:name w:val="样式 小四 行距: 1.5 倍行距"/>
    <w:qFormat/>
    <w:uiPriority w:val="0"/>
    <w:pPr>
      <w:widowControl w:val="0"/>
      <w:spacing w:line="500" w:lineRule="exact"/>
      <w:ind w:firstLine="480" w:firstLineChars="200"/>
      <w:jc w:val="both"/>
    </w:pPr>
    <w:rPr>
      <w:rFonts w:ascii="Calibri" w:hAnsi="Calibri" w:eastAsia="宋体" w:cs="Calibri"/>
      <w:kern w:val="2"/>
      <w:sz w:val="21"/>
      <w:szCs w:val="24"/>
      <w:lang w:val="en-US" w:eastAsia="zh-CN" w:bidi="ar-SA"/>
    </w:rPr>
  </w:style>
  <w:style w:type="paragraph" w:customStyle="1" w:styleId="51">
    <w:name w:val="表格"/>
    <w:basedOn w:val="1"/>
    <w:next w:val="1"/>
    <w:link w:val="104"/>
    <w:qFormat/>
    <w:uiPriority w:val="0"/>
    <w:pPr>
      <w:spacing w:line="360" w:lineRule="exact"/>
    </w:pPr>
    <w:rPr>
      <w:sz w:val="20"/>
      <w:szCs w:val="21"/>
    </w:rPr>
  </w:style>
  <w:style w:type="paragraph" w:customStyle="1" w:styleId="52">
    <w:name w:val="样式 正文缩进s4标题4表正文正文非缩进图标题段1Body Text(ch)缩进ALT+Z特点四号正文不...3"/>
    <w:basedOn w:val="6"/>
    <w:qFormat/>
    <w:uiPriority w:val="0"/>
    <w:pPr>
      <w:ind w:firstLine="200"/>
    </w:pPr>
    <w:rPr>
      <w:rFonts w:eastAsia="仿宋_GB2312"/>
    </w:rPr>
  </w:style>
  <w:style w:type="character" w:customStyle="1" w:styleId="53">
    <w:name w:val="样式 正文缩进s4标题4表正文正文非缩进图标题段1Body Text(ch)缩进ALT+Z特点四号正文不...2 Char"/>
    <w:link w:val="54"/>
    <w:qFormat/>
    <w:locked/>
    <w:uiPriority w:val="0"/>
    <w:rPr>
      <w:rFonts w:ascii="宋体" w:hAnsi="宋体" w:eastAsia="仿宋_GB2312"/>
      <w:kern w:val="0"/>
      <w:sz w:val="24"/>
      <w:szCs w:val="20"/>
    </w:rPr>
  </w:style>
  <w:style w:type="paragraph" w:customStyle="1" w:styleId="54">
    <w:name w:val="样式 正文缩进s4标题4表正文正文非缩进图标题段1Body Text(ch)缩进ALT+Z特点四号正文不...2"/>
    <w:basedOn w:val="6"/>
    <w:link w:val="53"/>
    <w:qFormat/>
    <w:uiPriority w:val="0"/>
    <w:pPr>
      <w:ind w:firstLine="200"/>
    </w:pPr>
    <w:rPr>
      <w:rFonts w:eastAsia="仿宋_GB2312"/>
      <w:szCs w:val="20"/>
    </w:rPr>
  </w:style>
  <w:style w:type="paragraph" w:customStyle="1" w:styleId="55">
    <w:name w:val="样式 样式 正文缩进s4标题4表正文正文非缩进图标题段1Body Text(ch)缩进ALT+Z特点四号正文不... + 首行缩..."/>
    <w:basedOn w:val="1"/>
    <w:qFormat/>
    <w:uiPriority w:val="0"/>
    <w:pPr>
      <w:ind w:firstLine="480" w:firstLineChars="200"/>
    </w:pPr>
    <w:rPr>
      <w:rFonts w:eastAsia="仿宋_GB2312"/>
      <w:szCs w:val="20"/>
    </w:rPr>
  </w:style>
  <w:style w:type="paragraph" w:customStyle="1" w:styleId="56">
    <w:name w:val="样式 正文缩进s4标题4表正文正文非缩进图标题段1Body Text(ch)缩进ALT+Z特点四号正文不...1"/>
    <w:basedOn w:val="6"/>
    <w:qFormat/>
    <w:uiPriority w:val="0"/>
    <w:pPr>
      <w:ind w:firstLine="840" w:firstLineChars="400"/>
    </w:pPr>
    <w:rPr>
      <w:rFonts w:eastAsia="仿宋_GB2312"/>
    </w:rPr>
  </w:style>
  <w:style w:type="paragraph" w:customStyle="1" w:styleId="57">
    <w:name w:val="表格文字"/>
    <w:qFormat/>
    <w:uiPriority w:val="0"/>
    <w:pPr>
      <w:jc w:val="center"/>
    </w:pPr>
    <w:rPr>
      <w:rFonts w:ascii="Calibri" w:hAnsi="Calibri" w:eastAsia="宋体" w:cs="Times New Roman"/>
      <w:kern w:val="2"/>
      <w:sz w:val="21"/>
      <w:szCs w:val="24"/>
      <w:lang w:val="en-US" w:eastAsia="zh-CN" w:bidi="ar-SA"/>
    </w:rPr>
  </w:style>
  <w:style w:type="character" w:customStyle="1" w:styleId="58">
    <w:name w:val="批注框文本 字符"/>
    <w:basedOn w:val="30"/>
    <w:link w:val="16"/>
    <w:qFormat/>
    <w:uiPriority w:val="0"/>
    <w:rPr>
      <w:kern w:val="2"/>
      <w:sz w:val="18"/>
      <w:szCs w:val="18"/>
    </w:rPr>
  </w:style>
  <w:style w:type="character" w:customStyle="1" w:styleId="59">
    <w:name w:val="纯文本 字符"/>
    <w:link w:val="14"/>
    <w:qFormat/>
    <w:uiPriority w:val="0"/>
    <w:rPr>
      <w:rFonts w:ascii="宋体" w:hAnsi="宋体"/>
      <w:sz w:val="24"/>
    </w:rPr>
  </w:style>
  <w:style w:type="paragraph" w:customStyle="1" w:styleId="60">
    <w:name w:val="列表段落1"/>
    <w:basedOn w:val="1"/>
    <w:qFormat/>
    <w:uiPriority w:val="1"/>
    <w:pPr>
      <w:ind w:left="400" w:hanging="705"/>
    </w:pPr>
    <w:rPr>
      <w:lang w:val="zh-CN" w:bidi="zh-CN"/>
    </w:rPr>
  </w:style>
  <w:style w:type="character" w:customStyle="1" w:styleId="61">
    <w:name w:val="页脚 字符"/>
    <w:basedOn w:val="30"/>
    <w:link w:val="17"/>
    <w:qFormat/>
    <w:uiPriority w:val="99"/>
    <w:rPr>
      <w:kern w:val="2"/>
      <w:sz w:val="18"/>
      <w:szCs w:val="18"/>
    </w:rPr>
  </w:style>
  <w:style w:type="paragraph" w:customStyle="1" w:styleId="62">
    <w:name w:val="msonormal"/>
    <w:basedOn w:val="1"/>
    <w:qFormat/>
    <w:uiPriority w:val="0"/>
    <w:pPr>
      <w:spacing w:before="100" w:beforeAutospacing="1" w:after="100" w:afterAutospacing="1"/>
    </w:pPr>
  </w:style>
  <w:style w:type="paragraph" w:customStyle="1" w:styleId="63">
    <w:name w:val="font5"/>
    <w:basedOn w:val="1"/>
    <w:qFormat/>
    <w:uiPriority w:val="0"/>
    <w:pPr>
      <w:spacing w:before="100" w:beforeAutospacing="1" w:after="100" w:afterAutospacing="1"/>
    </w:pPr>
    <w:rPr>
      <w:rFonts w:ascii="等线" w:hAnsi="等线" w:eastAsia="等线"/>
      <w:sz w:val="18"/>
      <w:szCs w:val="18"/>
    </w:rPr>
  </w:style>
  <w:style w:type="paragraph" w:customStyle="1" w:styleId="64">
    <w:name w:val="xl66"/>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b/>
      <w:bCs/>
      <w:sz w:val="20"/>
      <w:szCs w:val="20"/>
    </w:rPr>
  </w:style>
  <w:style w:type="paragraph" w:customStyle="1" w:styleId="65">
    <w:name w:val="xl6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sz w:val="20"/>
      <w:szCs w:val="20"/>
    </w:rPr>
  </w:style>
  <w:style w:type="paragraph" w:customStyle="1" w:styleId="66">
    <w:name w:val="xl68"/>
    <w:basedOn w:val="1"/>
    <w:qFormat/>
    <w:uiPriority w:val="0"/>
    <w:pPr>
      <w:pBdr>
        <w:bottom w:val="single" w:color="auto" w:sz="8" w:space="0"/>
        <w:right w:val="single" w:color="auto" w:sz="8" w:space="0"/>
      </w:pBdr>
      <w:spacing w:before="100" w:beforeAutospacing="1" w:after="100" w:afterAutospacing="1"/>
      <w:jc w:val="center"/>
      <w:textAlignment w:val="center"/>
    </w:pPr>
    <w:rPr>
      <w:sz w:val="20"/>
      <w:szCs w:val="20"/>
    </w:rPr>
  </w:style>
  <w:style w:type="paragraph" w:customStyle="1" w:styleId="67">
    <w:name w:val="xl69"/>
    <w:basedOn w:val="1"/>
    <w:qFormat/>
    <w:uiPriority w:val="0"/>
    <w:pPr>
      <w:pBdr>
        <w:top w:val="single" w:color="auto" w:sz="8" w:space="0"/>
        <w:right w:val="single" w:color="auto" w:sz="8" w:space="0"/>
      </w:pBdr>
      <w:spacing w:before="100" w:beforeAutospacing="1" w:after="100" w:afterAutospacing="1"/>
      <w:jc w:val="center"/>
      <w:textAlignment w:val="center"/>
    </w:pPr>
    <w:rPr>
      <w:b/>
      <w:bCs/>
      <w:sz w:val="20"/>
      <w:szCs w:val="20"/>
    </w:rPr>
  </w:style>
  <w:style w:type="paragraph" w:customStyle="1" w:styleId="68">
    <w:name w:val="xl70"/>
    <w:basedOn w:val="1"/>
    <w:qFormat/>
    <w:uiPriority w:val="0"/>
    <w:pPr>
      <w:pBdr>
        <w:right w:val="single" w:color="auto" w:sz="8" w:space="0"/>
      </w:pBdr>
      <w:spacing w:before="100" w:beforeAutospacing="1" w:after="100" w:afterAutospacing="1"/>
      <w:jc w:val="center"/>
      <w:textAlignment w:val="center"/>
    </w:pPr>
  </w:style>
  <w:style w:type="paragraph" w:customStyle="1" w:styleId="69">
    <w:name w:val="xl71"/>
    <w:basedOn w:val="1"/>
    <w:qFormat/>
    <w:uiPriority w:val="0"/>
    <w:pPr>
      <w:pBdr>
        <w:bottom w:val="single" w:color="auto" w:sz="8" w:space="0"/>
        <w:right w:val="single" w:color="auto" w:sz="8" w:space="0"/>
      </w:pBdr>
      <w:spacing w:before="100" w:beforeAutospacing="1" w:after="100" w:afterAutospacing="1"/>
      <w:jc w:val="center"/>
      <w:textAlignment w:val="center"/>
    </w:pPr>
  </w:style>
  <w:style w:type="paragraph" w:customStyle="1" w:styleId="70">
    <w:name w:val="xl72"/>
    <w:basedOn w:val="1"/>
    <w:qFormat/>
    <w:uiPriority w:val="0"/>
    <w:pPr>
      <w:pBdr>
        <w:bottom w:val="single" w:color="auto" w:sz="8" w:space="0"/>
      </w:pBdr>
      <w:spacing w:before="100" w:beforeAutospacing="1" w:after="100" w:afterAutospacing="1"/>
    </w:pPr>
    <w:rPr>
      <w:b/>
      <w:bCs/>
      <w:sz w:val="20"/>
      <w:szCs w:val="20"/>
    </w:rPr>
  </w:style>
  <w:style w:type="paragraph" w:customStyle="1" w:styleId="71">
    <w:name w:val="xl73"/>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b/>
      <w:bCs/>
      <w:sz w:val="20"/>
      <w:szCs w:val="20"/>
    </w:rPr>
  </w:style>
  <w:style w:type="paragraph" w:customStyle="1" w:styleId="72">
    <w:name w:val="xl74"/>
    <w:basedOn w:val="1"/>
    <w:qFormat/>
    <w:uiPriority w:val="0"/>
    <w:pPr>
      <w:pBdr>
        <w:top w:val="single" w:color="auto" w:sz="8" w:space="0"/>
        <w:bottom w:val="single" w:color="auto" w:sz="8" w:space="0"/>
      </w:pBdr>
      <w:spacing w:before="100" w:beforeAutospacing="1" w:after="100" w:afterAutospacing="1"/>
      <w:jc w:val="center"/>
      <w:textAlignment w:val="center"/>
    </w:pPr>
  </w:style>
  <w:style w:type="paragraph" w:customStyle="1" w:styleId="73">
    <w:name w:val="xl75"/>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style>
  <w:style w:type="paragraph" w:customStyle="1" w:styleId="74">
    <w:name w:val="xl76"/>
    <w:basedOn w:val="1"/>
    <w:qFormat/>
    <w:uiPriority w:val="0"/>
    <w:pPr>
      <w:pBdr>
        <w:top w:val="single" w:color="auto" w:sz="12" w:space="0"/>
        <w:left w:val="single" w:color="auto" w:sz="12" w:space="0"/>
        <w:bottom w:val="single" w:color="auto" w:sz="12" w:space="0"/>
        <w:right w:val="single" w:color="auto" w:sz="8" w:space="0"/>
      </w:pBdr>
      <w:spacing w:before="100" w:beforeAutospacing="1" w:after="100" w:afterAutospacing="1"/>
      <w:jc w:val="center"/>
      <w:textAlignment w:val="center"/>
    </w:pPr>
    <w:rPr>
      <w:sz w:val="20"/>
      <w:szCs w:val="20"/>
    </w:rPr>
  </w:style>
  <w:style w:type="paragraph" w:customStyle="1" w:styleId="75">
    <w:name w:val="xl77"/>
    <w:basedOn w:val="1"/>
    <w:qFormat/>
    <w:uiPriority w:val="0"/>
    <w:pPr>
      <w:pBdr>
        <w:top w:val="single" w:color="auto" w:sz="12" w:space="0"/>
        <w:bottom w:val="single" w:color="auto" w:sz="12" w:space="0"/>
        <w:right w:val="single" w:color="auto" w:sz="8" w:space="0"/>
      </w:pBdr>
      <w:spacing w:before="100" w:beforeAutospacing="1" w:after="100" w:afterAutospacing="1"/>
      <w:jc w:val="center"/>
      <w:textAlignment w:val="center"/>
    </w:pPr>
    <w:rPr>
      <w:sz w:val="20"/>
      <w:szCs w:val="20"/>
    </w:rPr>
  </w:style>
  <w:style w:type="paragraph" w:customStyle="1" w:styleId="76">
    <w:name w:val="xl78"/>
    <w:basedOn w:val="1"/>
    <w:qFormat/>
    <w:uiPriority w:val="0"/>
    <w:pPr>
      <w:pBdr>
        <w:left w:val="single" w:color="auto" w:sz="8" w:space="0"/>
      </w:pBdr>
      <w:spacing w:before="100" w:beforeAutospacing="1" w:after="100" w:afterAutospacing="1"/>
      <w:jc w:val="center"/>
      <w:textAlignment w:val="center"/>
    </w:pPr>
    <w:rPr>
      <w:sz w:val="20"/>
      <w:szCs w:val="20"/>
    </w:rPr>
  </w:style>
  <w:style w:type="character" w:customStyle="1" w:styleId="77">
    <w:name w:val="批注文字 字符"/>
    <w:basedOn w:val="30"/>
    <w:link w:val="8"/>
    <w:qFormat/>
    <w:uiPriority w:val="0"/>
    <w:rPr>
      <w:sz w:val="24"/>
    </w:rPr>
  </w:style>
  <w:style w:type="character" w:customStyle="1" w:styleId="78">
    <w:name w:val="批注主题 字符"/>
    <w:basedOn w:val="77"/>
    <w:link w:val="27"/>
    <w:qFormat/>
    <w:uiPriority w:val="0"/>
    <w:rPr>
      <w:b/>
      <w:bCs/>
      <w:kern w:val="2"/>
      <w:sz w:val="21"/>
      <w:szCs w:val="24"/>
    </w:rPr>
  </w:style>
  <w:style w:type="paragraph" w:customStyle="1" w:styleId="79">
    <w:name w:val="TOC 标题1"/>
    <w:basedOn w:val="2"/>
    <w:next w:val="1"/>
    <w:unhideWhenUsed/>
    <w:qFormat/>
    <w:uiPriority w:val="39"/>
    <w:pPr>
      <w:keepLines/>
      <w:widowControl/>
      <w:overflowPunct/>
      <w:snapToGrid/>
      <w:spacing w:before="240" w:after="0"/>
      <w:ind w:left="0" w:firstLine="0"/>
      <w:jc w:val="left"/>
      <w:outlineLvl w:val="9"/>
    </w:pPr>
    <w:rPr>
      <w:rFonts w:asciiTheme="majorHAnsi" w:hAnsiTheme="majorHAnsi" w:eastAsiaTheme="majorEastAsia" w:cstheme="majorBidi"/>
      <w:b w:val="0"/>
      <w:bCs w:val="0"/>
      <w:color w:val="2E54A1" w:themeColor="accent1" w:themeShade="BF"/>
      <w:kern w:val="0"/>
      <w:sz w:val="32"/>
      <w:szCs w:val="32"/>
    </w:rPr>
  </w:style>
  <w:style w:type="table" w:customStyle="1" w:styleId="80">
    <w:name w:val="网格型1"/>
    <w:basedOn w:val="28"/>
    <w:qFormat/>
    <w:uiPriority w:val="0"/>
    <w:pPr>
      <w:widowControl w:val="0"/>
      <w:jc w:val="both"/>
    </w:pPr>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
    <w:name w:val="font6"/>
    <w:basedOn w:val="1"/>
    <w:qFormat/>
    <w:uiPriority w:val="0"/>
    <w:pPr>
      <w:spacing w:before="100" w:beforeAutospacing="1" w:after="100" w:afterAutospacing="1"/>
    </w:pPr>
    <w:rPr>
      <w:b/>
      <w:bCs/>
      <w:color w:val="000000"/>
      <w:sz w:val="18"/>
      <w:szCs w:val="18"/>
    </w:rPr>
  </w:style>
  <w:style w:type="paragraph" w:customStyle="1" w:styleId="82">
    <w:name w:val="font7"/>
    <w:basedOn w:val="1"/>
    <w:qFormat/>
    <w:uiPriority w:val="0"/>
    <w:pPr>
      <w:spacing w:before="100" w:beforeAutospacing="1" w:after="100" w:afterAutospacing="1"/>
    </w:pPr>
    <w:rPr>
      <w:b/>
      <w:bCs/>
      <w:color w:val="000000"/>
      <w:sz w:val="20"/>
      <w:szCs w:val="20"/>
    </w:rPr>
  </w:style>
  <w:style w:type="character" w:customStyle="1" w:styleId="83">
    <w:name w:val="标题 1 字符"/>
    <w:basedOn w:val="30"/>
    <w:link w:val="2"/>
    <w:qFormat/>
    <w:uiPriority w:val="0"/>
    <w:rPr>
      <w:rFonts w:eastAsia="黑体"/>
      <w:b/>
      <w:bCs/>
      <w:color w:val="000000"/>
      <w:kern w:val="44"/>
      <w:sz w:val="30"/>
      <w:szCs w:val="30"/>
    </w:rPr>
  </w:style>
  <w:style w:type="character" w:customStyle="1" w:styleId="84">
    <w:name w:val="标题 2 字符"/>
    <w:basedOn w:val="30"/>
    <w:link w:val="3"/>
    <w:qFormat/>
    <w:uiPriority w:val="0"/>
    <w:rPr>
      <w:rFonts w:ascii="Arial" w:hAnsi="Arial" w:eastAsia="黑体"/>
      <w:b/>
      <w:kern w:val="2"/>
      <w:sz w:val="32"/>
      <w:szCs w:val="24"/>
    </w:rPr>
  </w:style>
  <w:style w:type="character" w:customStyle="1" w:styleId="85">
    <w:name w:val="标题 3 字符"/>
    <w:basedOn w:val="30"/>
    <w:link w:val="4"/>
    <w:qFormat/>
    <w:uiPriority w:val="0"/>
    <w:rPr>
      <w:rFonts w:eastAsia="黑体"/>
      <w:kern w:val="2"/>
      <w:sz w:val="28"/>
      <w:szCs w:val="24"/>
    </w:rPr>
  </w:style>
  <w:style w:type="character" w:customStyle="1" w:styleId="86">
    <w:name w:val="标题 4 字符"/>
    <w:basedOn w:val="30"/>
    <w:link w:val="5"/>
    <w:qFormat/>
    <w:uiPriority w:val="0"/>
    <w:rPr>
      <w:rFonts w:ascii="Arial" w:hAnsi="Arial" w:eastAsia="黑体" w:cs="Calibri"/>
      <w:b/>
      <w:bCs/>
      <w:kern w:val="2"/>
      <w:sz w:val="28"/>
      <w:szCs w:val="28"/>
    </w:rPr>
  </w:style>
  <w:style w:type="character" w:customStyle="1" w:styleId="87">
    <w:name w:val="正文文本 字符"/>
    <w:basedOn w:val="30"/>
    <w:link w:val="10"/>
    <w:qFormat/>
    <w:uiPriority w:val="0"/>
    <w:rPr>
      <w:rFonts w:ascii="Calibri" w:hAnsi="Calibri" w:cs="Calibri"/>
      <w:sz w:val="18"/>
    </w:rPr>
  </w:style>
  <w:style w:type="character" w:customStyle="1" w:styleId="88">
    <w:name w:val="正文文本缩进 字符"/>
    <w:basedOn w:val="30"/>
    <w:link w:val="11"/>
    <w:qFormat/>
    <w:uiPriority w:val="0"/>
    <w:rPr>
      <w:rFonts w:eastAsia="仿宋"/>
      <w:kern w:val="2"/>
      <w:sz w:val="28"/>
      <w:szCs w:val="24"/>
      <w:lang w:bidi="en-US"/>
    </w:rPr>
  </w:style>
  <w:style w:type="character" w:customStyle="1" w:styleId="89">
    <w:name w:val="页眉 字符"/>
    <w:basedOn w:val="30"/>
    <w:link w:val="18"/>
    <w:qFormat/>
    <w:uiPriority w:val="0"/>
    <w:rPr>
      <w:kern w:val="2"/>
      <w:sz w:val="18"/>
      <w:szCs w:val="24"/>
    </w:rPr>
  </w:style>
  <w:style w:type="character" w:customStyle="1" w:styleId="90">
    <w:name w:val="正文文本首行缩进 2 字符"/>
    <w:basedOn w:val="88"/>
    <w:link w:val="12"/>
    <w:qFormat/>
    <w:uiPriority w:val="0"/>
    <w:rPr>
      <w:rFonts w:ascii="Calibri" w:hAnsi="Calibri" w:eastAsia="仿宋"/>
      <w:kern w:val="2"/>
      <w:sz w:val="28"/>
      <w:szCs w:val="24"/>
      <w:lang w:bidi="en-US"/>
    </w:rPr>
  </w:style>
  <w:style w:type="character" w:customStyle="1" w:styleId="91">
    <w:name w:val="正文文本 3 字符"/>
    <w:basedOn w:val="30"/>
    <w:link w:val="9"/>
    <w:qFormat/>
    <w:uiPriority w:val="0"/>
    <w:rPr>
      <w:rFonts w:ascii="宋体"/>
      <w:kern w:val="2"/>
      <w:sz w:val="16"/>
      <w:szCs w:val="16"/>
    </w:rPr>
  </w:style>
  <w:style w:type="character" w:customStyle="1" w:styleId="92">
    <w:name w:val="签名 字符"/>
    <w:basedOn w:val="30"/>
    <w:link w:val="19"/>
    <w:qFormat/>
    <w:uiPriority w:val="99"/>
    <w:rPr>
      <w:rFonts w:ascii="宋体"/>
      <w:kern w:val="2"/>
      <w:sz w:val="24"/>
      <w:szCs w:val="24"/>
    </w:rPr>
  </w:style>
  <w:style w:type="character" w:customStyle="1" w:styleId="93">
    <w:name w:val="日期 字符"/>
    <w:basedOn w:val="30"/>
    <w:qFormat/>
    <w:uiPriority w:val="0"/>
    <w:rPr>
      <w:rFonts w:ascii="宋体" w:hAnsi="宋体" w:cs="宋体"/>
      <w:sz w:val="24"/>
      <w:szCs w:val="24"/>
    </w:rPr>
  </w:style>
  <w:style w:type="character" w:customStyle="1" w:styleId="94">
    <w:name w:val="日期 字符1"/>
    <w:link w:val="15"/>
    <w:qFormat/>
    <w:locked/>
    <w:uiPriority w:val="0"/>
    <w:rPr>
      <w:rFonts w:ascii="宋体"/>
      <w:szCs w:val="24"/>
    </w:rPr>
  </w:style>
  <w:style w:type="character" w:customStyle="1" w:styleId="95">
    <w:name w:val="普通(网站) 字符"/>
    <w:link w:val="26"/>
    <w:qFormat/>
    <w:locked/>
    <w:uiPriority w:val="0"/>
    <w:rPr>
      <w:rFonts w:ascii="宋体" w:hAnsi="宋体" w:cs="宋体"/>
      <w:sz w:val="24"/>
    </w:rPr>
  </w:style>
  <w:style w:type="table" w:customStyle="1" w:styleId="96">
    <w:name w:val="网格型2"/>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
    <w:name w:val="font51"/>
    <w:qFormat/>
    <w:uiPriority w:val="0"/>
    <w:rPr>
      <w:rFonts w:hint="default" w:ascii="Times New Roman" w:hAnsi="Times New Roman" w:cs="Times New Roman"/>
      <w:color w:val="auto"/>
      <w:sz w:val="20"/>
      <w:szCs w:val="20"/>
      <w:u w:val="none"/>
    </w:rPr>
  </w:style>
  <w:style w:type="character" w:customStyle="1" w:styleId="98">
    <w:name w:val="正文文本 字符1"/>
    <w:semiHidden/>
    <w:qFormat/>
    <w:uiPriority w:val="0"/>
    <w:rPr>
      <w:rFonts w:ascii="Times New Roman" w:hAnsi="Times New Roman" w:eastAsia="宋体" w:cs="Times New Roman"/>
      <w:sz w:val="24"/>
      <w:szCs w:val="24"/>
    </w:rPr>
  </w:style>
  <w:style w:type="character" w:customStyle="1" w:styleId="99">
    <w:name w:val="表标题 字符"/>
    <w:link w:val="100"/>
    <w:qFormat/>
    <w:uiPriority w:val="0"/>
    <w:rPr>
      <w:rFonts w:ascii="宋体" w:hAnsi="等线" w:cs="宋体"/>
      <w:b/>
      <w:kern w:val="2"/>
      <w:sz w:val="24"/>
      <w:szCs w:val="24"/>
    </w:rPr>
  </w:style>
  <w:style w:type="paragraph" w:customStyle="1" w:styleId="100">
    <w:name w:val="表标题"/>
    <w:basedOn w:val="1"/>
    <w:link w:val="99"/>
    <w:qFormat/>
    <w:uiPriority w:val="0"/>
    <w:pPr>
      <w:widowControl w:val="0"/>
      <w:spacing w:line="360" w:lineRule="auto"/>
      <w:ind w:firstLine="200" w:firstLineChars="200"/>
      <w:jc w:val="both"/>
    </w:pPr>
    <w:rPr>
      <w:rFonts w:hAnsi="等线"/>
      <w:b/>
      <w:kern w:val="2"/>
    </w:rPr>
  </w:style>
  <w:style w:type="character" w:customStyle="1" w:styleId="101">
    <w:name w:val="21bc9c4b-6a32-43e5-beaa-fd2d792c5735 字符"/>
    <w:link w:val="102"/>
    <w:qFormat/>
    <w:uiPriority w:val="0"/>
    <w:rPr>
      <w:rFonts w:ascii="微软雅黑" w:hAnsi="微软雅黑" w:eastAsia="微软雅黑" w:cs="宋体"/>
      <w:b/>
      <w:bCs/>
      <w:color w:val="000000"/>
      <w:kern w:val="44"/>
      <w:sz w:val="32"/>
      <w:szCs w:val="32"/>
    </w:rPr>
  </w:style>
  <w:style w:type="paragraph" w:customStyle="1" w:styleId="102">
    <w:name w:val="21bc9c4b-6a32-43e5-beaa-fd2d792c5735"/>
    <w:basedOn w:val="2"/>
    <w:next w:val="1"/>
    <w:link w:val="101"/>
    <w:qFormat/>
    <w:uiPriority w:val="0"/>
    <w:pPr>
      <w:adjustRightInd w:val="0"/>
      <w:spacing w:before="0" w:after="0" w:line="288" w:lineRule="auto"/>
      <w:ind w:left="0" w:firstLine="0"/>
      <w:jc w:val="left"/>
    </w:pPr>
    <w:rPr>
      <w:rFonts w:ascii="微软雅黑" w:hAnsi="微软雅黑" w:eastAsia="微软雅黑" w:cs="宋体"/>
      <w:sz w:val="32"/>
      <w:szCs w:val="32"/>
    </w:rPr>
  </w:style>
  <w:style w:type="character" w:customStyle="1" w:styleId="103">
    <w:name w:val="cf01"/>
    <w:qFormat/>
    <w:uiPriority w:val="0"/>
    <w:rPr>
      <w:rFonts w:hint="eastAsia" w:ascii="Microsoft YaHei UI" w:hAnsi="Microsoft YaHei UI" w:eastAsia="Microsoft YaHei UI"/>
      <w:sz w:val="18"/>
      <w:szCs w:val="18"/>
    </w:rPr>
  </w:style>
  <w:style w:type="character" w:customStyle="1" w:styleId="104">
    <w:name w:val="表格 Char"/>
    <w:link w:val="51"/>
    <w:qFormat/>
    <w:locked/>
    <w:uiPriority w:val="0"/>
    <w:rPr>
      <w:rFonts w:ascii="宋体" w:hAnsi="宋体" w:cs="宋体"/>
      <w:szCs w:val="21"/>
    </w:rPr>
  </w:style>
  <w:style w:type="character" w:customStyle="1" w:styleId="105">
    <w:name w:val="普通(网站) Char"/>
    <w:qFormat/>
    <w:locked/>
    <w:uiPriority w:val="0"/>
    <w:rPr>
      <w:rFonts w:ascii="宋体" w:hAnsi="宋体" w:eastAsia="宋体"/>
      <w:sz w:val="24"/>
    </w:rPr>
  </w:style>
  <w:style w:type="character" w:customStyle="1" w:styleId="106">
    <w:name w:val="批注文字 字符1"/>
    <w:semiHidden/>
    <w:qFormat/>
    <w:uiPriority w:val="0"/>
    <w:rPr>
      <w:rFonts w:ascii="Times New Roman" w:hAnsi="Times New Roman" w:eastAsia="宋体" w:cs="Times New Roman"/>
      <w:sz w:val="24"/>
      <w:szCs w:val="24"/>
    </w:rPr>
  </w:style>
  <w:style w:type="character" w:customStyle="1" w:styleId="107">
    <w:name w:val="font61"/>
    <w:qFormat/>
    <w:uiPriority w:val="0"/>
    <w:rPr>
      <w:rFonts w:hint="eastAsia" w:ascii="宋体" w:hAnsi="宋体" w:eastAsia="宋体" w:cs="宋体"/>
      <w:color w:val="auto"/>
      <w:sz w:val="20"/>
      <w:szCs w:val="20"/>
      <w:u w:val="none"/>
    </w:rPr>
  </w:style>
  <w:style w:type="paragraph" w:customStyle="1" w:styleId="108">
    <w:name w:val="新地勘正文 Char Char"/>
    <w:qFormat/>
    <w:uiPriority w:val="99"/>
    <w:pPr>
      <w:snapToGrid w:val="0"/>
      <w:spacing w:line="480" w:lineRule="atLeast"/>
      <w:ind w:firstLine="480" w:firstLineChars="200"/>
    </w:pPr>
    <w:rPr>
      <w:rFonts w:ascii="Calibri" w:hAnsi="Calibri" w:eastAsia="宋体" w:cs="Calibri"/>
      <w:sz w:val="24"/>
      <w:szCs w:val="24"/>
      <w:lang w:val="en-US" w:eastAsia="zh-CN" w:bidi="ar-SA"/>
    </w:rPr>
  </w:style>
  <w:style w:type="paragraph" w:styleId="109">
    <w:name w:val="List Paragraph"/>
    <w:qFormat/>
    <w:uiPriority w:val="99"/>
    <w:pPr>
      <w:widowControl w:val="0"/>
      <w:ind w:firstLine="420" w:firstLineChars="200"/>
      <w:jc w:val="both"/>
    </w:pPr>
    <w:rPr>
      <w:rFonts w:ascii="Calibri" w:hAnsi="Calibri" w:eastAsia="宋体" w:cs="Calibri"/>
      <w:kern w:val="2"/>
      <w:sz w:val="21"/>
      <w:szCs w:val="22"/>
      <w:lang w:val="en-US" w:eastAsia="zh-CN" w:bidi="ar-SA"/>
    </w:rPr>
  </w:style>
  <w:style w:type="paragraph" w:customStyle="1" w:styleId="110">
    <w:name w:val="列表段落2"/>
    <w:basedOn w:val="1"/>
    <w:qFormat/>
    <w:uiPriority w:val="1"/>
    <w:pPr>
      <w:widowControl w:val="0"/>
      <w:ind w:left="400" w:hanging="705"/>
      <w:jc w:val="both"/>
    </w:pPr>
    <w:rPr>
      <w:kern w:val="2"/>
      <w:sz w:val="21"/>
      <w:lang w:val="zh-CN" w:bidi="zh-CN"/>
    </w:rPr>
  </w:style>
  <w:style w:type="paragraph" w:customStyle="1" w:styleId="111">
    <w:name w:val="pf0"/>
    <w:basedOn w:val="1"/>
    <w:qFormat/>
    <w:uiPriority w:val="0"/>
    <w:pPr>
      <w:spacing w:before="100" w:beforeAutospacing="1" w:after="100" w:afterAutospacing="1"/>
    </w:pPr>
  </w:style>
  <w:style w:type="paragraph" w:customStyle="1" w:styleId="112">
    <w:name w:val="普通(网站)2"/>
    <w:basedOn w:val="1"/>
    <w:qFormat/>
    <w:uiPriority w:val="0"/>
    <w:pPr>
      <w:spacing w:before="100" w:beforeAutospacing="1" w:after="100" w:afterAutospacing="1" w:line="360" w:lineRule="auto"/>
    </w:pPr>
    <w:rPr>
      <w:rFonts w:cs="Times New Roman"/>
      <w:kern w:val="2"/>
      <w:szCs w:val="20"/>
    </w:rPr>
  </w:style>
  <w:style w:type="paragraph" w:customStyle="1" w:styleId="113">
    <w:name w:val="修订1"/>
    <w:unhideWhenUsed/>
    <w:qFormat/>
    <w:uiPriority w:val="99"/>
    <w:rPr>
      <w:rFonts w:ascii="宋体" w:hAnsi="Times New Roman" w:eastAsia="宋体" w:cs="Times New Roman"/>
      <w:kern w:val="2"/>
      <w:sz w:val="24"/>
      <w:szCs w:val="24"/>
      <w:lang w:val="en-US" w:eastAsia="zh-CN" w:bidi="ar-SA"/>
    </w:rPr>
  </w:style>
  <w:style w:type="character" w:customStyle="1" w:styleId="114">
    <w:name w:val="fontstyle01"/>
    <w:basedOn w:val="30"/>
    <w:qFormat/>
    <w:uiPriority w:val="0"/>
    <w:rPr>
      <w:rFonts w:hint="eastAsia" w:ascii="宋体" w:hAnsi="宋体" w:eastAsia="宋体"/>
      <w:color w:val="000000"/>
      <w:sz w:val="24"/>
      <w:szCs w:val="24"/>
    </w:rPr>
  </w:style>
  <w:style w:type="table" w:customStyle="1" w:styleId="115">
    <w:name w:val="网格型11"/>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116">
    <w:name w:val="xl65"/>
    <w:basedOn w:val="1"/>
    <w:qFormat/>
    <w:uiPriority w:val="0"/>
    <w:pPr>
      <w:pBdr>
        <w:top w:val="single" w:color="auto" w:sz="8" w:space="0"/>
        <w:bottom w:val="single" w:color="auto" w:sz="8" w:space="0"/>
      </w:pBdr>
      <w:spacing w:before="100" w:beforeAutospacing="1" w:after="100" w:afterAutospacing="1"/>
      <w:jc w:val="center"/>
    </w:pPr>
  </w:style>
  <w:style w:type="character" w:customStyle="1" w:styleId="117">
    <w:name w:val="页脚 字符1"/>
    <w:qFormat/>
    <w:locked/>
    <w:uiPriority w:val="99"/>
    <w:rPr>
      <w:sz w:val="18"/>
    </w:rPr>
  </w:style>
  <w:style w:type="paragraph" w:customStyle="1" w:styleId="118">
    <w:name w:val="正文新"/>
    <w:basedOn w:val="1"/>
    <w:unhideWhenUsed/>
    <w:qFormat/>
    <w:uiPriority w:val="0"/>
    <w:pPr>
      <w:spacing w:beforeLines="0" w:afterLines="0" w:line="460" w:lineRule="exact"/>
      <w:ind w:firstLine="480" w:firstLineChars="200"/>
    </w:pPr>
    <w:rPr>
      <w:rFonts w:hint="default" w:ascii="Times New Roman" w:hAnsi="Times New Roman" w:eastAsia="宋体" w:cs="Times New Roman"/>
      <w:sz w:val="24"/>
      <w:szCs w:val="24"/>
      <w:lang w:bidi="ar"/>
    </w:rPr>
  </w:style>
  <w:style w:type="character" w:customStyle="1" w:styleId="119">
    <w:name w:val="10"/>
    <w:basedOn w:val="30"/>
    <w:qFormat/>
    <w:uiPriority w:val="0"/>
    <w:rPr>
      <w:rFonts w:hint="default" w:ascii="Times New Roman" w:hAnsi="Times New Roman" w:cs="Times New Roman"/>
    </w:rPr>
  </w:style>
  <w:style w:type="character" w:customStyle="1" w:styleId="120">
    <w:name w:val="15"/>
    <w:basedOn w:val="30"/>
    <w:qFormat/>
    <w:uiPriority w:val="0"/>
    <w:rPr>
      <w:rFonts w:hint="eastAsia" w:ascii="宋体" w:hAnsi="宋体" w:eastAsia="宋体" w:cs="宋体"/>
      <w:color w:val="000000"/>
      <w:sz w:val="21"/>
      <w:szCs w:val="21"/>
    </w:rPr>
  </w:style>
  <w:style w:type="paragraph" w:customStyle="1" w:styleId="121">
    <w:name w:val="WPSOffice手动目录 1"/>
    <w:qFormat/>
    <w:uiPriority w:val="0"/>
    <w:pPr>
      <w:ind w:leftChars="0"/>
    </w:pPr>
    <w:rPr>
      <w:rFonts w:ascii="Times New Roman" w:hAnsi="Times New Roman" w:eastAsia="宋体" w:cs="Times New Roman"/>
      <w:sz w:val="20"/>
      <w:szCs w:val="20"/>
    </w:rPr>
  </w:style>
  <w:style w:type="paragraph" w:customStyle="1" w:styleId="122">
    <w:name w:val="Table Paragraph"/>
    <w:basedOn w:val="1"/>
    <w:qFormat/>
    <w:uiPriority w:val="1"/>
    <w:rPr>
      <w:rFonts w:ascii="宋体" w:hAnsi="宋体" w:eastAsia="宋体" w:cs="宋体"/>
      <w:lang w:val="zh-CN" w:eastAsia="zh-CN" w:bidi="zh-CN"/>
    </w:rPr>
  </w:style>
  <w:style w:type="paragraph" w:customStyle="1" w:styleId="123">
    <w:name w:val="表格内"/>
    <w:basedOn w:val="124"/>
    <w:qFormat/>
    <w:uiPriority w:val="0"/>
    <w:pPr>
      <w:adjustRightInd w:val="0"/>
      <w:snapToGrid w:val="0"/>
      <w:spacing w:line="360" w:lineRule="exact"/>
      <w:jc w:val="center"/>
    </w:pPr>
    <w:rPr>
      <w:rFonts w:ascii="Times New Roman" w:hAnsi="Times New Roman" w:eastAsia="Times New Roman"/>
      <w:snapToGrid w:val="0"/>
      <w:kern w:val="0"/>
      <w:szCs w:val="21"/>
    </w:rPr>
  </w:style>
  <w:style w:type="paragraph" w:customStyle="1" w:styleId="124">
    <w:name w:val="图段"/>
    <w:basedOn w:val="1"/>
    <w:qFormat/>
    <w:uiPriority w:val="0"/>
    <w:pPr>
      <w:adjustRightInd w:val="0"/>
      <w:snapToGrid w:val="0"/>
      <w:spacing w:before="50" w:beforeLines="50" w:after="50" w:afterLines="50"/>
      <w:jc w:val="center"/>
    </w:pPr>
    <w:rPr>
      <w:color w:val="000000"/>
      <w:sz w:val="24"/>
    </w:rPr>
  </w:style>
  <w:style w:type="paragraph" w:customStyle="1" w:styleId="125">
    <w:name w:val="Default1"/>
    <w:unhideWhenUsed/>
    <w:qFormat/>
    <w:uiPriority w:val="0"/>
    <w:pPr>
      <w:widowControl w:val="0"/>
      <w:autoSpaceDE w:val="0"/>
      <w:autoSpaceDN w:val="0"/>
      <w:adjustRightInd w:val="0"/>
      <w:spacing w:beforeLines="0" w:afterLines="0"/>
    </w:pPr>
    <w:rPr>
      <w:rFonts w:hint="eastAsia" w:ascii="宋体" w:hAnsi="Times New Roman" w:eastAsia="宋体" w:cs="宋体"/>
      <w:color w:val="000000"/>
      <w:sz w:val="24"/>
      <w:szCs w:val="24"/>
      <w:lang w:val="en-US" w:eastAsia="zh-CN" w:bidi="ar-SA"/>
    </w:rPr>
  </w:style>
  <w:style w:type="paragraph" w:customStyle="1" w:styleId="126">
    <w:name w:val="标题4   改 Char Char Char"/>
    <w:basedOn w:val="1"/>
    <w:qFormat/>
    <w:uiPriority w:val="0"/>
    <w:pPr>
      <w:snapToGrid w:val="0"/>
      <w:spacing w:line="240" w:lineRule="atLeast"/>
      <w:jc w:val="center"/>
    </w:pPr>
    <w:rPr>
      <w:color w:val="000000"/>
    </w:rPr>
  </w:style>
  <w:style w:type="character" w:customStyle="1" w:styleId="127">
    <w:name w:val="font01"/>
    <w:basedOn w:val="30"/>
    <w:qFormat/>
    <w:uiPriority w:val="0"/>
    <w:rPr>
      <w:rFonts w:ascii="Calibri" w:hAnsi="Calibri" w:cs="Calibri"/>
      <w:color w:val="000000"/>
      <w:sz w:val="22"/>
      <w:szCs w:val="22"/>
      <w:u w:val="none"/>
    </w:rPr>
  </w:style>
  <w:style w:type="character" w:customStyle="1" w:styleId="128">
    <w:name w:val="font31"/>
    <w:basedOn w:val="30"/>
    <w:unhideWhenUsed/>
    <w:qFormat/>
    <w:uiPriority w:val="0"/>
    <w:rPr>
      <w:rFonts w:hint="eastAsia" w:ascii="宋体" w:hAnsi="宋体" w:eastAsia="宋体" w:cs="宋体"/>
      <w:color w:val="000000"/>
      <w:sz w:val="17"/>
      <w:szCs w:val="17"/>
    </w:rPr>
  </w:style>
  <w:style w:type="character" w:customStyle="1" w:styleId="129">
    <w:name w:val="font21"/>
    <w:basedOn w:val="30"/>
    <w:qFormat/>
    <w:uiPriority w:val="0"/>
    <w:rPr>
      <w:rFonts w:hint="default" w:ascii="Times New Roman" w:hAnsi="Times New Roman" w:cs="Times New Roman"/>
      <w:color w:val="000000"/>
      <w:sz w:val="21"/>
      <w:szCs w:val="21"/>
      <w:u w:val="none"/>
    </w:rPr>
  </w:style>
  <w:style w:type="character" w:customStyle="1" w:styleId="130">
    <w:name w:val="font11"/>
    <w:basedOn w:val="3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f0c3fb80-cb0a-4c17-85e2-ecf4affc9934</errorID>
      <errorWord>(</errorWord>
      <group>L1_Format</group>
      <groupName>格式问题</groupName>
      <ability>L2_HalfPunc</ability>
      <abilityName>全半角检查</abilityName>
      <candidateList>
        <item>（</item>
      </candidateList>
      <explain>文本全半角错误。</explain>
      <paraID>2E20F019</paraID>
      <start>2</start>
      <end>3</end>
      <status>unmodified</status>
      <modifiedWord/>
      <trackRevisions>false</trackRevisions>
    </reviewItem>
    <reviewItem>
      <errorID>ad90a3f6-3fbf-4f9e-903d-d4c365d18cc7</errorID>
      <errorWord>)</errorWord>
      <group>L1_Format</group>
      <groupName>格式问题</groupName>
      <ability>L2_HalfPunc</ability>
      <abilityName>全半角检查</abilityName>
      <candidateList>
        <item>）</item>
      </candidateList>
      <explain>文本全半角错误。</explain>
      <paraID>2E20F019</paraID>
      <start>5</start>
      <end>6</end>
      <status>unmodified</status>
      <modifiedWord/>
      <trackRevisions>false</trackRevisions>
    </reviewItem>
    <reviewItem>
      <errorID>985860a2-fb18-4af1-977d-9e2fffc14f6b</errorID>
      <errorWord>(</errorWord>
      <group>L1_Format</group>
      <groupName>格式问题</groupName>
      <ability>L2_HalfPunc</ability>
      <abilityName>全半角检查</abilityName>
      <candidateList>
        <item>（</item>
      </candidateList>
      <explain>文本全半角错误。</explain>
      <paraID>2E20F019</paraID>
      <start>8</start>
      <end>9</end>
      <status>unmodified</status>
      <modifiedWord/>
      <trackRevisions>false</trackRevisions>
    </reviewItem>
    <reviewItem>
      <errorID>2fed505e-4271-4722-8290-4519a727ae7b</errorID>
      <errorWord>)</errorWord>
      <group>L1_Format</group>
      <groupName>格式问题</groupName>
      <ability>L2_HalfPunc</ability>
      <abilityName>全半角检查</abilityName>
      <candidateList>
        <item>）</item>
      </candidateList>
      <explain>文本全半角错误。</explain>
      <paraID>2E20F019</paraID>
      <start>12</start>
      <end>13</end>
      <status>unmodified</status>
      <modifiedWord/>
      <trackRevisions>false</trackRevisions>
    </reviewItem>
    <reviewItem>
      <errorID>6057a240-6703-495c-af1c-921c9e42f9a0</errorID>
      <errorWord>(</errorWord>
      <group>L1_Format</group>
      <groupName>格式问题</groupName>
      <ability>L2_HalfPunc</ability>
      <abilityName>全半角检查</abilityName>
      <candidateList>
        <item>（</item>
      </candidateList>
      <explain>文本全半角错误。</explain>
      <paraID>2E20F019</paraID>
      <start>16</start>
      <end>17</end>
      <status>unmodified</status>
      <modifiedWord/>
      <trackRevisions>false</trackRevisions>
    </reviewItem>
    <reviewItem>
      <errorID>ac056907-f562-483f-a66b-50a9d28cdd26</errorID>
      <errorWord>)</errorWord>
      <group>L1_Format</group>
      <groupName>格式问题</groupName>
      <ability>L2_HalfPunc</ability>
      <abilityName>全半角检查</abilityName>
      <candidateList>
        <item>）</item>
      </candidateList>
      <explain>文本全半角错误。</explain>
      <paraID>2E20F019</paraID>
      <start>19</start>
      <end>20</end>
      <status>unmodified</status>
      <modifiedWord/>
      <trackRevisions>false</trackRevisions>
    </reviewItem>
    <reviewItem>
      <errorID>0d283249-043f-48ed-a511-2feab993bff3</errorID>
      <errorWord>(</errorWord>
      <group>L1_Format</group>
      <groupName>格式问题</groupName>
      <ability>L2_HalfPunc</ability>
      <abilityName>全半角检查</abilityName>
      <candidateList>
        <item>（</item>
      </candidateList>
      <explain>文本全半角错误。</explain>
      <paraID> 254936A</paraID>
      <start>3</start>
      <end>4</end>
      <status>unmodified</status>
      <modifiedWord/>
      <trackRevisions>false</trackRevisions>
    </reviewItem>
    <reviewItem>
      <errorID>d30288af-c12d-4ef0-8c8d-986111390cee</errorID>
      <errorWord>)</errorWord>
      <group>L1_Format</group>
      <groupName>格式问题</groupName>
      <ability>L2_HalfPunc</ability>
      <abilityName>全半角检查</abilityName>
      <candidateList>
        <item>）</item>
      </candidateList>
      <explain>文本全半角错误。</explain>
      <paraID> 254936A</paraID>
      <start>6</start>
      <end>7</end>
      <status>unmodified</status>
      <modifiedWord/>
      <trackRevisions>false</trackRevisions>
    </reviewItem>
    <reviewItem>
      <errorID>9d1698f6-b723-4b4e-8b77-81e4d47abbec</errorID>
      <errorWord>(</errorWord>
      <group>L1_Format</group>
      <groupName>格式问题</groupName>
      <ability>L2_HalfPunc</ability>
      <abilityName>全半角检查</abilityName>
      <candidateList>
        <item>（</item>
      </candidateList>
      <explain>文本全半角错误。</explain>
      <paraID>6CC2FD06</paraID>
      <start>4</start>
      <end>5</end>
      <status>unmodified</status>
      <modifiedWord/>
      <trackRevisions>false</trackRevisions>
    </reviewItem>
    <reviewItem>
      <errorID>f94f4365-1ad8-4490-b4c4-eb28380fadf3</errorID>
      <errorWord>)</errorWord>
      <group>L1_Format</group>
      <groupName>格式问题</groupName>
      <ability>L2_HalfPunc</ability>
      <abilityName>全半角检查</abilityName>
      <candidateList>
        <item>）</item>
      </candidateList>
      <explain>文本全半角错误。</explain>
      <paraID>6CC2FD06</paraID>
      <start>10</start>
      <end>11</end>
      <status>unmodified</status>
      <modifiedWord/>
      <trackRevisions>false</trackRevisions>
    </reviewItem>
    <reviewItem>
      <errorID>f9856fe5-ddc4-4f58-b955-a3ae166b5342</errorID>
      <errorWord>(</errorWord>
      <group>L1_Format</group>
      <groupName>格式问题</groupName>
      <ability>L2_HalfPunc</ability>
      <abilityName>全半角检查</abilityName>
      <candidateList>
        <item>（</item>
      </candidateList>
      <explain>文本全半角错误。</explain>
      <paraID>6CC2FD06</paraID>
      <start>13</start>
      <end>14</end>
      <status>unmodified</status>
      <modifiedWord/>
      <trackRevisions>false</trackRevisions>
    </reviewItem>
    <reviewItem>
      <errorID>315be8b4-d514-4d18-ab6a-17a9eecaf7c4</errorID>
      <errorWord>)</errorWord>
      <group>L1_Format</group>
      <groupName>格式问题</groupName>
      <ability>L2_HalfPunc</ability>
      <abilityName>全半角检查</abilityName>
      <candidateList>
        <item>）</item>
      </candidateList>
      <explain>文本全半角错误。</explain>
      <paraID>6CC2FD06</paraID>
      <start>16</start>
      <end>17</end>
      <status>unmodified</status>
      <modifiedWord/>
      <trackRevisions>false</trackRevisions>
    </reviewItem>
    <reviewItem>
      <errorID>315da5b7-7e93-48e2-ba36-71c2ba54c71a</errorID>
      <errorWord>(</errorWord>
      <group>L1_Format</group>
      <groupName>格式问题</groupName>
      <ability>L2_HalfPunc</ability>
      <abilityName>全半角检查</abilityName>
      <candidateList>
        <item>（</item>
      </candidateList>
      <explain>文本全半角错误。</explain>
      <paraID>1BD5C753</paraID>
      <start>4</start>
      <end>5</end>
      <status>unmodified</status>
      <modifiedWord/>
      <trackRevisions>false</trackRevisions>
    </reviewItem>
    <reviewItem>
      <errorID>1a84bed6-3c1b-4540-ab36-e27d7407d116</errorID>
      <errorWord>)</errorWord>
      <group>L1_Format</group>
      <groupName>格式问题</groupName>
      <ability>L2_HalfPunc</ability>
      <abilityName>全半角检查</abilityName>
      <candidateList>
        <item>）</item>
      </candidateList>
      <explain>文本全半角错误。</explain>
      <paraID>16897D47</paraID>
      <start>2</start>
      <end>3</end>
      <status>unmodified</status>
      <modifiedWord/>
      <trackRevisions>false</trackRevisions>
    </reviewItem>
    <reviewItem>
      <errorID>d1e4a500-153d-4c3d-912a-d032f08e2b13</errorID>
      <errorWord>(</errorWord>
      <group>L1_Format</group>
      <groupName>格式问题</groupName>
      <ability>L2_HalfPunc</ability>
      <abilityName>全半角检查</abilityName>
      <candidateList>
        <item>（</item>
      </candidateList>
      <explain>文本全半角错误。</explain>
      <paraID>16897D47</paraID>
      <start>5</start>
      <end>6</end>
      <status>unmodified</status>
      <modifiedWord/>
      <trackRevisions>false</trackRevisions>
    </reviewItem>
    <reviewItem>
      <errorID>8f296ee6-7a8e-41b9-9abc-c430096a943d</errorID>
      <errorWord>)</errorWord>
      <group>L1_Format</group>
      <groupName>格式问题</groupName>
      <ability>L2_HalfPunc</ability>
      <abilityName>全半角检查</abilityName>
      <candidateList>
        <item>）</item>
      </candidateList>
      <explain>文本全半角错误。</explain>
      <paraID>16897D47</paraID>
      <start>8</start>
      <end>9</end>
      <status>unmodified</status>
      <modifiedWord/>
      <trackRevisions>false</trackRevisions>
    </reviewItem>
    <reviewItem>
      <errorID>6f2296c8-ed69-4ac1-989f-61ca3a39ef52</errorID>
      <errorWord>(</errorWord>
      <group>L1_Format</group>
      <groupName>格式问题</groupName>
      <ability>L2_HalfPunc</ability>
      <abilityName>全半角检查</abilityName>
      <candidateList>
        <item>（</item>
      </candidateList>
      <explain>文本全半角错误。</explain>
      <paraID>72ED4EE8</paraID>
      <start>3</start>
      <end>4</end>
      <status>unmodified</status>
      <modifiedWord/>
      <trackRevisions>false</trackRevisions>
    </reviewItem>
    <reviewItem>
      <errorID>32de00d3-fc9b-4d72-a598-a1524d062df0</errorID>
      <errorWord>)</errorWord>
      <group>L1_Format</group>
      <groupName>格式问题</groupName>
      <ability>L2_HalfPunc</ability>
      <abilityName>全半角检查</abilityName>
      <candidateList>
        <item>）</item>
      </candidateList>
      <explain>文本全半角错误。</explain>
      <paraID>72ED4EE8</paraID>
      <start>6</start>
      <end>7</end>
      <status>unmodified</status>
      <modifiedWord/>
      <trackRevisions>false</trackRevisions>
    </reviewItem>
    <reviewItem>
      <errorID>6d607b3b-04df-4f7f-9d09-e4cebac66abf</errorID>
      <errorWord>(</errorWord>
      <group>L1_Format</group>
      <groupName>格式问题</groupName>
      <ability>L2_HalfPunc</ability>
      <abilityName>全半角检查</abilityName>
      <candidateList>
        <item>（</item>
      </candidateList>
      <explain>文本全半角错误。</explain>
      <paraID>59505B66</paraID>
      <start>4</start>
      <end>5</end>
      <status>unmodified</status>
      <modifiedWord/>
      <trackRevisions>false</trackRevisions>
    </reviewItem>
    <reviewItem>
      <errorID>c12ce079-67e7-4238-852f-f9da4a859910</errorID>
      <errorWord>)</errorWord>
      <group>L1_Format</group>
      <groupName>格式问题</groupName>
      <ability>L2_HalfPunc</ability>
      <abilityName>全半角检查</abilityName>
      <candidateList>
        <item>）</item>
      </candidateList>
      <explain>文本全半角错误。</explain>
      <paraID>59505B66</paraID>
      <start>7</start>
      <end>8</end>
      <status>unmodified</status>
      <modifiedWord/>
      <trackRevisions>false</trackRevisions>
    </reviewItem>
    <reviewItem>
      <errorID>af88e0fa-1280-4883-8867-ec50f6bfc2dd</errorID>
      <errorWord>(</errorWord>
      <group>L1_Format</group>
      <groupName>格式问题</groupName>
      <ability>L2_HalfPunc</ability>
      <abilityName>全半角检查</abilityName>
      <candidateList>
        <item>（</item>
      </candidateList>
      <explain>文本全半角错误。</explain>
      <paraID>507775CA</paraID>
      <start>6</start>
      <end>7</end>
      <status>unmodified</status>
      <modifiedWord/>
      <trackRevisions>false</trackRevisions>
    </reviewItem>
    <reviewItem>
      <errorID>b1f04fc9-1d63-4411-b3e9-46c260e9fbf8</errorID>
      <errorWord>)</errorWord>
      <group>L1_Format</group>
      <groupName>格式问题</groupName>
      <ability>L2_HalfPunc</ability>
      <abilityName>全半角检查</abilityName>
      <candidateList>
        <item>）</item>
      </candidateList>
      <explain>文本全半角错误。</explain>
      <paraID>507775CA</paraID>
      <start>8</start>
      <end>9</end>
      <status>unmodified</status>
      <modifiedWord/>
      <trackRevisions>false</trackRevisions>
    </reviewItem>
    <reviewItem>
      <errorID>8247940a-9f57-4ddb-a234-178ecaed6a15</errorID>
      <errorWord>(</errorWord>
      <group>L1_Format</group>
      <groupName>格式问题</groupName>
      <ability>L2_HalfPunc</ability>
      <abilityName>全半角检查</abilityName>
      <candidateList>
        <item>（</item>
      </candidateList>
      <explain>文本全半角错误。</explain>
      <paraID>732BC490</paraID>
      <start>18</start>
      <end>19</end>
      <status>unmodified</status>
      <modifiedWord/>
      <trackRevisions>false</trackRevisions>
    </reviewItem>
    <reviewItem>
      <errorID>22f8c99e-d9b7-4e76-befd-6fc917ab6b5d</errorID>
      <errorWord>)</errorWord>
      <group>L1_Format</group>
      <groupName>格式问题</groupName>
      <ability>L2_HalfPunc</ability>
      <abilityName>全半角检查</abilityName>
      <candidateList>
        <item>）</item>
      </candidateList>
      <explain>文本全半角错误。</explain>
      <paraID>732BC490</paraID>
      <start>28</start>
      <end>29</end>
      <status>unmodified</status>
      <modifiedWord/>
      <trackRevisions>false</trackRevisions>
    </reviewItem>
    <reviewItem>
      <errorID>0a93620c-ccfd-4a17-b9e5-d249fcfc765f</errorID>
      <errorWord>(</errorWord>
      <group>L1_Format</group>
      <groupName>格式问题</groupName>
      <ability>L2_HalfPunc</ability>
      <abilityName>全半角检查</abilityName>
      <candidateList>
        <item>（</item>
      </candidateList>
      <explain>文本全半角错误。</explain>
      <paraID>4DEAC715</paraID>
      <start>13</start>
      <end>14</end>
      <status>unmodified</status>
      <modifiedWord/>
      <trackRevisions>false</trackRevisions>
    </reviewItem>
    <reviewItem>
      <errorID>15329bd8-942a-4747-9656-98383303b06c</errorID>
      <errorWord>)</errorWord>
      <group>L1_Format</group>
      <groupName>格式问题</groupName>
      <ability>L2_HalfPunc</ability>
      <abilityName>全半角检查</abilityName>
      <candidateList>
        <item>）</item>
      </candidateList>
      <explain>文本全半角错误。</explain>
      <paraID>4DEAC715</paraID>
      <start>20</start>
      <end>21</end>
      <status>unmodified</status>
      <modifiedWord/>
      <trackRevisions>false</trackRevisions>
    </reviewItem>
    <reviewItem>
      <errorID>53164df8-6e06-4a93-854f-e39289107314</errorID>
      <errorWord>(</errorWord>
      <group>L1_Format</group>
      <groupName>格式问题</groupName>
      <ability>L2_HalfPunc</ability>
      <abilityName>全半角检查</abilityName>
      <candidateList>
        <item>（</item>
      </candidateList>
      <explain>文本全半角错误。</explain>
      <paraID>5020BDBF</paraID>
      <start>34</start>
      <end>35</end>
      <status>unmodified</status>
      <modifiedWord/>
      <trackRevisions>false</trackRevisions>
    </reviewItem>
    <reviewItem>
      <errorID>bf9955bf-2dd8-4e1a-b794-fc9b69111140</errorID>
      <errorWord>)</errorWord>
      <group>L1_Format</group>
      <groupName>格式问题</groupName>
      <ability>L2_HalfPunc</ability>
      <abilityName>全半角检查</abilityName>
      <candidateList>
        <item>）</item>
      </candidateList>
      <explain>文本全半角错误。</explain>
      <paraID>5020BDBF</paraID>
      <start>50</start>
      <end>51</end>
      <status>unmodified</status>
      <modifiedWord/>
      <trackRevisions>false</trackRevisions>
    </reviewItem>
    <reviewItem>
      <errorID>478cc22a-22bf-4a84-ab7a-2406ae043c90</errorID>
      <errorWord>(</errorWord>
      <group>L1_Format</group>
      <groupName>格式问题</groupName>
      <ability>L2_HalfPunc</ability>
      <abilityName>全半角检查</abilityName>
      <candidateList>
        <item>（</item>
      </candidateList>
      <explain>文本全半角错误。</explain>
      <paraID> F8D5D1A</paraID>
      <start>54</start>
      <end>55</end>
      <status>unmodified</status>
      <modifiedWord/>
      <trackRevisions>false</trackRevisions>
    </reviewItem>
    <reviewItem>
      <errorID>64fb1326-38ce-4b1b-b705-211b85c2dec9</errorID>
      <errorWord>)</errorWord>
      <group>L1_Format</group>
      <groupName>格式问题</groupName>
      <ability>L2_HalfPunc</ability>
      <abilityName>全半角检查</abilityName>
      <candidateList>
        <item>）</item>
      </candidateList>
      <explain>文本全半角错误。</explain>
      <paraID> F8D5D1A</paraID>
      <start>71</start>
      <end>72</end>
      <status>unmodified</status>
      <modifiedWord/>
      <trackRevisions>false</trackRevisions>
    </reviewItem>
    <reviewItem>
      <errorID>9662893c-bf88-49f1-98c7-b6650f907a3f</errorID>
      <errorWord>(</errorWord>
      <group>L1_Format</group>
      <groupName>格式问题</groupName>
      <ability>L2_HalfPunc</ability>
      <abilityName>全半角检查</abilityName>
      <candidateList>
        <item>（</item>
      </candidateList>
      <explain>文本全半角错误。</explain>
      <paraID>196C8196</paraID>
      <start>33</start>
      <end>34</end>
      <status>unmodified</status>
      <modifiedWord/>
      <trackRevisions>false</trackRevisions>
    </reviewItem>
    <reviewItem>
      <errorID>87874e46-c765-4149-9764-83378fabbbda</errorID>
      <errorWord>)</errorWord>
      <group>L1_Format</group>
      <groupName>格式问题</groupName>
      <ability>L2_HalfPunc</ability>
      <abilityName>全半角检查</abilityName>
      <candidateList>
        <item>）</item>
      </candidateList>
      <explain>文本全半角错误。</explain>
      <paraID>196C8196</paraID>
      <start>40</start>
      <end>41</end>
      <status>unmodified</status>
      <modifiedWord/>
      <trackRevisions>false</trackRevisions>
    </reviewItem>
    <reviewItem>
      <errorID>2956e0fc-aaba-4d77-bc07-7d6be58f0b70</errorID>
      <errorWord>(</errorWord>
      <group>L1_Format</group>
      <groupName>格式问题</groupName>
      <ability>L2_HalfPunc</ability>
      <abilityName>全半角检查</abilityName>
      <candidateList>
        <item>（</item>
      </candidateList>
      <explain>文本全半角错误。</explain>
      <paraID>196C8196</paraID>
      <start>62</start>
      <end>63</end>
      <status>unmodified</status>
      <modifiedWord/>
      <trackRevisions>false</trackRevisions>
    </reviewItem>
    <reviewItem>
      <errorID>54f9648c-4904-4889-af98-e5e8474a3a86</errorID>
      <errorWord>)</errorWord>
      <group>L1_Format</group>
      <groupName>格式问题</groupName>
      <ability>L2_HalfPunc</ability>
      <abilityName>全半角检查</abilityName>
      <candidateList>
        <item>）</item>
      </candidateList>
      <explain>文本全半角错误。</explain>
      <paraID>196C8196</paraID>
      <start>69</start>
      <end>70</end>
      <status>unmodified</status>
      <modifiedWord/>
      <trackRevisions>false</trackRevisions>
    </reviewItem>
    <reviewItem>
      <errorID>ce121fa7-f5e4-4311-9d26-5860bd220150</errorID>
      <errorWord>(</errorWord>
      <group>L1_Format</group>
      <groupName>格式问题</groupName>
      <ability>L2_HalfPunc</ability>
      <abilityName>全半角检查</abilityName>
      <candidateList>
        <item>（</item>
      </candidateList>
      <explain>文本全半角错误。</explain>
      <paraID>35C4FB52</paraID>
      <start>13</start>
      <end>14</end>
      <status>unmodified</status>
      <modifiedWord/>
      <trackRevisions>false</trackRevisions>
    </reviewItem>
    <reviewItem>
      <errorID>2388dceb-ba7a-452f-a48c-d17e3dd3c133</errorID>
      <errorWord>)</errorWord>
      <group>L1_Format</group>
      <groupName>格式问题</groupName>
      <ability>L2_HalfPunc</ability>
      <abilityName>全半角检查</abilityName>
      <candidateList>
        <item>）</item>
      </candidateList>
      <explain>文本全半角错误。</explain>
      <paraID>35C4FB52</paraID>
      <start>20</start>
      <end>21</end>
      <status>unmodified</status>
      <modifiedWord/>
      <trackRevisions>false</trackRevisions>
    </reviewItem>
    <reviewItem>
      <errorID>5f522095-8390-4f90-a9c3-6e0dc47e29d2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578495B7</paraID>
      <start>0</start>
      <end>2</end>
      <status>unmodified</status>
      <modifiedWord/>
      <trackRevisions>false</trackRevisions>
    </reviewItem>
    <reviewItem>
      <errorID>0471d8e6-f175-4096-9d36-0f89ad6e0f86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17DE80F1</paraID>
      <start>0</start>
      <end>2</end>
      <status>unmodified</status>
      <modifiedWord/>
      <trackRevisions>false</trackRevisions>
    </reviewItem>
    <reviewItem>
      <errorID>701e3b1c-49ce-4bd0-aa3f-3e81e9bf3d87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442CA0BC</paraID>
      <start>0</start>
      <end>2</end>
      <status>unmodified</status>
      <modifiedWord/>
      <trackRevisions>false</trackRevisions>
    </reviewItem>
    <reviewItem>
      <errorID>d60a1935-166b-47f7-832b-4abf108388ca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4AF2EB63</paraID>
      <start>0</start>
      <end>2</end>
      <status>unmodified</status>
      <modifiedWord/>
      <trackRevisions>false</trackRevisions>
    </reviewItem>
    <reviewItem>
      <errorID>35c0907b-dc1f-40f0-a2d4-9615c17796e0</errorID>
      <errorWord>(</errorWord>
      <group>L1_Format</group>
      <groupName>格式问题</groupName>
      <ability>L2_HalfPunc</ability>
      <abilityName>全半角检查</abilityName>
      <candidateList>
        <item>（</item>
      </candidateList>
      <explain>文本全半角错误。</explain>
      <paraID>4BCBAA46</paraID>
      <start>21</start>
      <end>22</end>
      <status>unmodified</status>
      <modifiedWord/>
      <trackRevisions>false</trackRevisions>
    </reviewItem>
    <reviewItem>
      <errorID>71f4863d-d304-4499-bdb2-d734d08227c2</errorID>
      <errorWord>)</errorWord>
      <group>L1_Format</group>
      <groupName>格式问题</groupName>
      <ability>L2_HalfPunc</ability>
      <abilityName>全半角检查</abilityName>
      <candidateList>
        <item>）</item>
      </candidateList>
      <explain>文本全半角错误。</explain>
      <paraID>4BCBAA46</paraID>
      <start>33</start>
      <end>34</end>
      <status>unmodified</status>
      <modifiedWord/>
      <trackRevisions>false</trackRevisions>
    </reviewItem>
    <reviewItem>
      <errorID>48a26d2d-8f1e-4744-8559-50fdaa20ba9d</errorID>
      <errorWord>减</errorWord>
      <group>L1_Word</group>
      <groupName>字词问题</groupName>
      <ability>L2_Typo</ability>
      <abilityName>字词错误</abilityName>
      <candidateList>
        <item>减少</item>
      </candidateList>
      <explain>〈动〉减去一部分：～人员｜～麻烦｜工作中的缺点～了。</explain>
      <paraID>69877B10</paraID>
      <start>45</start>
      <end>46</end>
      <status>unmodified</status>
      <modifiedWord/>
      <trackRevisions>false</trackRevisions>
    </reviewItem>
    <reviewItem>
      <errorID>60c9022a-91c1-444a-9c7d-047ef6aa2db4</errorID>
      <errorWord>生态文明制度改革</errorWord>
      <group>L1_Political</group>
      <groupName>政治性问题</groupName>
      <ability>L2_Keyword</ability>
      <abilityName>固定表述</abilityName>
      <candidateList>
        <item>生态文明体制改革</item>
      </candidateList>
      <explain>词汇“生态文明体制改革”在特定场景下为固定表述形式，请确认此处的“生态文明制度改革”是否存在不当。</explain>
      <paraID> 4FFCBAA</paraID>
      <start>17</start>
      <end>25</end>
      <status>unmodified</status>
      <modifiedWord/>
      <trackRevisions>false</trackRevisions>
    </reviewItem>
    <reviewItem>
      <errorID>68bc0a47-021c-4e87-b56b-4dce3b0fb98e</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323A73F6</paraID>
      <start>9</start>
      <end>12</end>
      <status>unmodified</status>
      <modifiedWord/>
      <trackRevisions>false</trackRevisions>
    </reviewItem>
    <reviewItem>
      <errorID>a20eb7e1-ee75-44ec-854a-8730a2a05c83</errorID>
      <errorWord>“四个革命，一个合作”</errorWord>
      <group>L1_Political</group>
      <groupName>政治性问题</groupName>
      <ability>L2_Keyword</ability>
      <abilityName>固定表述</abilityName>
      <candidateList>
        <item>“四个革命、一个合作”</item>
      </candidateList>
      <explain>注意检查当前固定表述标点是否使用规范。</explain>
      <paraID>7C079941</paraID>
      <start>4</start>
      <end>15</end>
      <status>unmodified</status>
      <modifiedWord/>
      <trackRevisions>false</trackRevisions>
    </reviewItem>
    <reviewItem>
      <errorID>ffe59a5f-d880-4fc1-bd9f-103366bdf7ed</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7C079941</paraID>
      <start>98</start>
      <end>101</end>
      <status>unmodified</status>
      <modifiedWord/>
      <trackRevisions>false</trackRevisions>
    </reviewItem>
    <reviewItem>
      <errorID>c305676d-c094-4516-b798-cd6034c2389a</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77649ED7</paraID>
      <start>6</start>
      <end>9</end>
      <status>unmodified</status>
      <modifiedWord/>
      <trackRevisions>false</trackRevisions>
    </reviewItem>
    <reviewItem>
      <errorID>c64b2fcb-fbfe-4f48-b876-b807636cae16</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5850FDB7</paraID>
      <start>108</start>
      <end>111</end>
      <status>unmodified</status>
      <modifiedWord/>
      <trackRevisions>false</trackRevisions>
    </reviewItem>
    <reviewItem>
      <errorID>f7d6f31f-a1ff-4f1c-a95f-380ce055b79b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28A7019E</paraID>
      <start>23</start>
      <end>24</end>
      <status>unmodified</status>
      <modifiedWord/>
      <trackRevisions>false</trackRevisions>
    </reviewItem>
    <reviewItem>
      <errorID>ac4fcb7a-9039-4b9e-9f3e-7587f49bf05c</errorID>
      <errorWord>(</errorWord>
      <group>L1_Format</group>
      <groupName>格式问题</groupName>
      <ability>L2_HalfPunc</ability>
      <abilityName>全半角检查</abilityName>
      <candidateList>
        <item>（</item>
      </candidateList>
      <explain>文本全半角错误。</explain>
      <paraID>401BB885</paraID>
      <start>38</start>
      <end>39</end>
      <status>unmodified</status>
      <modifiedWord/>
      <trackRevisions>false</trackRevisions>
    </reviewItem>
    <reviewItem>
      <errorID>6edb4d6e-b8fd-4a90-ab70-bacc0ff55edc</errorID>
      <errorWord>)</errorWord>
      <group>L1_Format</group>
      <groupName>格式问题</groupName>
      <ability>L2_HalfPunc</ability>
      <abilityName>全半角检查</abilityName>
      <candidateList>
        <item>）</item>
      </candidateList>
      <explain>文本全半角错误。</explain>
      <paraID>401BB885</paraID>
      <start>43</start>
      <end>44</end>
      <status>unmodified</status>
      <modifiedWord/>
      <trackRevisions>false</trackRevisions>
    </reviewItem>
    <reviewItem>
      <errorID>675ed11a-703c-47e8-b2b5-2d6c7b2c8178</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401BB885</paraID>
      <start>114</start>
      <end>117</end>
      <status>unmodified</status>
      <modifiedWord/>
      <trackRevisions>false</trackRevisions>
    </reviewItem>
    <reviewItem>
      <errorID>de41d49f-9624-4b33-81cc-2b9ceb104676</errorID>
      <errorWord>双碳</errorWord>
      <group>L1_Political</group>
      <groupName>政治性问题</groupName>
      <ability>L2_Keyword</ability>
      <abilityName>固定表述</abilityName>
      <candidateList>
        <item>“双碳”</item>
      </candidateList>
      <explain>注意检查当前固定表述标点是否使用规范。</explain>
      <paraID> 2EDEE5D</paraID>
      <start>113</start>
      <end>115</end>
      <status>unmodified</status>
      <modifiedWord/>
      <trackRevisions>false</trackRevisions>
    </reviewItem>
    <reviewItem>
      <errorID>936f14c5-a99a-4bf0-b2ba-f13db3e2c884</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1AE9E377</paraID>
      <start>199</start>
      <end>202</end>
      <status>unmodified</status>
      <modifiedWord/>
      <trackRevisions>false</trackRevisions>
    </reviewItem>
    <reviewItem>
      <errorID>c0f4a932-76ef-4a1e-856f-6887e7beca25</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 A02CD88</paraID>
      <start>24</start>
      <end>27</end>
      <status>unmodified</status>
      <modifiedWord/>
      <trackRevisions>false</trackRevisions>
    </reviewItem>
    <reviewItem>
      <errorID>c255b086-4903-44a5-ba1d-9914aa3098b2</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454C3E91</paraID>
      <start>3</start>
      <end>6</end>
      <status>unmodified</status>
      <modifiedWord/>
      <trackRevisions>false</trackRevisions>
    </reviewItem>
    <reviewItem>
      <errorID>8d40c214-619a-4e10-9b70-f51a03c85a91</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1105262B</paraID>
      <start>42</start>
      <end>45</end>
      <status>unmodified</status>
      <modifiedWord/>
      <trackRevisions>false</trackRevisions>
    </reviewItem>
    <reviewItem>
      <errorID>74e2c47a-7e99-4a6c-839a-1f3dcbab35c7</errorID>
      <errorWord>员</errorWord>
      <group>L1_Word</group>
      <groupName>字词问题</groupName>
      <ability>L2_Typo</ability>
      <abilityName>字词错误</abilityName>
      <candidateList>
        <item>员将</item>
      </candidateList>
      <explain/>
      <paraID> F6CD117</paraID>
      <start>10</start>
      <end>11</end>
      <status>unmodified</status>
      <modifiedWord/>
      <trackRevisions>false</trackRevisions>
    </reviewItem>
    <reviewItem>
      <errorID>c0a0c936-c137-4296-9b30-0dac99d880fc</errorID>
      <errorWord>侧西</errorWord>
      <group>L1_Word</group>
      <groupName>字词问题</groupName>
      <ability>L2_Typo</ability>
      <abilityName>字词错误</abilityName>
      <candidateList>
        <item>西侧</item>
      </candidateList>
      <explain/>
      <paraID>3E9E573E</paraID>
      <start>86</start>
      <end>88</end>
      <status>unmodified</status>
      <modifiedWord/>
      <trackRevisions>false</trackRevisions>
    </reviewItem>
    <reviewItem>
      <errorID>48cdcb0e-ca89-406c-88dd-b4605cfefd48</errorID>
      <errorWord>间隔约</errorWord>
      <group>L1_Word</group>
      <groupName>字词问题</groupName>
      <ability>L2_Typo</ability>
      <abilityName>字词错误</abilityName>
      <candidateList>
        <item>间隔</item>
      </candidateList>
      <explain/>
      <paraID>2620EF5D</paraID>
      <start>35</start>
      <end>38</end>
      <status>unmodified</status>
      <modifiedWord/>
      <trackRevisions>false</trackRevisions>
    </reviewItem>
    <reviewItem>
      <errorID>584fc326-fc49-44d9-ac67-7ba3dc7c6919</errorID>
      <errorWord>(</errorWord>
      <group>L1_Format</group>
      <groupName>格式问题</groupName>
      <ability>L2_HalfPunc</ability>
      <abilityName>全半角检查</abilityName>
      <candidateList>
        <item>（</item>
      </candidateList>
      <explain>文本全半角错误。</explain>
      <paraID>167AE3B4</paraID>
      <start>90</start>
      <end>91</end>
      <status>unmodified</status>
      <modifiedWord/>
      <trackRevisions>false</trackRevisions>
    </reviewItem>
    <reviewItem>
      <errorID>6869576f-6933-4910-aa17-6d41ac521f17</errorID>
      <errorWord>(</errorWord>
      <group>L1_Format</group>
      <groupName>格式问题</groupName>
      <ability>L2_HalfPunc</ability>
      <abilityName>全半角检查</abilityName>
      <candidateList>
        <item>（</item>
      </candidateList>
      <explain>文本全半角错误。</explain>
      <paraID>167AE3B4</paraID>
      <start>98</start>
      <end>99</end>
      <status>unmodified</status>
      <modifiedWord/>
      <trackRevisions>false</trackRevisions>
    </reviewItem>
    <reviewItem>
      <errorID>aa1ac0a7-f2c8-4523-883b-7d490b24d980</errorID>
      <errorWord>)</errorWord>
      <group>L1_Format</group>
      <groupName>格式问题</groupName>
      <ability>L2_HalfPunc</ability>
      <abilityName>全半角检查</abilityName>
      <candidateList>
        <item>）</item>
      </candidateList>
      <explain>文本全半角错误。</explain>
      <paraID>167AE3B4</paraID>
      <start>104</start>
      <end>105</end>
      <status>unmodified</status>
      <modifiedWord/>
      <trackRevisions>false</trackRevisions>
    </reviewItem>
    <reviewItem>
      <errorID>d7dd1b99-a1b0-45d4-b8cf-c2c7ad9a48c0</errorID>
      <errorWord>(</errorWord>
      <group>L1_Format</group>
      <groupName>格式问题</groupName>
      <ability>L2_HalfPunc</ability>
      <abilityName>全半角检查</abilityName>
      <candidateList>
        <item>（</item>
      </candidateList>
      <explain>文本全半角错误。</explain>
      <paraID>3D7DD6A9</paraID>
      <start>88</start>
      <end>89</end>
      <status>unmodified</status>
      <modifiedWord/>
      <trackRevisions>false</trackRevisions>
    </reviewItem>
    <reviewItem>
      <errorID>a2572031-c903-4fb9-b9ec-2be0b4723fab</errorID>
      <errorWord>)</errorWord>
      <group>L1_Format</group>
      <groupName>格式问题</groupName>
      <ability>L2_HalfPunc</ability>
      <abilityName>全半角检查</abilityName>
      <candidateList>
        <item>）</item>
      </candidateList>
      <explain>文本全半角错误。</explain>
      <paraID>3D7DD6A9</paraID>
      <start>104</start>
      <end>105</end>
      <status>unmodified</status>
      <modifiedWord/>
      <trackRevisions>false</trackRevisions>
    </reviewItem>
    <reviewItem>
      <errorID>837cd3b0-e684-4a11-9b54-20b47f15927c</errorID>
      <errorWord>(</errorWord>
      <group>L1_Format</group>
      <groupName>格式问题</groupName>
      <ability>L2_HalfPunc</ability>
      <abilityName>全半角检查</abilityName>
      <candidateList>
        <item>（</item>
      </candidateList>
      <explain>文本全半角错误。</explain>
      <paraID>3D7DD6A9</paraID>
      <start>112</start>
      <end>113</end>
      <status>unmodified</status>
      <modifiedWord/>
      <trackRevisions>false</trackRevisions>
    </reviewItem>
    <reviewItem>
      <errorID>812f8e12-5e22-4e92-a2e4-07d29f88ab63</errorID>
      <errorWord>)</errorWord>
      <group>L1_Format</group>
      <groupName>格式问题</groupName>
      <ability>L2_HalfPunc</ability>
      <abilityName>全半角检查</abilityName>
      <candidateList>
        <item>）</item>
      </candidateList>
      <explain>文本全半角错误。</explain>
      <paraID>3D7DD6A9</paraID>
      <start>122</start>
      <end>123</end>
      <status>unmodified</status>
      <modifiedWord/>
      <trackRevisions>false</trackRevisions>
    </reviewItem>
    <reviewItem>
      <errorID>7b686107-41a9-469c-bbad-26fb0c4e63d5</errorID>
      <errorWord>城市化地区、农产品主产区和重点生态功能区</errorWord>
      <group>L1_Political</group>
      <groupName>政治性问题</groupName>
      <ability>L2_Keyword</ability>
      <abilityName>固定表述</abilityName>
      <candidateList>
        <item>城市化地区、农产品主产区、重点生态功能区</item>
      </candidateList>
      <explain>词汇“城市化地区、农产品主产区、重点生态功能区”在特定场景下为固定表述形式，请确认此处的“城市化地区、农产品主产区和重点生态功能区”是否存在不当。</explain>
      <paraID>1EE2AF94</paraID>
      <start>60</start>
      <end>80</end>
      <status>unmodified</status>
      <modifiedWord/>
      <trackRevisions>false</trackRevisions>
    </reviewItem>
    <reviewItem>
      <errorID>f7b53fa5-21fd-483c-b92b-280c15694424</errorID>
      <errorWord>28．</errorWord>
      <group>L1_Format</group>
      <groupName>格式问题</groupName>
      <ability>L2_Ordinal</ability>
      <abilityName>序号格式</abilityName>
      <candidateList>
        <item>28.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CB8F56C</paraID>
      <start>0</start>
      <end>3</end>
      <status>unmodified</status>
      <modifiedWord/>
      <trackRevisions>false</trackRevisions>
    </reviewItem>
    <reviewItem>
      <errorID>61bb63de-3e4b-4ab0-86ed-5c696750c909</errorID>
      <errorWord>20～40%</errorWord>
      <group>L1_Knowledge</group>
      <groupName>知识性问题</groupName>
      <ability>L2_Knowledge</ability>
      <abilityName>其他知识</abilityName>
      <candidateList>
        <item>20%～40%</item>
      </candidateList>
      <explain>1. “20～40%”中的单位“%”仅出现在后一个数字上，容易引起歧义；根据《现代汉语标点符号数字用法规范手册》，数字表示范围两边需要使用统一的格式。2. 根据标点国标 4.13 中的规则，数字、时间或地域连接符应使用（视觉上更长的）“—”或“～”。</explain>
      <paraID> CA563A4</paraID>
      <start>43</start>
      <end>49</end>
      <status>unmodified</status>
      <modifiedWord/>
      <trackRevisions>false</trackRevisions>
    </reviewItem>
    <reviewItem>
      <errorID>34d777b8-afad-4332-ae2e-26017d26d4a9</errorID>
      <errorWord>(</errorWord>
      <group>L1_Format</group>
      <groupName>格式问题</groupName>
      <ability>L2_HalfPunc</ability>
      <abilityName>全半角检查</abilityName>
      <candidateList>
        <item>（</item>
      </candidateList>
      <explain>文本全半角错误。</explain>
      <paraID> CA563A4</paraID>
      <start>66</start>
      <end>67</end>
      <status>unmodified</status>
      <modifiedWord/>
      <trackRevisions>false</trackRevisions>
    </reviewItem>
    <reviewItem>
      <errorID>059d8100-add1-424b-8c9e-71cff37216a2</errorID>
      <errorWord>)</errorWord>
      <group>L1_Format</group>
      <groupName>格式问题</groupName>
      <ability>L2_HalfPunc</ability>
      <abilityName>全半角检查</abilityName>
      <candidateList>
        <item>）</item>
      </candidateList>
      <explain>文本全半角错误。</explain>
      <paraID> CA563A4</paraID>
      <start>73</start>
      <end>74</end>
      <status>unmodified</status>
      <modifiedWord/>
      <trackRevisions>false</trackRevisions>
    </reviewItem>
    <reviewItem>
      <errorID>87177bb2-1d1d-48e7-91d5-5ff78534364a</errorID>
      <errorWord>(</errorWord>
      <group>L1_Format</group>
      <groupName>格式问题</groupName>
      <ability>L2_HalfPunc</ability>
      <abilityName>全半角检查</abilityName>
      <candidateList>
        <item>（</item>
      </candidateList>
      <explain>文本全半角错误。</explain>
      <paraID> CA563A4</paraID>
      <start>96</start>
      <end>97</end>
      <status>unmodified</status>
      <modifiedWord/>
      <trackRevisions>false</trackRevisions>
    </reviewItem>
    <reviewItem>
      <errorID>1a51718a-6a96-4553-8f29-a25d12b4b1c4</errorID>
      <errorWord>)</errorWord>
      <group>L1_Format</group>
      <groupName>格式问题</groupName>
      <ability>L2_HalfPunc</ability>
      <abilityName>全半角检查</abilityName>
      <candidateList>
        <item>）</item>
      </candidateList>
      <explain>文本全半角错误。</explain>
      <paraID> CA563A4</paraID>
      <start>110</start>
      <end>111</end>
      <status>unmodified</status>
      <modifiedWord/>
      <trackRevisions>false</trackRevisions>
    </reviewItem>
    <reviewItem>
      <errorID>eaa10424-8de0-4bb0-b801-96a6d5670f95</errorID>
      <errorWord>2026年04月25日</errorWord>
      <group>L1_Knowledge</group>
      <groupName>知识性问题</groupName>
      <ability>L2_Time</ability>
      <abilityName>日期时间</abilityName>
      <candidateList>
        <item>2026年4月25日</item>
      </candidateList>
      <explain>根据日常书写习惯，月份一般会省略前导零。</explain>
      <paraID>28FA9A84</paraID>
      <start>17</start>
      <end>28</end>
      <status>unmodified</status>
      <modifiedWord/>
      <trackRevisions>false</trackRevisions>
    </reviewItem>
    <reviewItem>
      <errorID>28c003c6-a690-42f9-b177-402f09de1526</errorID>
      <errorWord>(</errorWord>
      <group>L1_Format</group>
      <groupName>格式问题</groupName>
      <ability>L2_HalfPunc</ability>
      <abilityName>全半角检查</abilityName>
      <candidateList>
        <item>（</item>
      </candidateList>
      <explain>文本全半角错误。</explain>
      <paraID>28FA9A84</paraID>
      <start>102</start>
      <end>103</end>
      <status>unmodified</status>
      <modifiedWord/>
      <trackRevisions>false</trackRevisions>
    </reviewItem>
    <reviewItem>
      <errorID>51754e45-5014-4c19-b7e1-3eb76ac06a8e</errorID>
      <errorWord>)</errorWord>
      <group>L1_Format</group>
      <groupName>格式问题</groupName>
      <ability>L2_HalfPunc</ability>
      <abilityName>全半角检查</abilityName>
      <candidateList>
        <item>）</item>
      </candidateList>
      <explain>文本全半角错误。</explain>
      <paraID>28FA9A84</paraID>
      <start>115</start>
      <end>116</end>
      <status>unmodified</status>
      <modifiedWord/>
      <trackRevisions>false</trackRevisions>
    </reviewItem>
    <reviewItem>
      <errorID>036354ef-f666-4d5a-b84d-a46c49f590ab</errorID>
      <errorWord>(</errorWord>
      <group>L1_Format</group>
      <groupName>格式问题</groupName>
      <ability>L2_HalfPunc</ability>
      <abilityName>全半角检查</abilityName>
      <candidateList>
        <item>（</item>
      </candidateList>
      <explain>文本全半角错误。</explain>
      <paraID>28FA9A84</paraID>
      <start>118</start>
      <end>119</end>
      <status>unmodified</status>
      <modifiedWord/>
      <trackRevisions>false</trackRevisions>
    </reviewItem>
    <reviewItem>
      <errorID>e49876a3-4466-4577-9c9b-f3e430f7f739</errorID>
      <errorWord>)</errorWord>
      <group>L1_Format</group>
      <groupName>格式问题</groupName>
      <ability>L2_HalfPunc</ability>
      <abilityName>全半角检查</abilityName>
      <candidateList>
        <item>）</item>
      </candidateList>
      <explain>文本全半角错误。</explain>
      <paraID>28FA9A84</paraID>
      <start>143</start>
      <end>144</end>
      <status>unmodified</status>
      <modifiedWord/>
      <trackRevisions>false</trackRevisions>
    </reviewItem>
    <reviewItem>
      <errorID>fd8f1ed8-f161-4e76-996f-ecfec7e0345d</errorID>
      <errorWord>(</errorWord>
      <group>L1_Format</group>
      <groupName>格式问题</groupName>
      <ability>L2_HalfPunc</ability>
      <abilityName>全半角检查</abilityName>
      <candidateList>
        <item>（</item>
      </candidateList>
      <explain>文本全半角错误。</explain>
      <paraID>6D0D985E</paraID>
      <start>14</start>
      <end>15</end>
      <status>unmodified</status>
      <modifiedWord/>
      <trackRevisions>false</trackRevisions>
    </reviewItem>
    <reviewItem>
      <errorID>c0e140c2-ffc8-4cb5-9098-23ed68fc04a9</errorID>
      <errorWord>)</errorWord>
      <group>L1_Format</group>
      <groupName>格式问题</groupName>
      <ability>L2_HalfPunc</ability>
      <abilityName>全半角检查</abilityName>
      <candidateList>
        <item>）</item>
      </candidateList>
      <explain>文本全半角错误。</explain>
      <paraID>6D0D985E</paraID>
      <start>26</start>
      <end>27</end>
      <status>unmodified</status>
      <modifiedWord/>
      <trackRevisions>false</trackRevisions>
    </reviewItem>
    <reviewItem>
      <errorID>61a64911-33fd-4db7-9af4-3f12aeee42da</errorID>
      <errorWord>(</errorWord>
      <group>L1_Format</group>
      <groupName>格式问题</groupName>
      <ability>L2_HalfPunc</ability>
      <abilityName>全半角检查</abilityName>
      <candidateList>
        <item>（</item>
      </candidateList>
      <explain>文本全半角错误。</explain>
      <paraID>5B364D3C</paraID>
      <start>23</start>
      <end>24</end>
      <status>unmodified</status>
      <modifiedWord/>
      <trackRevisions>false</trackRevisions>
    </reviewItem>
    <reviewItem>
      <errorID>9bbd5a4b-b091-4d43-83a1-dabc5cb57620</errorID>
      <errorWord>)</errorWord>
      <group>L1_Format</group>
      <groupName>格式问题</groupName>
      <ability>L2_HalfPunc</ability>
      <abilityName>全半角检查</abilityName>
      <candidateList>
        <item>）</item>
      </candidateList>
      <explain>文本全半角错误。</explain>
      <paraID>5B364D3C</paraID>
      <start>34</start>
      <end>35</end>
      <status>unmodified</status>
      <modifiedWord/>
      <trackRevisions>false</trackRevisions>
    </reviewItem>
    <reviewItem>
      <errorID>7c2671a1-8a68-44ed-b056-a0d3938765e1</errorID>
      <errorWord>;</errorWord>
      <group>L1_Format</group>
      <groupName>格式问题</groupName>
      <ability>L2_HalfPunc</ability>
      <abilityName>全半角检查</abilityName>
      <candidateList>
        <item>；</item>
      </candidateList>
      <explain>文本全半角错误。</explain>
      <paraID>53511AA3</paraID>
      <start>11</start>
      <end>12</end>
      <status>unmodified</status>
      <modifiedWord/>
      <trackRevisions>false</trackRevisions>
    </reviewItem>
    <reviewItem>
      <errorID>3eda511a-414f-4864-8717-1146e5e8936c</errorID>
      <errorWord>;</errorWord>
      <group>L1_Format</group>
      <groupName>格式问题</groupName>
      <ability>L2_HalfPunc</ability>
      <abilityName>全半角检查</abilityName>
      <candidateList>
        <item>；</item>
      </candidateList>
      <explain>文本全半角错误。</explain>
      <paraID>53511AA3</paraID>
      <start>27</start>
      <end>28</end>
      <status>unmodified</status>
      <modifiedWord/>
      <trackRevisions>false</trackRevisions>
    </reviewItem>
    <reviewItem>
      <errorID>478dffe9-1f38-487c-8c80-22f4c28677a5</errorID>
      <errorWord>;</errorWord>
      <group>L1_Format</group>
      <groupName>格式问题</groupName>
      <ability>L2_HalfPunc</ability>
      <abilityName>全半角检查</abilityName>
      <candidateList>
        <item>；</item>
      </candidateList>
      <explain>文本全半角错误。</explain>
      <paraID>53511AA3</paraID>
      <start>40</start>
      <end>41</end>
      <status>unmodified</status>
      <modifiedWord/>
      <trackRevisions>false</trackRevisions>
    </reviewItem>
    <reviewItem>
      <errorID>03fbd961-a4a9-444e-811a-de89fb2f19cd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39F85FCE</paraID>
      <start>24</start>
      <end>25</end>
      <status>unmodified</status>
      <modifiedWord/>
      <trackRevisions>false</trackRevisions>
    </reviewItem>
    <reviewItem>
      <errorID>8a75533d-d1d1-4804-b2fe-f0e576bfb6c9</errorID>
      <errorWord>;</errorWord>
      <group>L1_Format</group>
      <groupName>格式问题</groupName>
      <ability>L2_HalfPunc</ability>
      <abilityName>全半角检查</abilityName>
      <candidateList>
        <item>；</item>
      </candidateList>
      <explain>文本全半角错误。</explain>
      <paraID>39F85FCE</paraID>
      <start>32</start>
      <end>33</end>
      <status>unmodified</status>
      <modifiedWord/>
      <trackRevisions>false</trackRevisions>
    </reviewItem>
    <reviewItem>
      <errorID>fc63113d-1d6a-4be1-b0d8-5b24c8b5a7c3</errorID>
      <errorWord>;</errorWord>
      <group>L1_Format</group>
      <groupName>格式问题</groupName>
      <ability>L2_HalfPunc</ability>
      <abilityName>全半角检查</abilityName>
      <candidateList>
        <item>；</item>
      </candidateList>
      <explain>文本全半角错误。</explain>
      <paraID>39F85FCE</paraID>
      <start>46</start>
      <end>47</end>
      <status>unmodified</status>
      <modifiedWord/>
      <trackRevisions>false</trackRevisions>
    </reviewItem>
    <reviewItem>
      <errorID>b22a4c60-b183-4c91-96ce-1211cba18abc</errorID>
      <errorWord>;</errorWord>
      <group>L1_Format</group>
      <groupName>格式问题</groupName>
      <ability>L2_HalfPunc</ability>
      <abilityName>全半角检查</abilityName>
      <candidateList>
        <item>；</item>
      </candidateList>
      <explain>文本全半角错误。</explain>
      <paraID>5DD4FFD2</paraID>
      <start>16</start>
      <end>17</end>
      <status>unmodified</status>
      <modifiedWord/>
      <trackRevisions>false</trackRevisions>
    </reviewItem>
    <reviewItem>
      <errorID>940be4f1-81a3-4fc0-9bee-7b60f8e8083d</errorID>
      <errorWord>;</errorWord>
      <group>L1_Format</group>
      <groupName>格式问题</groupName>
      <ability>L2_HalfPunc</ability>
      <abilityName>全半角检查</abilityName>
      <candidateList>
        <item>；</item>
      </candidateList>
      <explain>文本全半角错误。</explain>
      <paraID>5DD4FFD2</paraID>
      <start>28</start>
      <end>29</end>
      <status>unmodified</status>
      <modifiedWord/>
      <trackRevisions>false</trackRevisions>
    </reviewItem>
    <reviewItem>
      <errorID>0a45b88f-42de-4149-b16a-c00e0e018779</errorID>
      <errorWord>(</errorWord>
      <group>L1_Format</group>
      <groupName>格式问题</groupName>
      <ability>L2_HalfPunc</ability>
      <abilityName>全半角检查</abilityName>
      <candidateList>
        <item>（</item>
      </candidateList>
      <explain>文本全半角错误。</explain>
      <paraID> 9A3EEAC</paraID>
      <start>2</start>
      <end>3</end>
      <status>unmodified</status>
      <modifiedWord/>
      <trackRevisions>false</trackRevisions>
    </reviewItem>
    <reviewItem>
      <errorID>88f89624-04a3-4f97-b0e4-47ab422c91c9</errorID>
      <errorWord>)</errorWord>
      <group>L1_Format</group>
      <groupName>格式问题</groupName>
      <ability>L2_HalfPunc</ability>
      <abilityName>全半角检查</abilityName>
      <candidateList>
        <item>）</item>
      </candidateList>
      <explain>文本全半角错误。</explain>
      <paraID> 9A3EEAC</paraID>
      <start>4</start>
      <end>5</end>
      <status>unmodified</status>
      <modifiedWord/>
      <trackRevisions>false</trackRevisions>
    </reviewItem>
    <reviewItem>
      <errorID>f0be5d6a-f78e-45d3-9b7a-c98b668f895f</errorID>
      <errorWord>(</errorWord>
      <group>L1_Format</group>
      <groupName>格式问题</groupName>
      <ability>L2_HalfPunc</ability>
      <abilityName>全半角检查</abilityName>
      <candidateList>
        <item>（</item>
      </candidateList>
      <explain>文本全半角错误。</explain>
      <paraID>4FBB294F</paraID>
      <start>4</start>
      <end>5</end>
      <status>unmodified</status>
      <modifiedWord/>
      <trackRevisions>false</trackRevisions>
    </reviewItem>
    <reviewItem>
      <errorID>9a177558-a1af-4c77-911c-1b130f1cd3e0</errorID>
      <errorWord>)</errorWord>
      <group>L1_Format</group>
      <groupName>格式问题</groupName>
      <ability>L2_HalfPunc</ability>
      <abilityName>全半角检查</abilityName>
      <candidateList>
        <item>）</item>
      </candidateList>
      <explain>文本全半角错误。</explain>
      <paraID>4FBB294F</paraID>
      <start>6</start>
      <end>7</end>
      <status>unmodified</status>
      <modifiedWord/>
      <trackRevisions>false</trackRevisions>
    </reviewItem>
    <reviewItem>
      <errorID>7ead2cbc-3c55-4579-aefc-c8ce12e76389</errorID>
      <errorWord>(</errorWord>
      <group>L1_Format</group>
      <groupName>格式问题</groupName>
      <ability>L2_HalfPunc</ability>
      <abilityName>全半角检查</abilityName>
      <candidateList>
        <item>（</item>
      </candidateList>
      <explain>文本全半角错误。</explain>
      <paraID> 8585CF7</paraID>
      <start>2</start>
      <end>3</end>
      <status>unmodified</status>
      <modifiedWord/>
      <trackRevisions>false</trackRevisions>
    </reviewItem>
    <reviewItem>
      <errorID>e73a6e36-b158-4982-ae18-f05186a88ed6</errorID>
      <errorWord>)</errorWord>
      <group>L1_Format</group>
      <groupName>格式问题</groupName>
      <ability>L2_HalfPunc</ability>
      <abilityName>全半角检查</abilityName>
      <candidateList>
        <item>）</item>
      </candidateList>
      <explain>文本全半角错误。</explain>
      <paraID> 8585CF7</paraID>
      <start>6</start>
      <end>7</end>
      <status>unmodified</status>
      <modifiedWord/>
      <trackRevisions>false</trackRevisions>
    </reviewItem>
    <reviewItem>
      <errorID>df06d750-a7d2-4f6d-8b0b-b8d4c5aa99c7</errorID>
      <errorWord>(</errorWord>
      <group>L1_Format</group>
      <groupName>格式问题</groupName>
      <ability>L2_HalfPunc</ability>
      <abilityName>全半角检查</abilityName>
      <candidateList>
        <item>（</item>
      </candidateList>
      <explain>文本全半角错误。</explain>
      <paraID>308606BD</paraID>
      <start>47</start>
      <end>48</end>
      <status>unmodified</status>
      <modifiedWord/>
      <trackRevisions>false</trackRevisions>
    </reviewItem>
    <reviewItem>
      <errorID>1bfd8503-7e72-4d2a-b073-33260fe62012</errorID>
      <errorWord>)</errorWord>
      <group>L1_Format</group>
      <groupName>格式问题</groupName>
      <ability>L2_HalfPunc</ability>
      <abilityName>全半角检查</abilityName>
      <candidateList>
        <item>）</item>
      </candidateList>
      <explain>文本全半角错误。</explain>
      <paraID>308606BD</paraID>
      <start>59</start>
      <end>60</end>
      <status>unmodified</status>
      <modifiedWord/>
      <trackRevisions>false</trackRevisions>
    </reviewItem>
    <reviewItem>
      <errorID>3dc3ed11-5fc3-4e60-a2ec-1ed615530db6</errorID>
      <errorWord>(</errorWord>
      <group>L1_Format</group>
      <groupName>格式问题</groupName>
      <ability>L2_HalfPunc</ability>
      <abilityName>全半角检查</abilityName>
      <candidateList>
        <item>（</item>
      </candidateList>
      <explain>文本全半角错误。</explain>
      <paraID>308606BD</paraID>
      <start>65</start>
      <end>66</end>
      <status>unmodified</status>
      <modifiedWord/>
      <trackRevisions>false</trackRevisions>
    </reviewItem>
    <reviewItem>
      <errorID>31049268-034f-4c93-b92f-0ebaac901993</errorID>
      <errorWord>)</errorWord>
      <group>L1_Format</group>
      <groupName>格式问题</groupName>
      <ability>L2_HalfPunc</ability>
      <abilityName>全半角检查</abilityName>
      <candidateList>
        <item>）</item>
      </candidateList>
      <explain>文本全半角错误。</explain>
      <paraID>308606BD</paraID>
      <start>74</start>
      <end>75</end>
      <status>unmodified</status>
      <modifiedWord/>
      <trackRevisions>false</trackRevisions>
    </reviewItem>
    <reviewItem>
      <errorID>198a20fd-7cbe-432c-b978-abff51abaf8f</errorID>
      <errorWord>)</errorWord>
      <group>L1_Format</group>
      <groupName>格式问题</groupName>
      <ability>L2_HalfPunc</ability>
      <abilityName>全半角检查</abilityName>
      <candidateList>
        <item>）</item>
      </candidateList>
      <explain>文本全半角错误。</explain>
      <paraID>308606BD</paraID>
      <start>85</start>
      <end>86</end>
      <status>unmodified</status>
      <modifiedWord/>
      <trackRevisions>false</trackRevisions>
    </reviewItem>
    <reviewItem>
      <errorID>0af6c6a1-66a3-47f3-818f-569f338ab4d2</errorID>
      <errorWord>(</errorWord>
      <group>L1_Format</group>
      <groupName>格式问题</groupName>
      <ability>L2_HalfPunc</ability>
      <abilityName>全半角检查</abilityName>
      <candidateList>
        <item>（</item>
      </candidateList>
      <explain>文本全半角错误。</explain>
      <paraID>72C67F11</paraID>
      <start>20</start>
      <end>21</end>
      <status>unmodified</status>
      <modifiedWord/>
      <trackRevisions>false</trackRevisions>
    </reviewItem>
    <reviewItem>
      <errorID>ed8bee65-abd3-4d1a-8f49-acbdba8c59b5</errorID>
      <errorWord>)</errorWord>
      <group>L1_Format</group>
      <groupName>格式问题</groupName>
      <ability>L2_HalfPunc</ability>
      <abilityName>全半角检查</abilityName>
      <candidateList>
        <item>）</item>
      </candidateList>
      <explain>文本全半角错误。</explain>
      <paraID>72C67F11</paraID>
      <start>31</start>
      <end>32</end>
      <status>unmodified</status>
      <modifiedWord/>
      <trackRevisions>false</trackRevisions>
    </reviewItem>
    <reviewItem>
      <errorID>e5e4f51e-7f64-461c-90e1-6b562df574c8</errorID>
      <errorWord>(</errorWord>
      <group>L1_Format</group>
      <groupName>格式问题</groupName>
      <ability>L2_HalfPunc</ability>
      <abilityName>全半角检查</abilityName>
      <candidateList>
        <item>（</item>
      </candidateList>
      <explain>文本全半角错误。</explain>
      <paraID>72C67F11</paraID>
      <start>53</start>
      <end>54</end>
      <status>unmodified</status>
      <modifiedWord/>
      <trackRevisions>false</trackRevisions>
    </reviewItem>
    <reviewItem>
      <errorID>7431f416-cf5a-4ead-935d-f6d81462a21e</errorID>
      <errorWord>)</errorWord>
      <group>L1_Format</group>
      <groupName>格式问题</groupName>
      <ability>L2_HalfPunc</ability>
      <abilityName>全半角检查</abilityName>
      <candidateList>
        <item>）</item>
      </candidateList>
      <explain>文本全半角错误。</explain>
      <paraID>72C67F11</paraID>
      <start>60</start>
      <end>61</end>
      <status>unmodified</status>
      <modifiedWord/>
      <trackRevisions>false</trackRevisions>
    </reviewItem>
    <reviewItem>
      <errorID>62f9cba5-ad95-48e9-ba28-2b77a58031bb</errorID>
      <errorWord>(</errorWord>
      <group>L1_Format</group>
      <groupName>格式问题</groupName>
      <ability>L2_HalfPunc</ability>
      <abilityName>全半角检查</abilityName>
      <candidateList>
        <item>（</item>
      </candidateList>
      <explain>文本全半角错误。</explain>
      <paraID>72C67F11</paraID>
      <start>76</start>
      <end>77</end>
      <status>unmodified</status>
      <modifiedWord/>
      <trackRevisions>false</trackRevisions>
    </reviewItem>
    <reviewItem>
      <errorID>22f54a2f-54c6-4bd5-b121-a98a08893729</errorID>
      <errorWord>)</errorWord>
      <group>L1_Format</group>
      <groupName>格式问题</groupName>
      <ability>L2_HalfPunc</ability>
      <abilityName>全半角检查</abilityName>
      <candidateList>
        <item>）</item>
      </candidateList>
      <explain>文本全半角错误。</explain>
      <paraID>72C67F11</paraID>
      <start>78</start>
      <end>79</end>
      <status>unmodified</status>
      <modifiedWord/>
      <trackRevisions>false</trackRevisions>
    </reviewItem>
    <reviewItem>
      <errorID>11dc6376-8c49-40ef-a176-429a061f8405</errorID>
      <errorWord>(</errorWord>
      <group>L1_Format</group>
      <groupName>格式问题</groupName>
      <ability>L2_HalfPunc</ability>
      <abilityName>全半角检查</abilityName>
      <candidateList>
        <item>（</item>
      </candidateList>
      <explain>文本全半角错误。</explain>
      <paraID>34957CA9</paraID>
      <start>18</start>
      <end>19</end>
      <status>unmodified</status>
      <modifiedWord/>
      <trackRevisions>false</trackRevisions>
    </reviewItem>
    <reviewItem>
      <errorID>97d27263-d61a-4055-a537-bb9819f3a8d3</errorID>
      <errorWord>)</errorWord>
      <group>L1_Format</group>
      <groupName>格式问题</groupName>
      <ability>L2_HalfPunc</ability>
      <abilityName>全半角检查</abilityName>
      <candidateList>
        <item>）</item>
      </candidateList>
      <explain>文本全半角错误。</explain>
      <paraID>34957CA9</paraID>
      <start>21</start>
      <end>22</end>
      <status>unmodified</status>
      <modifiedWord/>
      <trackRevisions>false</trackRevisions>
    </reviewItem>
    <reviewItem>
      <errorID>c8ed08dc-8e6b-4d89-af4b-7295979975fe</errorID>
      <errorWord>(</errorWord>
      <group>L1_Format</group>
      <groupName>格式问题</groupName>
      <ability>L2_HalfPunc</ability>
      <abilityName>全半角检查</abilityName>
      <candidateList>
        <item>（</item>
      </candidateList>
      <explain>文本全半角错误。</explain>
      <paraID>34957CA9</paraID>
      <start>23</start>
      <end>24</end>
      <status>unmodified</status>
      <modifiedWord/>
      <trackRevisions>false</trackRevisions>
    </reviewItem>
    <reviewItem>
      <errorID>ab18f169-9418-412a-aa7f-bccd23ddc0f2</errorID>
      <errorWord>)</errorWord>
      <group>L1_Format</group>
      <groupName>格式问题</groupName>
      <ability>L2_HalfPunc</ability>
      <abilityName>全半角检查</abilityName>
      <candidateList>
        <item>）</item>
      </candidateList>
      <explain>文本全半角错误。</explain>
      <paraID>34957CA9</paraID>
      <start>34</start>
      <end>35</end>
      <status>unmodified</status>
      <modifiedWord/>
      <trackRevisions>false</trackRevisions>
    </reviewItem>
    <reviewItem>
      <errorID>caa4f762-bdb1-4caf-8b09-1060f6caa787</errorID>
      <errorWord>(</errorWord>
      <group>L1_Format</group>
      <groupName>格式问题</groupName>
      <ability>L2_HalfPunc</ability>
      <abilityName>全半角检查</abilityName>
      <candidateList>
        <item>（</item>
      </candidateList>
      <explain>文本全半角错误。</explain>
      <paraID>34957CA9</paraID>
      <start>56</start>
      <end>57</end>
      <status>unmodified</status>
      <modifiedWord/>
      <trackRevisions>false</trackRevisions>
    </reviewItem>
    <reviewItem>
      <errorID>8548c28b-b2b0-4d6e-8043-1a0b2d6a322f</errorID>
      <errorWord>)</errorWord>
      <group>L1_Format</group>
      <groupName>格式问题</groupName>
      <ability>L2_HalfPunc</ability>
      <abilityName>全半角检查</abilityName>
      <candidateList>
        <item>）</item>
      </candidateList>
      <explain>文本全半角错误。</explain>
      <paraID>34957CA9</paraID>
      <start>63</start>
      <end>64</end>
      <status>unmodified</status>
      <modifiedWord/>
      <trackRevisions>false</trackRevisions>
    </reviewItem>
    <reviewItem>
      <errorID>9f04e879-8b06-4ef0-8c84-e370cc40546b</errorID>
      <errorWord>IV</errorWord>
      <group>L1_Knowledge</group>
      <groupName>知识性问题</groupName>
      <ability>L2_Knowledge</ability>
      <abilityName>其他知识</abilityName>
      <candidateList>
        <item>Ⅳ</item>
      </candidateList>
      <explain/>
      <paraID>34957CA9</paraID>
      <start>105</start>
      <end>107</end>
      <status>unmodified</status>
      <modifiedWord/>
      <trackRevisions>false</trackRevisions>
    </reviewItem>
    <reviewItem>
      <errorID>077998ac-60d2-480c-89a6-d9d25acd168b</errorID>
      <errorWord>)</errorWord>
      <group>L1_Format</group>
      <groupName>格式问题</groupName>
      <ability>L2_HalfPunc</ability>
      <abilityName>全半角检查</abilityName>
      <candidateList>
        <item>）</item>
      </candidateList>
      <explain>文本全半角错误。</explain>
      <paraID>5119DA22</paraID>
      <start>85</start>
      <end>86</end>
      <status>unmodified</status>
      <modifiedWord/>
      <trackRevisions>false</trackRevisions>
    </reviewItem>
    <reviewItem>
      <errorID>7cde09f0-b0de-4712-a70b-9cc3fab04017</errorID>
      <errorWord>(</errorWord>
      <group>L1_Format</group>
      <groupName>格式问题</groupName>
      <ability>L2_HalfPunc</ability>
      <abilityName>全半角检查</abilityName>
      <candidateList>
        <item>（</item>
      </candidateList>
      <explain>文本全半角错误。</explain>
      <paraID>23B7ED5A</paraID>
      <start>75</start>
      <end>76</end>
      <status>unmodified</status>
      <modifiedWord/>
      <trackRevisions>false</trackRevisions>
    </reviewItem>
    <reviewItem>
      <errorID>ed864e2f-2d59-4817-ad1c-610bc9910cfb</errorID>
      <errorWord>)</errorWord>
      <group>L1_Format</group>
      <groupName>格式问题</groupName>
      <ability>L2_HalfPunc</ability>
      <abilityName>全半角检查</abilityName>
      <candidateList>
        <item>）</item>
      </candidateList>
      <explain>文本全半角错误。</explain>
      <paraID>23B7ED5A</paraID>
      <start>87</start>
      <end>88</end>
      <status>unmodified</status>
      <modifiedWord/>
      <trackRevisions>false</trackRevisions>
    </reviewItem>
    <reviewItem>
      <errorID>33b96199-ae10-46ca-8af3-af2b00d1eec2</errorID>
      <errorWord>(</errorWord>
      <group>L1_Format</group>
      <groupName>格式问题</groupName>
      <ability>L2_HalfPunc</ability>
      <abilityName>全半角检查</abilityName>
      <candidateList>
        <item>（</item>
      </candidateList>
      <explain>文本全半角错误。</explain>
      <paraID>75989F08</paraID>
      <start>20</start>
      <end>21</end>
      <status>unmodified</status>
      <modifiedWord/>
      <trackRevisions>false</trackRevisions>
    </reviewItem>
    <reviewItem>
      <errorID>47e40d85-c616-42a7-8622-130bd27f07bc</errorID>
      <errorWord>)</errorWord>
      <group>L1_Format</group>
      <groupName>格式问题</groupName>
      <ability>L2_HalfPunc</ability>
      <abilityName>全半角检查</abilityName>
      <candidateList>
        <item>）</item>
      </candidateList>
      <explain>文本全半角错误。</explain>
      <paraID>75989F08</paraID>
      <start>31</start>
      <end>32</end>
      <status>unmodified</status>
      <modifiedWord/>
      <trackRevisions>false</trackRevisions>
    </reviewItem>
    <reviewItem>
      <errorID>6ce6bc86-8890-4d09-a4eb-ab93f5a436c7</errorID>
      <errorWord>与</errorWord>
      <group>L1_Word</group>
      <groupName>字词问题</groupName>
      <ability>L2_Typo</ability>
      <abilityName>字词错误</abilityName>
      <candidateList>
        <item>的</item>
      </candidateList>
      <explain>存在字形相近字词的误用。</explain>
      <paraID>75989F08</paraID>
      <start>82</start>
      <end>83</end>
      <status>unmodified</status>
      <modifiedWord/>
      <trackRevisions>false</trackRevisions>
    </reviewItem>
    <reviewItem>
      <errorID>f95e9a01-a5f8-486f-bcc0-bdcf0c4b66fd</errorID>
      <errorWord>(</errorWord>
      <group>L1_Format</group>
      <groupName>格式问题</groupName>
      <ability>L2_HalfPunc</ability>
      <abilityName>全半角检查</abilityName>
      <candidateList>
        <item>（</item>
      </candidateList>
      <explain>文本全半角错误。</explain>
      <paraID>16DB1728</paraID>
      <start>18</start>
      <end>19</end>
      <status>unmodified</status>
      <modifiedWord/>
      <trackRevisions>false</trackRevisions>
    </reviewItem>
    <reviewItem>
      <errorID>f6ad4788-e5b4-4304-914b-cbb8f5f53f49</errorID>
      <errorWord>)</errorWord>
      <group>L1_Format</group>
      <groupName>格式问题</groupName>
      <ability>L2_HalfPunc</ability>
      <abilityName>全半角检查</abilityName>
      <candidateList>
        <item>）</item>
      </candidateList>
      <explain>文本全半角错误。</explain>
      <paraID>16DB1728</paraID>
      <start>29</start>
      <end>30</end>
      <status>unmodified</status>
      <modifiedWord/>
      <trackRevisions>false</trackRevisions>
    </reviewItem>
    <reviewItem>
      <errorID>b0a522a0-ff34-4e9e-9758-c5295afcd49d</errorID>
      <errorWord>法律、法规</errorWord>
      <group>L1_Word</group>
      <groupName>字词问题</groupName>
      <ability>L2_Typo</ability>
      <abilityName>字词错误</abilityName>
      <candidateList>
        <item>法律法规</item>
      </candidateList>
      <explain/>
      <paraID>16DB1728</paraID>
      <start>41</start>
      <end>46</end>
      <status>unmodified</status>
      <modifiedWord/>
      <trackRevisions>false</trackRevisions>
    </reviewItem>
    <reviewItem>
      <errorID>09ef16d7-f0a7-4c93-aba3-d90c1b04c0c6</errorID>
      <errorWord>(</errorWord>
      <group>L1_Format</group>
      <groupName>格式问题</groupName>
      <ability>L2_HalfPunc</ability>
      <abilityName>全半角检查</abilityName>
      <candidateList>
        <item>（</item>
      </candidateList>
      <explain>文本全半角错误。</explain>
      <paraID>16DB1728</paraID>
      <start>156</start>
      <end>157</end>
      <status>unmodified</status>
      <modifiedWord/>
      <trackRevisions>false</trackRevisions>
    </reviewItem>
    <reviewItem>
      <errorID>a227dae4-10f8-4cea-86e4-f43a8d74295c</errorID>
      <errorWord>)</errorWord>
      <group>L1_Format</group>
      <groupName>格式问题</groupName>
      <ability>L2_HalfPunc</ability>
      <abilityName>全半角检查</abilityName>
      <candidateList>
        <item>）</item>
      </candidateList>
      <explain>文本全半角错误。</explain>
      <paraID>16DB1728</paraID>
      <start>167</start>
      <end>168</end>
      <status>unmodified</status>
      <modifiedWord/>
      <trackRevisions>false</trackRevisions>
    </reviewItem>
    <reviewItem>
      <errorID>6747d35d-4468-4b88-8c91-bdc6918f3aab</errorID>
      <errorWord>进行的</errorWord>
      <group>L1_Word</group>
      <groupName>字词问题</groupName>
      <ability>L2_Typo</ability>
      <abilityName>字词错误</abilityName>
      <candidateList>
        <item>进行</item>
      </candidateList>
      <explain>〈动〉❶从事（某种活动）：～讨论｜～工作｜～教育和批评｜会议正在～。注意“进行”总是用在持续性的和正式、严肃的行为，短暂性的和日常生活中的行为不用“进行”，例如不说“进行午睡”，“进行叫喊”。❷前进：～曲。</explain>
      <paraID>16DB1728</paraID>
      <start>216</start>
      <end>219</end>
      <status>unmodified</status>
      <modifiedWord/>
      <trackRevisions>false</trackRevisions>
    </reviewItem>
    <reviewItem>
      <errorID>a5829b1c-9277-40bb-8f3f-08261039a43c</errorID>
      <errorWord>(</errorWord>
      <group>L1_Format</group>
      <groupName>格式问题</groupName>
      <ability>L2_HalfPunc</ability>
      <abilityName>全半角检查</abilityName>
      <candidateList>
        <item>（</item>
      </candidateList>
      <explain>文本全半角错误。</explain>
      <paraID>55C00A37</paraID>
      <start>86</start>
      <end>87</end>
      <status>unmodified</status>
      <modifiedWord/>
      <trackRevisions>false</trackRevisions>
    </reviewItem>
    <reviewItem>
      <errorID>63557713-586c-4584-8395-24fa19ef8f10</errorID>
      <errorWord>)</errorWord>
      <group>L1_Format</group>
      <groupName>格式问题</groupName>
      <ability>L2_HalfPunc</ability>
      <abilityName>全半角检查</abilityName>
      <candidateList>
        <item>）</item>
      </candidateList>
      <explain>文本全半角错误。</explain>
      <paraID>55C00A37</paraID>
      <start>96</start>
      <end>97</end>
      <status>unmodified</status>
      <modifiedWord/>
      <trackRevisions>false</trackRevisions>
    </reviewItem>
    <reviewItem>
      <errorID>00d043ff-baf2-4fd0-8a20-809016c9ee38</errorID>
      <errorWord>(</errorWord>
      <group>L1_Format</group>
      <groupName>格式问题</groupName>
      <ability>L2_HalfPunc</ability>
      <abilityName>全半角检查</abilityName>
      <candidateList>
        <item>（</item>
      </candidateList>
      <explain>文本全半角错误。</explain>
      <paraID>7E2FBEF9</paraID>
      <start>18</start>
      <end>19</end>
      <status>unmodified</status>
      <modifiedWord/>
      <trackRevisions>false</trackRevisions>
    </reviewItem>
    <reviewItem>
      <errorID>3a5bfec2-7c25-47c2-8e1d-1dcc63307a12</errorID>
      <errorWord>)</errorWord>
      <group>L1_Format</group>
      <groupName>格式问题</groupName>
      <ability>L2_HalfPunc</ability>
      <abilityName>全半角检查</abilityName>
      <candidateList>
        <item>）</item>
      </candidateList>
      <explain>文本全半角错误。</explain>
      <paraID>7E2FBEF9</paraID>
      <start>28</start>
      <end>29</end>
      <status>unmodified</status>
      <modifiedWord/>
      <trackRevisions>false</trackRevisions>
    </reviewItem>
    <reviewItem>
      <errorID>93d8acdc-7559-4e93-b9e4-a352f4be2390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56D6ADBE</paraID>
      <start>0</start>
      <end>3</end>
      <status>unmodified</status>
      <modifiedWord/>
      <trackRevisions>false</trackRevisions>
    </reviewItem>
    <reviewItem>
      <errorID>12769918-46fe-4fc9-9a13-ac9c07f48201</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 3052A0F</paraID>
      <start>5</start>
      <end>8</end>
      <status>unmodified</status>
      <modifiedWord/>
      <trackRevisions>false</trackRevisions>
    </reviewItem>
    <reviewItem>
      <errorID>01cd4131-698e-41f2-b947-e90107b0d73d</errorID>
      <errorWord>(</errorWord>
      <group>L1_Format</group>
      <groupName>格式问题</groupName>
      <ability>L2_HalfPunc</ability>
      <abilityName>全半角检查</abilityName>
      <candidateList>
        <item>（</item>
      </candidateList>
      <explain>文本全半角错误。</explain>
      <paraID> 3052A0F</paraID>
      <start>78</start>
      <end>79</end>
      <status>unmodified</status>
      <modifiedWord/>
      <trackRevisions>false</trackRevisions>
    </reviewItem>
    <reviewItem>
      <errorID>36f2fee7-70d8-492c-a882-15d973628d26</errorID>
      <errorWord>)</errorWord>
      <group>L1_Format</group>
      <groupName>格式问题</groupName>
      <ability>L2_HalfPunc</ability>
      <abilityName>全半角检查</abilityName>
      <candidateList>
        <item>）</item>
      </candidateList>
      <explain>文本全半角错误。</explain>
      <paraID> 3052A0F</paraID>
      <start>90</start>
      <end>91</end>
      <status>unmodified</status>
      <modifiedWord/>
      <trackRevisions>false</trackRevisions>
    </reviewItem>
    <reviewItem>
      <errorID>fdc77eed-e1fd-4cb7-8321-b17b9238e072</errorID>
      <errorWord>)</errorWord>
      <group>L1_Format</group>
      <groupName>格式问题</groupName>
      <ability>L2_HalfPunc</ability>
      <abilityName>全半角检查</abilityName>
      <candidateList>
        <item>）</item>
      </candidateList>
      <explain>文本全半角错误。</explain>
      <paraID> 3052A0F</paraID>
      <start>108</start>
      <end>109</end>
      <status>unmodified</status>
      <modifiedWord/>
      <trackRevisions>false</trackRevisions>
    </reviewItem>
    <reviewItem>
      <errorID>8f3857fc-91fd-46f7-8174-7aef26bfa736</errorID>
      <errorWord>)</errorWord>
      <group>L1_Format</group>
      <groupName>格式问题</groupName>
      <ability>L2_HalfPunc</ability>
      <abilityName>全半角检查</abilityName>
      <candidateList>
        <item>）</item>
      </candidateList>
      <explain>文本全半角错误。</explain>
      <paraID> 3052A0F</paraID>
      <start>119</start>
      <end>120</end>
      <status>unmodified</status>
      <modifiedWord/>
      <trackRevisions>false</trackRevisions>
    </reviewItem>
    <reviewItem>
      <errorID>4fd16e30-a541-42fe-b227-77f1d26f7ee2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7091E675</paraID>
      <start>0</start>
      <end>3</end>
      <status>unmodified</status>
      <modifiedWord/>
      <trackRevisions>false</trackRevisions>
    </reviewItem>
    <reviewItem>
      <errorID>a757e291-e8a5-4a1c-9053-0590e4377714</errorID>
      <errorWord>(</errorWord>
      <group>L1_Format</group>
      <groupName>格式问题</groupName>
      <ability>L2_HalfPunc</ability>
      <abilityName>全半角检查</abilityName>
      <candidateList>
        <item>（</item>
      </candidateList>
      <explain>文本全半角错误。</explain>
      <paraID>7091E675</paraID>
      <start>20</start>
      <end>21</end>
      <status>unmodified</status>
      <modifiedWord/>
      <trackRevisions>false</trackRevisions>
    </reviewItem>
    <reviewItem>
      <errorID>bd1ae2b0-4535-4065-b919-3d16e3d598aa</errorID>
      <errorWord>)</errorWord>
      <group>L1_Format</group>
      <groupName>格式问题</groupName>
      <ability>L2_HalfPunc</ability>
      <abilityName>全半角检查</abilityName>
      <candidateList>
        <item>）</item>
      </candidateList>
      <explain>文本全半角错误。</explain>
      <paraID>7091E675</paraID>
      <start>32</start>
      <end>33</end>
      <status>unmodified</status>
      <modifiedWord/>
      <trackRevisions>false</trackRevisions>
    </reviewItem>
    <reviewItem>
      <errorID>914b6096-2bce-4ae9-baaa-83bf6674e838</errorID>
      <errorWord>曝露</errorWord>
      <group>L1_Word</group>
      <groupName>字词问题</groupName>
      <ability>L2_Typo</ability>
      <abilityName>字词错误</abilityName>
      <candidateList>
        <item>暴露</item>
      </candidateList>
      <explain>〈动〉（隐蔽的事物、缺陷、矛盾、问题等）显露出来：～目标｜～无遗。</explain>
      <paraID>7091E675</paraID>
      <start>38</start>
      <end>40</end>
      <status>unmodified</status>
      <modifiedWord/>
      <trackRevisions>false</trackRevisions>
    </reviewItem>
    <reviewItem>
      <errorID>e280628d-8512-4d25-807e-acbdcfe8f25c</errorID>
      <errorWord>(</errorWord>
      <group>L1_Format</group>
      <groupName>格式问题</groupName>
      <ability>L2_HalfPunc</ability>
      <abilityName>全半角检查</abilityName>
      <candidateList>
        <item>（</item>
      </candidateList>
      <explain>文本全半角错误。</explain>
      <paraID>7091E675</paraID>
      <start>56</start>
      <end>57</end>
      <status>unmodified</status>
      <modifiedWord/>
      <trackRevisions>false</trackRevisions>
    </reviewItem>
    <reviewItem>
      <errorID>ce27ff6f-6a56-4bbc-b2ca-7bc833b22951</errorID>
      <errorWord>)</errorWord>
      <group>L1_Format</group>
      <groupName>格式问题</groupName>
      <ability>L2_HalfPunc</ability>
      <abilityName>全半角检查</abilityName>
      <candidateList>
        <item>）</item>
      </candidateList>
      <explain>文本全半角错误。</explain>
      <paraID>7091E675</paraID>
      <start>89</start>
      <end>90</end>
      <status>unmodified</status>
      <modifiedWord/>
      <trackRevisions>false</trackRevisions>
    </reviewItem>
    <reviewItem>
      <errorID>b923a86d-4a50-49b3-b915-36f679ae3569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DA46E64</paraID>
      <start>0</start>
      <end>3</end>
      <status>unmodified</status>
      <modifiedWord/>
      <trackRevisions>false</trackRevisions>
    </reviewItem>
    <reviewItem>
      <errorID>cec52830-3baf-4ea9-9728-c29260b05f1f</errorID>
      <errorWord>(</errorWord>
      <group>L1_Format</group>
      <groupName>格式问题</groupName>
      <ability>L2_HalfPunc</ability>
      <abilityName>全半角检查</abilityName>
      <candidateList>
        <item>（</item>
      </candidateList>
      <explain>文本全半角错误。</explain>
      <paraID> DA46E64</paraID>
      <start>22</start>
      <end>23</end>
      <status>unmodified</status>
      <modifiedWord/>
      <trackRevisions>false</trackRevisions>
    </reviewItem>
    <reviewItem>
      <errorID>0952dd73-bfe6-43c2-9c8e-2ed4ab0455e7</errorID>
      <errorWord>)</errorWord>
      <group>L1_Format</group>
      <groupName>格式问题</groupName>
      <ability>L2_HalfPunc</ability>
      <abilityName>全半角检查</abilityName>
      <candidateList>
        <item>）</item>
      </candidateList>
      <explain>文本全半角错误。</explain>
      <paraID> DA46E64</paraID>
      <start>36</start>
      <end>37</end>
      <status>unmodified</status>
      <modifiedWord/>
      <trackRevisions>false</trackRevisions>
    </reviewItem>
    <reviewItem>
      <errorID>609df7bc-7e56-4479-b63c-af060d349b9a</errorID>
      <errorWord>)</errorWord>
      <group>L1_Format</group>
      <groupName>格式问题</groupName>
      <ability>L2_HalfPunc</ability>
      <abilityName>全半角检查</abilityName>
      <candidateList>
        <item>）</item>
      </candidateList>
      <explain>文本全半角错误。</explain>
      <paraID> DA46E64</paraID>
      <start>45</start>
      <end>46</end>
      <status>unmodified</status>
      <modifiedWord/>
      <trackRevisions>false</trackRevisions>
    </reviewItem>
    <reviewItem>
      <errorID>7c481a18-9229-45a9-99c9-54aa53ce6780</errorID>
      <errorWord>)</errorWord>
      <group>L1_Format</group>
      <groupName>格式问题</groupName>
      <ability>L2_HalfPunc</ability>
      <abilityName>全半角检查</abilityName>
      <candidateList>
        <item>）</item>
      </candidateList>
      <explain>文本全半角错误。</explain>
      <paraID> DA46E64</paraID>
      <start>55</start>
      <end>56</end>
      <status>unmodified</status>
      <modifiedWord/>
      <trackRevisions>false</trackRevisions>
    </reviewItem>
    <reviewItem>
      <errorID>27af6ca9-2195-4bb5-8de6-6420d893a642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4B38D622</paraID>
      <start>0</start>
      <end>3</end>
      <status>unmodified</status>
      <modifiedWord/>
      <trackRevisions>false</trackRevisions>
    </reviewItem>
    <reviewItem>
      <errorID>403415be-5e71-4937-bb55-d7ec260a50dd</errorID>
      <errorWord>(</errorWord>
      <group>L1_Format</group>
      <groupName>格式问题</groupName>
      <ability>L2_HalfPunc</ability>
      <abilityName>全半角检查</abilityName>
      <candidateList>
        <item>（</item>
      </candidateList>
      <explain>文本全半角错误。</explain>
      <paraID>4B38D622</paraID>
      <start>23</start>
      <end>24</end>
      <status>unmodified</status>
      <modifiedWord/>
      <trackRevisions>false</trackRevisions>
    </reviewItem>
    <reviewItem>
      <errorID>8901fe77-3eb6-4d93-8099-b387786e9259</errorID>
      <errorWord>)</errorWord>
      <group>L1_Format</group>
      <groupName>格式问题</groupName>
      <ability>L2_HalfPunc</ability>
      <abilityName>全半角检查</abilityName>
      <candidateList>
        <item>）</item>
      </candidateList>
      <explain>文本全半角错误。</explain>
      <paraID>4B38D622</paraID>
      <start>36</start>
      <end>37</end>
      <status>unmodified</status>
      <modifiedWord/>
      <trackRevisions>false</trackRevisions>
    </reviewItem>
    <reviewItem>
      <errorID>5f7ae6ea-ad31-4639-9bf3-4351a33dab51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51535458</paraID>
      <start>0</start>
      <end>3</end>
      <status>unmodified</status>
      <modifiedWord/>
      <trackRevisions>false</trackRevisions>
    </reviewItem>
    <reviewItem>
      <errorID>7cb558c0-fffa-468c-804e-3f62b24d543b</errorID>
      <errorWord>(</errorWord>
      <group>L1_Format</group>
      <groupName>格式问题</groupName>
      <ability>L2_HalfPunc</ability>
      <abilityName>全半角检查</abilityName>
      <candidateList>
        <item>（</item>
      </candidateList>
      <explain>文本全半角错误。</explain>
      <paraID>51535458</paraID>
      <start>37</start>
      <end>38</end>
      <status>unmodified</status>
      <modifiedWord/>
      <trackRevisions>false</trackRevisions>
    </reviewItem>
    <reviewItem>
      <errorID>90e22f3e-5557-4fa6-93f3-d9b497a4e6e7</errorID>
      <errorWord>)</errorWord>
      <group>L1_Format</group>
      <groupName>格式问题</groupName>
      <ability>L2_HalfPunc</ability>
      <abilityName>全半角检查</abilityName>
      <candidateList>
        <item>）</item>
      </candidateList>
      <explain>文本全半角错误。</explain>
      <paraID>51535458</paraID>
      <start>50</start>
      <end>51</end>
      <status>unmodified</status>
      <modifiedWord/>
      <trackRevisions>false</trackRevisions>
    </reviewItem>
    <reviewItem>
      <errorID>d13f8b93-4e83-491a-927f-9b8309039693</errorID>
      <errorWord>(</errorWord>
      <group>L1_Format</group>
      <groupName>格式问题</groupName>
      <ability>L2_HalfPunc</ability>
      <abilityName>全半角检查</abilityName>
      <candidateList>
        <item>（</item>
      </candidateList>
      <explain>文本全半角错误。</explain>
      <paraID>51535458</paraID>
      <start>59</start>
      <end>60</end>
      <status>unmodified</status>
      <modifiedWord/>
      <trackRevisions>false</trackRevisions>
    </reviewItem>
    <reviewItem>
      <errorID>50fd0c86-7b18-402c-b71a-d9005ce4e7e8</errorID>
      <errorWord>(</errorWord>
      <group>L1_Punc</group>
      <groupName>标点问题</groupName>
      <ability>L2_Punc</ability>
      <abilityName>标点符号检查</abilityName>
      <candidateList/>
      <explain>同一形式括号套用。</explain>
      <paraID>51535458</paraID>
      <start>67</start>
      <end>68</end>
      <status>unmodified</status>
      <modifiedWord/>
      <trackRevisions>false</trackRevisions>
    </reviewItem>
    <reviewItem>
      <errorID>9beea2fb-2bf0-491b-ac83-bf947827171c</errorID>
      <errorWord>)</errorWord>
      <group>L1_Punc</group>
      <groupName>标点问题</groupName>
      <ability>L2_Punc</ability>
      <abilityName>标点符号检查</abilityName>
      <candidateList/>
      <explain>同一形式括号套用。</explain>
      <paraID>51535458</paraID>
      <start>69</start>
      <end>70</end>
      <status>unmodified</status>
      <modifiedWord/>
      <trackRevisions>false</trackRevisions>
    </reviewItem>
    <reviewItem>
      <errorID>736303e0-d552-432a-a584-1ee9111fe4ae</errorID>
      <errorWord>(</errorWord>
      <group>L1_Punc</group>
      <groupName>标点问题</groupName>
      <ability>L2_Punc</ability>
      <abilityName>标点符号检查</abilityName>
      <candidateList/>
      <explain>同一形式括号套用。</explain>
      <paraID>51535458</paraID>
      <start>78</start>
      <end>79</end>
      <status>unmodified</status>
      <modifiedWord/>
      <trackRevisions>false</trackRevisions>
    </reviewItem>
    <reviewItem>
      <errorID>03f66072-2823-4b54-a018-40d8121f15b9</errorID>
      <errorWord>)</errorWord>
      <group>L1_Punc</group>
      <groupName>标点问题</groupName>
      <ability>L2_Punc</ability>
      <abilityName>标点符号检查</abilityName>
      <candidateList/>
      <explain>同一形式括号套用。</explain>
      <paraID>51535458</paraID>
      <start>80</start>
      <end>81</end>
      <status>unmodified</status>
      <modifiedWord/>
      <trackRevisions>false</trackRevisions>
    </reviewItem>
    <reviewItem>
      <errorID>39fc3fff-69b6-4ccf-99d1-99d9d2a8ee98</errorID>
      <errorWord>)</errorWord>
      <group>L1_Format</group>
      <groupName>格式问题</groupName>
      <ability>L2_HalfPunc</ability>
      <abilityName>全半角检查</abilityName>
      <candidateList>
        <item>）</item>
      </candidateList>
      <explain>文本全半角错误。</explain>
      <paraID>51535458</paraID>
      <start>81</start>
      <end>82</end>
      <status>unmodified</status>
      <modifiedWord/>
      <trackRevisions>false</trackRevisions>
    </reviewItem>
    <reviewItem>
      <errorID>319add9a-953a-43ad-bde2-396562f54205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FD62E9E</paraID>
      <start>0</start>
      <end>3</end>
      <status>unmodified</status>
      <modifiedWord/>
      <trackRevisions>false</trackRevisions>
    </reviewItem>
    <reviewItem>
      <errorID>b797e3d2-b13e-4146-88ae-cf15f943f0b2</errorID>
      <errorWord>(</errorWord>
      <group>L1_Format</group>
      <groupName>格式问题</groupName>
      <ability>L2_HalfPunc</ability>
      <abilityName>全半角检查</abilityName>
      <candidateList>
        <item>（</item>
      </candidateList>
      <explain>文本全半角错误。</explain>
      <paraID> FD62E9E</paraID>
      <start>19</start>
      <end>20</end>
      <status>unmodified</status>
      <modifiedWord/>
      <trackRevisions>false</trackRevisions>
    </reviewItem>
    <reviewItem>
      <errorID>e114bb7f-04ab-43de-8eb5-bce66d6702c6</errorID>
      <errorWord>)</errorWord>
      <group>L1_Format</group>
      <groupName>格式问题</groupName>
      <ability>L2_HalfPunc</ability>
      <abilityName>全半角检查</abilityName>
      <candidateList>
        <item>）</item>
      </candidateList>
      <explain>文本全半角错误。</explain>
      <paraID> FD62E9E</paraID>
      <start>31</start>
      <end>32</end>
      <status>unmodified</status>
      <modifiedWord/>
      <trackRevisions>false</trackRevisions>
    </reviewItem>
    <reviewItem>
      <errorID>26c49cdc-0a76-4137-8bbf-3b8849c3d545</errorID>
      <errorWord>(</errorWord>
      <group>L1_Format</group>
      <groupName>格式问题</groupName>
      <ability>L2_HalfPunc</ability>
      <abilityName>全半角检查</abilityName>
      <candidateList>
        <item>（</item>
      </candidateList>
      <explain>文本全半角错误。</explain>
      <paraID> FD62E9E</paraID>
      <start>39</start>
      <end>40</end>
      <status>unmodified</status>
      <modifiedWord/>
      <trackRevisions>false</trackRevisions>
    </reviewItem>
    <reviewItem>
      <errorID>17ff7260-4f58-45a1-bc80-bc591c259d95</errorID>
      <errorWord>(</errorWord>
      <group>L1_Punc</group>
      <groupName>标点问题</groupName>
      <ability>L2_Punc</ability>
      <abilityName>标点符号检查</abilityName>
      <candidateList/>
      <explain>同一形式括号套用。</explain>
      <paraID> FD62E9E</paraID>
      <start>47</start>
      <end>48</end>
      <status>unmodified</status>
      <modifiedWord/>
      <trackRevisions>false</trackRevisions>
    </reviewItem>
    <reviewItem>
      <errorID>6f3f383b-7e9f-40ba-a755-a8c170f9b443</errorID>
      <errorWord>)</errorWord>
      <group>L1_Punc</group>
      <groupName>标点问题</groupName>
      <ability>L2_Punc</ability>
      <abilityName>标点符号检查</abilityName>
      <candidateList/>
      <explain>同一形式括号套用。</explain>
      <paraID> FD62E9E</paraID>
      <start>49</start>
      <end>50</end>
      <status>unmodified</status>
      <modifiedWord/>
      <trackRevisions>false</trackRevisions>
    </reviewItem>
    <reviewItem>
      <errorID>15cf1b4e-ad05-478a-9ecb-85b39183f97b</errorID>
      <errorWord>(</errorWord>
      <group>L1_Punc</group>
      <groupName>标点问题</groupName>
      <ability>L2_Punc</ability>
      <abilityName>标点符号检查</abilityName>
      <candidateList/>
      <explain>同一形式括号套用。</explain>
      <paraID> FD62E9E</paraID>
      <start>58</start>
      <end>59</end>
      <status>unmodified</status>
      <modifiedWord/>
      <trackRevisions>false</trackRevisions>
    </reviewItem>
    <reviewItem>
      <errorID>e82f2d67-955a-4f07-82a1-376a63e92ac2</errorID>
      <errorWord>)</errorWord>
      <group>L1_Punc</group>
      <groupName>标点问题</groupName>
      <ability>L2_Punc</ability>
      <abilityName>标点符号检查</abilityName>
      <candidateList/>
      <explain>同一形式括号套用。</explain>
      <paraID> FD62E9E</paraID>
      <start>60</start>
      <end>61</end>
      <status>unmodified</status>
      <modifiedWord/>
      <trackRevisions>false</trackRevisions>
    </reviewItem>
    <reviewItem>
      <errorID>c812fff6-ba68-4fbc-a478-c411d8c2e814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3E33824C</paraID>
      <start>0</start>
      <end>3</end>
      <status>unmodified</status>
      <modifiedWord/>
      <trackRevisions>false</trackRevisions>
    </reviewItem>
    <reviewItem>
      <errorID>9e2638e9-0a93-454c-a209-ac9b542bc7d1</errorID>
      <errorWord>(</errorWord>
      <group>L1_Format</group>
      <groupName>格式问题</groupName>
      <ability>L2_HalfPunc</ability>
      <abilityName>全半角检查</abilityName>
      <candidateList>
        <item>（</item>
      </candidateList>
      <explain>文本全半角错误。</explain>
      <paraID>3E33824C</paraID>
      <start>33</start>
      <end>34</end>
      <status>unmodified</status>
      <modifiedWord/>
      <trackRevisions>false</trackRevisions>
    </reviewItem>
    <reviewItem>
      <errorID>4ca0d208-6dd0-4b36-a364-0f1283563e95</errorID>
      <errorWord>)</errorWord>
      <group>L1_Format</group>
      <groupName>格式问题</groupName>
      <ability>L2_HalfPunc</ability>
      <abilityName>全半角检查</abilityName>
      <candidateList>
        <item>）</item>
      </candidateList>
      <explain>文本全半角错误。</explain>
      <paraID>3E33824C</paraID>
      <start>46</start>
      <end>47</end>
      <status>unmodified</status>
      <modifiedWord/>
      <trackRevisions>false</trackRevisions>
    </reviewItem>
    <reviewItem>
      <errorID>8047d537-b056-4cf0-b17a-bb9157a89255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555904F8</paraID>
      <start>0</start>
      <end>3</end>
      <status>unmodified</status>
      <modifiedWord/>
      <trackRevisions>false</trackRevisions>
    </reviewItem>
    <reviewItem>
      <errorID>9346be39-8e92-443f-b23d-bbe0dc1b836a</errorID>
      <errorWord>(</errorWord>
      <group>L1_Format</group>
      <groupName>格式问题</groupName>
      <ability>L2_HalfPunc</ability>
      <abilityName>全半角检查</abilityName>
      <candidateList>
        <item>（</item>
      </candidateList>
      <explain>文本全半角错误。</explain>
      <paraID>555904F8</paraID>
      <start>23</start>
      <end>24</end>
      <status>unmodified</status>
      <modifiedWord/>
      <trackRevisions>false</trackRevisions>
    </reviewItem>
    <reviewItem>
      <errorID>b3fc6713-fabe-4f12-9086-b2f3c7b8877b</errorID>
      <errorWord>)</errorWord>
      <group>L1_Format</group>
      <groupName>格式问题</groupName>
      <ability>L2_HalfPunc</ability>
      <abilityName>全半角检查</abilityName>
      <candidateList>
        <item>）</item>
      </candidateList>
      <explain>文本全半角错误。</explain>
      <paraID>555904F8</paraID>
      <start>37</start>
      <end>38</end>
      <status>unmodified</status>
      <modifiedWord/>
      <trackRevisions>false</trackRevisions>
    </reviewItem>
    <reviewItem>
      <errorID>05df0267-e589-4291-8ddb-26870a774d3c</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416701C9</paraID>
      <start>34</start>
      <end>37</end>
      <status>unmodified</status>
      <modifiedWord/>
      <trackRevisions>false</trackRevisions>
    </reviewItem>
    <reviewItem>
      <errorID>78360a36-3b6b-406b-8e2f-b221f6e46306</errorID>
      <errorWord>（</errorWord>
      <group>L1_Punc</group>
      <groupName>标点问题</groupName>
      <ability>L2_Punc</ability>
      <abilityName>标点符号检查</abilityName>
      <candidateList/>
      <explain>同一形式括号套用。</explain>
      <paraID>7643F156</paraID>
      <start>8</start>
      <end>9</end>
      <status>unmodified</status>
      <modifiedWord/>
      <trackRevisions>false</trackRevisions>
    </reviewItem>
    <reviewItem>
      <errorID>c6b58cd3-161c-46a0-8bac-567a66f821a3</errorID>
      <errorWord>）</errorWord>
      <group>L1_Punc</group>
      <groupName>标点问题</groupName>
      <ability>L2_Punc</ability>
      <abilityName>标点符号检查</abilityName>
      <candidateList/>
      <explain>同一形式括号套用。</explain>
      <paraID>7643F156</paraID>
      <start>10</start>
      <end>11</end>
      <status>unmodified</status>
      <modifiedWord/>
      <trackRevisions>false</trackRevisions>
    </reviewItem>
    <reviewItem>
      <errorID>540f3491-75eb-4d89-8f69-956eedf8fac1</errorID>
      <errorWord>(</errorWord>
      <group>L1_Format</group>
      <groupName>格式问题</groupName>
      <ability>L2_HalfPunc</ability>
      <abilityName>全半角检查</abilityName>
      <candidateList>
        <item>（</item>
      </candidateList>
      <explain>文本全半角错误。</explain>
      <paraID>2F10A765</paraID>
      <start>53</start>
      <end>54</end>
      <status>unmodified</status>
      <modifiedWord/>
      <trackRevisions>false</trackRevisions>
    </reviewItem>
    <reviewItem>
      <errorID>6736c979-1f37-46e4-be07-3eb0bff4a081</errorID>
      <errorWord>)</errorWord>
      <group>L1_Format</group>
      <groupName>格式问题</groupName>
      <ability>L2_HalfPunc</ability>
      <abilityName>全半角检查</abilityName>
      <candidateList>
        <item>）</item>
      </candidateList>
      <explain>文本全半角错误。</explain>
      <paraID>2F10A765</paraID>
      <start>65</start>
      <end>66</end>
      <status>unmodified</status>
      <modifiedWord/>
      <trackRevisions>false</trackRevisions>
    </reviewItem>
    <reviewItem>
      <errorID>fa7c1277-39ce-45db-9c56-c51a19330b06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2248EA2</paraID>
      <start>0</start>
      <end>3</end>
      <status>unmodified</status>
      <modifiedWord/>
      <trackRevisions>false</trackRevisions>
    </reviewItem>
    <reviewItem>
      <errorID>d4877450-7571-4448-b810-6f9f498ef8f5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5EE14C85</paraID>
      <start>0</start>
      <end>3</end>
      <status>unmodified</status>
      <modifiedWord/>
      <trackRevisions>false</trackRevisions>
    </reviewItem>
    <reviewItem>
      <errorID>ab9fd09c-5908-4f41-9302-310d94aa00fd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3D5AE1C4</paraID>
      <start>0</start>
      <end>2</end>
      <status>unmodified</status>
      <modifiedWord/>
      <trackRevisions>false</trackRevisions>
    </reviewItem>
    <reviewItem>
      <errorID>222921aa-bb73-4f1f-890d-1693f4cd9877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5A615097</paraID>
      <start>0</start>
      <end>2</end>
      <status>unmodified</status>
      <modifiedWord/>
      <trackRevisions>false</trackRevisions>
    </reviewItem>
    <reviewItem>
      <errorID>1750294b-7937-4126-a8dd-b88e4338475e</errorID>
      <errorWord>(</errorWord>
      <group>L1_Format</group>
      <groupName>格式问题</groupName>
      <ability>L2_HalfPunc</ability>
      <abilityName>全半角检查</abilityName>
      <candidateList>
        <item>（</item>
      </candidateList>
      <explain>文本全半角错误。</explain>
      <paraID> 902B7F9</paraID>
      <start>14</start>
      <end>15</end>
      <status>unmodified</status>
      <modifiedWord/>
      <trackRevisions>false</trackRevisions>
    </reviewItem>
    <reviewItem>
      <errorID>37e117ff-bf1a-4916-9663-c59bf813c6ed</errorID>
      <errorWord>)</errorWord>
      <group>L1_Format</group>
      <groupName>格式问题</groupName>
      <ability>L2_HalfPunc</ability>
      <abilityName>全半角检查</abilityName>
      <candidateList>
        <item>）</item>
      </candidateList>
      <explain>文本全半角错误。</explain>
      <paraID> 902B7F9</paraID>
      <start>26</start>
      <end>27</end>
      <status>unmodified</status>
      <modifiedWord/>
      <trackRevisions>false</trackRevisions>
    </reviewItem>
    <reviewItem>
      <errorID>2ff3d69d-247e-4286-a16b-c28e2d69782d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7AA03E03</paraID>
      <start>0</start>
      <end>2</end>
      <status>unmodified</status>
      <modifiedWord/>
      <trackRevisions>false</trackRevisions>
    </reviewItem>
    <reviewItem>
      <errorID>a6ba7e03-0f69-47a8-8317-fa0b9ae6808c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2580B9AA</paraID>
      <start>0</start>
      <end>2</end>
      <status>unmodified</status>
      <modifiedWord/>
      <trackRevisions>false</trackRevisions>
    </reviewItem>
    <reviewItem>
      <errorID>e3a15ac1-9a52-4182-9b0b-e2625cc608ca</errorID>
      <errorWord>检定</errorWord>
      <group>L1_Word</group>
      <groupName>字词问题</groupName>
      <ability>L2_Typo</ability>
      <abilityName>字词错误</abilityName>
      <candidateList>
        <item>鉴定</item>
      </candidateList>
      <explain/>
      <paraID> 84E81A7</paraID>
      <start>0</start>
      <end>2</end>
      <status>unmodified</status>
      <modifiedWord/>
      <trackRevisions>false</trackRevisions>
    </reviewItem>
    <reviewItem>
      <errorID>884d3f7b-9216-4fd5-acc1-9256d32ca775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1551F4AB</paraID>
      <start>0</start>
      <end>2</end>
      <status>unmodified</status>
      <modifiedWord/>
      <trackRevisions>false</trackRevisions>
    </reviewItem>
    <reviewItem>
      <errorID>08569633-6969-46a2-8167-8baffcf73fa0</errorID>
      <errorWord>)</errorWord>
      <group>L1_Format</group>
      <groupName>格式问题</groupName>
      <ability>L2_HalfPunc</ability>
      <abilityName>全半角检查</abilityName>
      <candidateList>
        <item>）</item>
      </candidateList>
      <explain>文本全半角错误。</explain>
      <paraID>1390062D</paraID>
      <start>53</start>
      <end>54</end>
      <status>unmodified</status>
      <modifiedWord/>
      <trackRevisions>false</trackRevisions>
    </reviewItem>
    <reviewItem>
      <errorID>2d5dcba1-af9d-4560-96d7-d07553819237</errorID>
      <errorWord>)</errorWord>
      <group>L1_Format</group>
      <groupName>格式问题</groupName>
      <ability>L2_HalfPunc</ability>
      <abilityName>全半角检查</abilityName>
      <candidateList>
        <item>）</item>
      </candidateList>
      <explain>文本全半角错误。</explain>
      <paraID>1390062D</paraID>
      <start>76</start>
      <end>77</end>
      <status>unmodified</status>
      <modifiedWord/>
      <trackRevisions>false</trackRevisions>
    </reviewItem>
    <reviewItem>
      <errorID>c353d956-e59b-482c-a9dc-9b982fb7e7e4</errorID>
      <errorWord>(</errorWord>
      <group>L1_Format</group>
      <groupName>格式问题</groupName>
      <ability>L2_HalfPunc</ability>
      <abilityName>全半角检查</abilityName>
      <candidateList>
        <item>（</item>
      </candidateList>
      <explain>文本全半角错误。</explain>
      <paraID>1390062D</paraID>
      <start>171</start>
      <end>172</end>
      <status>unmodified</status>
      <modifiedWord/>
      <trackRevisions>false</trackRevisions>
    </reviewItem>
    <reviewItem>
      <errorID>65d8a345-4734-4c9b-9c66-ac9c039b3674</errorID>
      <errorWord>)</errorWord>
      <group>L1_Format</group>
      <groupName>格式问题</groupName>
      <ability>L2_HalfPunc</ability>
      <abilityName>全半角检查</abilityName>
      <candidateList>
        <item>）</item>
      </candidateList>
      <explain>文本全半角错误。</explain>
      <paraID>1390062D</paraID>
      <start>183</start>
      <end>184</end>
      <status>unmodified</status>
      <modifiedWord/>
      <trackRevisions>false</trackRevisions>
    </reviewItem>
    <reviewItem>
      <errorID>0faa03cf-9246-48c3-ae52-850962a3183a</errorID>
      <errorWord>(</errorWord>
      <group>L1_Format</group>
      <groupName>格式问题</groupName>
      <ability>L2_HalfPunc</ability>
      <abilityName>全半角检查</abilityName>
      <candidateList>
        <item>（</item>
      </candidateList>
      <explain>文本全半角错误。</explain>
      <paraID>12B5F167</paraID>
      <start>21</start>
      <end>22</end>
      <status>unmodified</status>
      <modifiedWord/>
      <trackRevisions>false</trackRevisions>
    </reviewItem>
    <reviewItem>
      <errorID>b0bf4aa0-78d8-445b-823b-3e7c89eb8ed8</errorID>
      <errorWord>)</errorWord>
      <group>L1_Format</group>
      <groupName>格式问题</groupName>
      <ability>L2_HalfPunc</ability>
      <abilityName>全半角检查</abilityName>
      <candidateList>
        <item>）</item>
      </candidateList>
      <explain>文本全半角错误。</explain>
      <paraID>12B5F167</paraID>
      <start>32</start>
      <end>33</end>
      <status>unmodified</status>
      <modifiedWord/>
      <trackRevisions>false</trackRevisions>
    </reviewItem>
    <reviewItem>
      <errorID>1119bd1e-117d-48da-b60c-3cb48f8b1354</errorID>
      <errorWord>)</errorWord>
      <group>L1_Format</group>
      <groupName>格式问题</groupName>
      <ability>L2_HalfPunc</ability>
      <abilityName>全半角检查</abilityName>
      <candidateList>
        <item>）</item>
      </candidateList>
      <explain>文本全半角错误。</explain>
      <paraID>12B5F167</paraID>
      <start>93</start>
      <end>94</end>
      <status>unmodified</status>
      <modifiedWord/>
      <trackRevisions>false</trackRevisions>
    </reviewItem>
    <reviewItem>
      <errorID>3aff7815-88bb-4d87-8f67-bb236f3f7f82</errorID>
      <errorWord>)</errorWord>
      <group>L1_Format</group>
      <groupName>格式问题</groupName>
      <ability>L2_HalfPunc</ability>
      <abilityName>全半角检查</abilityName>
      <candidateList>
        <item>）</item>
      </candidateList>
      <explain>文本全半角错误。</explain>
      <paraID>52C309ED</paraID>
      <start>94</start>
      <end>95</end>
      <status>unmodified</status>
      <modifiedWord/>
      <trackRevisions>false</trackRevisions>
    </reviewItem>
    <reviewItem>
      <errorID>96b527ae-c5bf-48a7-ae30-cc05a02e5d7a</errorID>
      <errorWord>,</errorWord>
      <group>L1_Format</group>
      <groupName>格式问题</groupName>
      <ability>L2_HalfPunc</ability>
      <abilityName>全半角检查</abilityName>
      <candidateList>
        <item>，</item>
      </candidateList>
      <explain>文本全半角错误。</explain>
      <paraID> AE53F9F</paraID>
      <start>65</start>
      <end>66</end>
      <status>unmodified</status>
      <modifiedWord/>
      <trackRevisions>false</trackRevisions>
    </reviewItem>
    <reviewItem>
      <errorID>a02e5d31-a451-415b-ab5e-f3267bd899ce</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 E40EC71</paraID>
      <start>80</start>
      <end>83</end>
      <status>unmodified</status>
      <modifiedWord/>
      <trackRevisions>false</trackRevisions>
    </reviewItem>
    <reviewItem>
      <errorID>fdc1eaea-a93b-4a7d-bdb3-672e5019f35a</errorID>
      <errorWord>(</errorWord>
      <group>L1_Format</group>
      <groupName>格式问题</groupName>
      <ability>L2_HalfPunc</ability>
      <abilityName>全半角检查</abilityName>
      <candidateList>
        <item>（</item>
      </candidateList>
      <explain>文本全半角错误。</explain>
      <paraID>2C30142E</paraID>
      <start>19</start>
      <end>20</end>
      <status>unmodified</status>
      <modifiedWord/>
      <trackRevisions>false</trackRevisions>
    </reviewItem>
    <reviewItem>
      <errorID>12ba21f4-0095-437d-b692-da6d948f5ee9</errorID>
      <errorWord>)</errorWord>
      <group>L1_Format</group>
      <groupName>格式问题</groupName>
      <ability>L2_HalfPunc</ability>
      <abilityName>全半角检查</abilityName>
      <candidateList>
        <item>）</item>
      </candidateList>
      <explain>文本全半角错误。</explain>
      <paraID>2C30142E</paraID>
      <start>32</start>
      <end>33</end>
      <status>unmodified</status>
      <modifiedWord/>
      <trackRevisions>false</trackRevisions>
    </reviewItem>
    <reviewItem>
      <errorID>612f3fe6-2671-4909-9c65-ebbadc8fd6d2</errorID>
      <errorWord>(</errorWord>
      <group>L1_Format</group>
      <groupName>格式问题</groupName>
      <ability>L2_HalfPunc</ability>
      <abilityName>全半角检查</abilityName>
      <candidateList>
        <item>（</item>
      </candidateList>
      <explain>文本全半角错误。</explain>
      <paraID>2C30142E</paraID>
      <start>46</start>
      <end>47</end>
      <status>unmodified</status>
      <modifiedWord/>
      <trackRevisions>false</trackRevisions>
    </reviewItem>
    <reviewItem>
      <errorID>198e685e-c80e-4d00-b8b1-76d76cf47a81</errorID>
      <errorWord>)</errorWord>
      <group>L1_Format</group>
      <groupName>格式问题</groupName>
      <ability>L2_HalfPunc</ability>
      <abilityName>全半角检查</abilityName>
      <candidateList>
        <item>）</item>
      </candidateList>
      <explain>文本全半角错误。</explain>
      <paraID>2C30142E</paraID>
      <start>58</start>
      <end>59</end>
      <status>unmodified</status>
      <modifiedWord/>
      <trackRevisions>false</trackRevisions>
    </reviewItem>
    <reviewItem>
      <errorID>2558aacf-fd3f-411d-be19-8f9da5c46ab6</errorID>
      <errorWord>(</errorWord>
      <group>L1_Format</group>
      <groupName>格式问题</groupName>
      <ability>L2_HalfPunc</ability>
      <abilityName>全半角检查</abilityName>
      <candidateList>
        <item>（</item>
      </candidateList>
      <explain>文本全半角错误。</explain>
      <paraID>2C30142E</paraID>
      <start>172</start>
      <end>173</end>
      <status>unmodified</status>
      <modifiedWord/>
      <trackRevisions>false</trackRevisions>
    </reviewItem>
    <reviewItem>
      <errorID>c7c2eb46-2f97-4804-bf98-0a4ddfd25d4d</errorID>
      <errorWord>)</errorWord>
      <group>L1_Format</group>
      <groupName>格式问题</groupName>
      <ability>L2_HalfPunc</ability>
      <abilityName>全半角检查</abilityName>
      <candidateList>
        <item>）</item>
      </candidateList>
      <explain>文本全半角错误。</explain>
      <paraID>2C30142E</paraID>
      <start>181</start>
      <end>182</end>
      <status>unmodified</status>
      <modifiedWord/>
      <trackRevisions>false</trackRevisions>
    </reviewItem>
    <reviewItem>
      <errorID>6b4c5203-f2b7-4122-9599-f4b841c22f5f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2F837069</paraID>
      <start>0</start>
      <end>2</end>
      <status>unmodified</status>
      <modifiedWord/>
      <trackRevisions>false</trackRevisions>
    </reviewItem>
    <reviewItem>
      <errorID>e97eb70c-a047-4925-9d70-bf38f2b21d01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1F43715A</paraID>
      <start>0</start>
      <end>2</end>
      <status>unmodified</status>
      <modifiedWord/>
      <trackRevisions>false</trackRevisions>
    </reviewItem>
    <reviewItem>
      <errorID>faf5ed2e-3f79-4c34-83fc-b205a1a21df4</errorID>
      <errorWord>、及</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1F43715A</paraID>
      <start>5</start>
      <end>7</end>
      <status>unmodified</status>
      <modifiedWord/>
      <trackRevisions>false</trackRevisions>
    </reviewItem>
    <reviewItem>
      <errorID>3333c8cb-e95d-44d5-852a-e5f10812542b</errorID>
      <errorWord>有</errorWord>
      <group>L1_Word</group>
      <groupName>字词问题</groupName>
      <ability>L2_Typo</ability>
      <abilityName>字词错误</abilityName>
      <candidateList>
        <item>由</item>
      </candidateList>
      <explain>❶缘由：因～｜事～｜理～。❷〈介〉由于▲：咎～自取｜～感冒引起了肺炎。❸经过：必～之路。❹〈介〉表示经由：～南门入场。❺〈动〉顺随；听从：事不～己｜～着性子。❻〈介〉归（某人去做）：准备工作～我负责｜队长～你担任。❼〈介〉表示凭借：～此可知｜人体是～各种细胞组成的。❽〈介〉表示起点：～表及里｜～北京出发。</explain>
      <paraID>1F55607A</paraID>
      <start>13</start>
      <end>14</end>
      <status>unmodified</status>
      <modifiedWord/>
      <trackRevisions>false</trackRevisions>
    </reviewItem>
    <reviewItem>
      <errorID>7d863e6e-f194-4f55-9f54-03b295099e36</errorID>
      <errorWord>、及</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 33E1A52</paraID>
      <start>3</start>
      <end>5</end>
      <status>unmodified</status>
      <modifiedWord/>
      <trackRevisions>false</trackRevisions>
    </reviewItem>
    <reviewItem>
      <errorID>1e7717a6-1b87-4990-99a4-7f0ae0f0ed70</errorID>
      <errorWord>(</errorWord>
      <group>L1_Format</group>
      <groupName>格式问题</groupName>
      <ability>L2_HalfPunc</ability>
      <abilityName>全半角检查</abilityName>
      <candidateList>
        <item>（</item>
      </candidateList>
      <explain>文本全半角错误。</explain>
      <paraID>497337B8</paraID>
      <start>18</start>
      <end>19</end>
      <status>unmodified</status>
      <modifiedWord/>
      <trackRevisions>false</trackRevisions>
    </reviewItem>
    <reviewItem>
      <errorID>3a080bc0-2414-4278-919d-4ae7573fe304</errorID>
      <errorWord>)</errorWord>
      <group>L1_Format</group>
      <groupName>格式问题</groupName>
      <ability>L2_HalfPunc</ability>
      <abilityName>全半角检查</abilityName>
      <candidateList>
        <item>）</item>
      </candidateList>
      <explain>文本全半角错误。</explain>
      <paraID>497337B8</paraID>
      <start>29</start>
      <end>30</end>
      <status>unmodified</status>
      <modifiedWord/>
      <trackRevisions>false</trackRevisions>
    </reviewItem>
    <reviewItem>
      <errorID>3089844b-52c2-4832-9f26-f95e6bb0b859</errorID>
      <errorWord>(</errorWord>
      <group>L1_Format</group>
      <groupName>格式问题</groupName>
      <ability>L2_HalfPunc</ability>
      <abilityName>全半角检查</abilityName>
      <candidateList>
        <item>（</item>
      </candidateList>
      <explain>文本全半角错误。</explain>
      <paraID>497337B8</paraID>
      <start>51</start>
      <end>52</end>
      <status>unmodified</status>
      <modifiedWord/>
      <trackRevisions>false</trackRevisions>
    </reviewItem>
    <reviewItem>
      <errorID>77d4d91f-da3c-422c-bbfe-2e4b2393be78</errorID>
      <errorWord>)</errorWord>
      <group>L1_Format</group>
      <groupName>格式问题</groupName>
      <ability>L2_HalfPunc</ability>
      <abilityName>全半角检查</abilityName>
      <candidateList>
        <item>）</item>
      </candidateList>
      <explain>文本全半角错误。</explain>
      <paraID>497337B8</paraID>
      <start>63</start>
      <end>64</end>
      <status>unmodified</status>
      <modifiedWord/>
      <trackRevisions>false</trackRevisions>
    </reviewItem>
    <reviewItem>
      <errorID>bfe2fb17-2ed5-4363-b410-83cbc73f9e16</errorID>
      <errorWord>(</errorWord>
      <group>L1_Format</group>
      <groupName>格式问题</groupName>
      <ability>L2_HalfPunc</ability>
      <abilityName>全半角检查</abilityName>
      <candidateList>
        <item>（</item>
      </candidateList>
      <explain>文本全半角错误。</explain>
      <paraID> 253CD10</paraID>
      <start>23</start>
      <end>24</end>
      <status>unmodified</status>
      <modifiedWord/>
      <trackRevisions>false</trackRevisions>
    </reviewItem>
    <reviewItem>
      <errorID>2c707e82-8b3d-4c25-baf3-2d46c73d1886</errorID>
      <errorWord>)</errorWord>
      <group>L1_Format</group>
      <groupName>格式问题</groupName>
      <ability>L2_HalfPunc</ability>
      <abilityName>全半角检查</abilityName>
      <candidateList>
        <item>）</item>
      </candidateList>
      <explain>文本全半角错误。</explain>
      <paraID> 253CD10</paraID>
      <start>35</start>
      <end>36</end>
      <status>unmodified</status>
      <modifiedWord/>
      <trackRevisions>false</trackRevisions>
    </reviewItem>
    <reviewItem>
      <errorID>7e1947a9-7a18-471d-a11e-5e95f3ccf595</errorID>
      <errorWord>-</errorWord>
      <group>L1_Format</group>
      <groupName>格式问题</groupName>
      <ability>L2_HalfPunc</ability>
      <abilityName>全半角检查</abilityName>
      <candidateList>
        <item>－</item>
      </candidateList>
      <explain>文本全半角错误。</explain>
      <paraID> 253CD10</paraID>
      <start>73</start>
      <end>74</end>
      <status>unmodified</status>
      <modifiedWord/>
      <trackRevisions>false</trackRevisions>
    </reviewItem>
    <reviewItem>
      <errorID>2a4176cb-d036-4560-a648-0c613f850f23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78394869</paraID>
      <start>0</start>
      <end>3</end>
      <status>unmodified</status>
      <modifiedWord/>
      <trackRevisions>false</trackRevisions>
    </reviewItem>
    <reviewItem>
      <errorID>63b0a083-1022-45e9-9f7b-072ff0762128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7EED9067</paraID>
      <start>0</start>
      <end>3</end>
      <status>unmodified</status>
      <modifiedWord/>
      <trackRevisions>false</trackRevisions>
    </reviewItem>
    <reviewItem>
      <errorID>8e0c4098-0017-4f7a-9822-9ec33a31066d</errorID>
      <errorWord>以便能</errorWord>
      <group>L1_Word</group>
      <groupName>字词问题</groupName>
      <ability>L2_Typo</ability>
      <abilityName>字词错误</abilityName>
      <candidateList>
        <item>以便</item>
      </candidateList>
      <explain>〈连〉用在下半句话的开头，表示使下文所说的目的容易实现：请在信封上写清邮政编码，～迅速投递。</explain>
      <paraID>7EED9067</paraID>
      <start>41</start>
      <end>44</end>
      <status>unmodified</status>
      <modifiedWord/>
      <trackRevisions>false</trackRevisions>
    </reviewItem>
    <reviewItem>
      <errorID>e98243b2-dcdd-4ce5-9ec6-4fa60c81d630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3FFA81AB</paraID>
      <start>0</start>
      <end>3</end>
      <status>unmodified</status>
      <modifiedWord/>
      <trackRevisions>false</trackRevisions>
    </reviewItem>
    <reviewItem>
      <errorID>97a96f02-c808-46d5-b751-f6fc8847be2b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305684E0</paraID>
      <start>0</start>
      <end>3</end>
      <status>unmodified</status>
      <modifiedWord/>
      <trackRevisions>false</trackRevisions>
    </reviewItem>
    <reviewItem>
      <errorID>6c9a3a1c-5d03-4017-9ef7-cdffd6a791c4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1630420</paraID>
      <start>0</start>
      <end>3</end>
      <status>unmodified</status>
      <modifiedWord/>
      <trackRevisions>false</trackRevisions>
    </reviewItem>
    <reviewItem>
      <errorID>2ae65540-0ad4-4e44-9b1a-7dd60476eed0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3F05CB6C</paraID>
      <start>0</start>
      <end>3</end>
      <status>unmodified</status>
      <modifiedWord/>
      <trackRevisions>false</trackRevisions>
    </reviewItem>
    <reviewItem>
      <errorID>12cfae21-5ed6-4385-948e-763e68d191f7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38EEE570</paraID>
      <start>0</start>
      <end>3</end>
      <status>unmodified</status>
      <modifiedWord/>
      <trackRevisions>false</trackRevisions>
    </reviewItem>
    <reviewItem>
      <errorID>72803679-0992-443b-8bf4-ba42d92933b2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541131C8</paraID>
      <start>0</start>
      <end>3</end>
      <status>unmodified</status>
      <modifiedWord/>
      <trackRevisions>false</trackRevisions>
    </reviewItem>
    <reviewItem>
      <errorID>7d0228d5-b490-4259-9402-355fc93b76df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4DEA7409</paraID>
      <start>0</start>
      <end>3</end>
      <status>unmodified</status>
      <modifiedWord/>
      <trackRevisions>false</trackRevisions>
    </reviewItem>
    <reviewItem>
      <errorID>a7909402-5a85-4979-8eee-4e7e3fe1cde1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27878460</paraID>
      <start>0</start>
      <end>3</end>
      <status>unmodified</status>
      <modifiedWord/>
      <trackRevisions>false</trackRevisions>
    </reviewItem>
    <reviewItem>
      <errorID>35906f4d-1a1d-42fc-95ef-71d14c838ff4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1D4CAFD1</paraID>
      <start>0</start>
      <end>3</end>
      <status>unmodified</status>
      <modifiedWord/>
      <trackRevisions>false</trackRevisions>
    </reviewItem>
    <reviewItem>
      <errorID>769ee943-f604-4df2-b325-744c6913150b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728E6849</paraID>
      <start>0</start>
      <end>3</end>
      <status>unmodified</status>
      <modifiedWord/>
      <trackRevisions>false</trackRevisions>
    </reviewItem>
    <reviewItem>
      <errorID>d10f7f6d-fc98-417b-8db7-40d4873c7caf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669C3B1D</paraID>
      <start>0</start>
      <end>3</end>
      <status>unmodified</status>
      <modifiedWord/>
      <trackRevisions>false</trackRevisions>
    </reviewItem>
    <reviewItem>
      <errorID>31063855-0c53-4717-b941-c5f8a69a24ea</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7B809D33</paraID>
      <start>0</start>
      <end>3</end>
      <status>unmodified</status>
      <modifiedWord/>
      <trackRevisions>false</trackRevisions>
    </reviewItem>
    <reviewItem>
      <errorID>81a7d0f6-d797-4521-8e44-9bb34fb65471</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45876993</paraID>
      <start>0</start>
      <end>3</end>
      <status>unmodified</status>
      <modifiedWord/>
      <trackRevisions>false</trackRevisions>
    </reviewItem>
    <reviewItem>
      <errorID>908b82d9-92b3-4347-ab76-5d2972c650bf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2FB4CEFF</paraID>
      <start>0</start>
      <end>3</end>
      <status>unmodified</status>
      <modifiedWord/>
      <trackRevisions>false</trackRevisions>
    </reviewItem>
    <reviewItem>
      <errorID>8ae2f32b-47dc-4e01-8a51-f3c305f59d3b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6404E32C</paraID>
      <start>0</start>
      <end>3</end>
      <status>unmodified</status>
      <modifiedWord/>
      <trackRevisions>false</trackRevisions>
    </reviewItem>
    <reviewItem>
      <errorID>08cc4735-2da7-47e2-854c-d64f8a71092c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65FFEC92</paraID>
      <start>0</start>
      <end>3</end>
      <status>unmodified</status>
      <modifiedWord/>
      <trackRevisions>false</trackRevisions>
    </reviewItem>
    <reviewItem>
      <errorID>9ee5c88a-b874-4697-b017-27a376c6b634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52602C7C</paraID>
      <start>0</start>
      <end>3</end>
      <status>unmodified</status>
      <modifiedWord/>
      <trackRevisions>false</trackRevisions>
    </reviewItem>
    <reviewItem>
      <errorID>c899f08b-2fa8-4a2f-9d64-1a9325e79a20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CF0410</paraID>
      <start>0</start>
      <end>3</end>
      <status>unmodified</status>
      <modifiedWord/>
      <trackRevisions>false</trackRevisions>
    </reviewItem>
    <reviewItem>
      <errorID>b9b65f0a-10fb-4f95-9db8-27803df70f6a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276DE0A9</paraID>
      <start>0</start>
      <end>3</end>
      <status>unmodified</status>
      <modifiedWord/>
      <trackRevisions>false</trackRevisions>
    </reviewItem>
    <reviewItem>
      <errorID>d400beae-5b28-419f-997b-ca2cc697ae03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CE3AAB0</paraID>
      <start>0</start>
      <end>3</end>
      <status>unmodified</status>
      <modifiedWord/>
      <trackRevisions>false</trackRevisions>
    </reviewItem>
    <reviewItem>
      <errorID>38ab0dfb-89ac-4986-b8f3-579c394c0df7</errorID>
      <errorWord>-</errorWord>
      <group>L1_Format</group>
      <groupName>格式问题</groupName>
      <ability>L2_HalfPunc</ability>
      <abilityName>全半角检查</abilityName>
      <candidateList>
        <item>－</item>
      </candidateList>
      <explain>文本全半角错误。</explain>
      <paraID>3470E56F</paraID>
      <start>89</start>
      <end>90</end>
      <status>unmodified</status>
      <modifiedWord/>
      <trackRevisions>false</trackRevisions>
    </reviewItem>
    <reviewItem>
      <errorID>6aacafab-6e45-4d92-bb86-5367e845f24c</errorID>
      <errorWord>-</errorWord>
      <group>L1_Format</group>
      <groupName>格式问题</groupName>
      <ability>L2_HalfPunc</ability>
      <abilityName>全半角检查</abilityName>
      <candidateList>
        <item>－</item>
      </candidateList>
      <explain>文本全半角错误。</explain>
      <paraID>3470E56F</paraID>
      <start>94</start>
      <end>95</end>
      <status>unmodified</status>
      <modifiedWord/>
      <trackRevisions>false</trackRevisions>
    </reviewItem>
    <reviewItem>
      <errorID>30ac8635-6230-4610-bbea-be6b334a9bc4</errorID>
      <errorWord>-</errorWord>
      <group>L1_Format</group>
      <groupName>格式问题</groupName>
      <ability>L2_HalfPunc</ability>
      <abilityName>全半角检查</abilityName>
      <candidateList>
        <item>－</item>
      </candidateList>
      <explain>文本全半角错误。</explain>
      <paraID>3470E56F</paraID>
      <start>103</start>
      <end>104</end>
      <status>unmodified</status>
      <modifiedWord/>
      <trackRevisions>false</trackRevisions>
    </reviewItem>
    <reviewItem>
      <errorID>c492c54d-2af2-4482-903f-09fff7a2aaaf</errorID>
      <errorWord>束</errorWord>
      <group>L1_Word</group>
      <groupName>字词问题</groupName>
      <ability>L2_Typo</ability>
      <abilityName>字词错误</abilityName>
      <candidateList>
        <item>束后</item>
      </candidateList>
      <explain/>
      <paraID>30FBFA39</paraID>
      <start>27</start>
      <end>28</end>
      <status>unmodified</status>
      <modifiedWord/>
      <trackRevisions>false</trackRevisions>
    </reviewItem>
    <reviewItem>
      <errorID>fee5055a-9a42-47b9-8eda-2f36a6e1ddf2</errorID>
      <errorWord>项目的</errorWord>
      <group>L1_Word</group>
      <groupName>字词问题</groupName>
      <ability>L2_Typo</ability>
      <abilityName>字词错误</abilityName>
      <candidateList>
        <item>项目</item>
      </candidateList>
      <explain>〈名〉事物分成的门类：服务～｜体育～｜建设～。</explain>
      <paraID>30FBFA39</paraID>
      <start>36</start>
      <end>39</end>
      <status>unmodified</status>
      <modifiedWord/>
      <trackRevisions>false</trackRevisions>
    </reviewItem>
    <reviewItem>
      <errorID>7fd875b8-ef10-4521-ac3e-db10c80dd035</errorID>
      <errorWord>最小</errorWord>
      <group>L1_Word</group>
      <groupName>字词问题</groupName>
      <ability>L2_Typo</ability>
      <abilityName>字词错误</abilityName>
      <candidateList>
        <item>最低</item>
      </candidateList>
      <explain/>
      <paraID>61429F3C</paraID>
      <start>57</start>
      <end>59</end>
      <status>unmodified</status>
      <modifiedWord/>
      <trackRevisions>false</trackRevisions>
    </reviewItem>
    <reviewItem>
      <errorID>39162369-f84c-498c-ba29-bdfc1a6e8300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57BB85E7</paraID>
      <start>0</start>
      <end>3</end>
      <status>unmodified</status>
      <modifiedWord/>
      <trackRevisions>false</trackRevisions>
    </reviewItem>
    <reviewItem>
      <errorID>bf7bad12-2df4-4c91-9dd9-1f783ac59032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73EB4DB9</paraID>
      <start>0</start>
      <end>3</end>
      <status>unmodified</status>
      <modifiedWord/>
      <trackRevisions>false</trackRevisions>
    </reviewItem>
    <reviewItem>
      <errorID>2a7c8c58-b394-43ce-9e72-0c45ed997819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2C6BFE35</paraID>
      <start>0</start>
      <end>3</end>
      <status>unmodified</status>
      <modifiedWord/>
      <trackRevisions>false</trackRevisions>
    </reviewItem>
    <reviewItem>
      <errorID>f5e149ef-c511-4e4e-8c31-214d5ed1563f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23B15012</paraID>
      <start>0</start>
      <end>3</end>
      <status>unmodified</status>
      <modifiedWord/>
      <trackRevisions>false</trackRevisions>
    </reviewItem>
    <reviewItem>
      <errorID>7bb76045-6349-4512-b72d-969c9b591ae2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7BDC67A9</paraID>
      <start>0</start>
      <end>3</end>
      <status>unmodified</status>
      <modifiedWord/>
      <trackRevisions>false</trackRevisions>
    </reviewItem>
    <reviewItem>
      <errorID>b57a99d4-743a-477c-8dd9-337f348bc6b5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A924546</paraID>
      <start>0</start>
      <end>3</end>
      <status>unmodified</status>
      <modifiedWord/>
      <trackRevisions>false</trackRevisions>
    </reviewItem>
    <reviewItem>
      <errorID>12c1b2bd-13f9-44c4-ba3e-d5795d08be32</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105DB319</paraID>
      <start>0</start>
      <end>3</end>
      <status>unmodified</status>
      <modifiedWord/>
      <trackRevisions>false</trackRevisions>
    </reviewItem>
    <reviewItem>
      <errorID>7b44999c-6bcd-4e5e-a313-c0f64d767e06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1F5EAED6</paraID>
      <start>0</start>
      <end>3</end>
      <status>unmodified</status>
      <modifiedWord/>
      <trackRevisions>false</trackRevisions>
    </reviewItem>
    <reviewItem>
      <errorID>b25fb345-598f-4c02-9165-4976518a12be</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94553D9</paraID>
      <start>0</start>
      <end>3</end>
      <status>unmodified</status>
      <modifiedWord/>
      <trackRevisions>false</trackRevisions>
    </reviewItem>
    <reviewItem>
      <errorID>b58270b5-9844-467d-bc36-acf3a02785a9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7DF17CAD</paraID>
      <start>0</start>
      <end>3</end>
      <status>unmodified</status>
      <modifiedWord/>
      <trackRevisions>false</trackRevisions>
    </reviewItem>
    <reviewItem>
      <errorID>e8f1dd4b-c6ca-4140-9c26-bc7a39d00168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2F5AF1D6</paraID>
      <start>0</start>
      <end>3</end>
      <status>unmodified</status>
      <modifiedWord/>
      <trackRevisions>false</trackRevisions>
    </reviewItem>
    <reviewItem>
      <errorID>f64e1f46-43e5-4e77-9e42-6b1578e8817b</errorID>
      <errorWord>(</errorWord>
      <group>L1_Format</group>
      <groupName>格式问题</groupName>
      <ability>L2_HalfPunc</ability>
      <abilityName>全半角检查</abilityName>
      <candidateList>
        <item>（</item>
      </candidateList>
      <explain>文本全半角错误。</explain>
      <paraID>2F5AF1D6</paraID>
      <start>13</start>
      <end>14</end>
      <status>unmodified</status>
      <modifiedWord/>
      <trackRevisions>false</trackRevisions>
    </reviewItem>
    <reviewItem>
      <errorID>9f59eb9d-1726-4095-9553-ba7bef4cd374</errorID>
      <errorWord>)</errorWord>
      <group>L1_Format</group>
      <groupName>格式问题</groupName>
      <ability>L2_HalfPunc</ability>
      <abilityName>全半角检查</abilityName>
      <candidateList>
        <item>）</item>
      </candidateList>
      <explain>文本全半角错误。</explain>
      <paraID>2F5AF1D6</paraID>
      <start>26</start>
      <end>27</end>
      <status>unmodified</status>
      <modifiedWord/>
      <trackRevisions>false</trackRevisions>
    </reviewItem>
    <reviewItem>
      <errorID>a7990583-77df-40be-bc8e-fc99018e6a7e</errorID>
      <errorWord>(</errorWord>
      <group>L1_Format</group>
      <groupName>格式问题</groupName>
      <ability>L2_HalfPunc</ability>
      <abilityName>全半角检查</abilityName>
      <candidateList>
        <item>（</item>
      </candidateList>
      <explain>文本全半角错误。</explain>
      <paraID>2F5AF1D6</paraID>
      <start>60</start>
      <end>61</end>
      <status>unmodified</status>
      <modifiedWord/>
      <trackRevisions>false</trackRevisions>
    </reviewItem>
    <reviewItem>
      <errorID>caf7d8d4-990e-4d79-be42-72043f5f4d58</errorID>
      <errorWord>)</errorWord>
      <group>L1_Format</group>
      <groupName>格式问题</groupName>
      <ability>L2_HalfPunc</ability>
      <abilityName>全半角检查</abilityName>
      <candidateList>
        <item>）</item>
      </candidateList>
      <explain>文本全半角错误。</explain>
      <paraID>2F5AF1D6</paraID>
      <start>67</start>
      <end>68</end>
      <status>unmodified</status>
      <modifiedWord/>
      <trackRevisions>false</trackRevisions>
    </reviewItem>
    <reviewItem>
      <errorID>c2f4abfa-080a-4c41-ae0b-9958d27376c3</errorID>
      <errorWord>(</errorWord>
      <group>L1_Format</group>
      <groupName>格式问题</groupName>
      <ability>L2_HalfPunc</ability>
      <abilityName>全半角检查</abilityName>
      <candidateList>
        <item>（</item>
      </candidateList>
      <explain>文本全半角错误。</explain>
      <paraID>2F5AF1D6</paraID>
      <start>69</start>
      <end>70</end>
      <status>unmodified</status>
      <modifiedWord/>
      <trackRevisions>false</trackRevisions>
    </reviewItem>
    <reviewItem>
      <errorID>6d5b1d6f-be04-4c59-af03-2a119db4d6aa</errorID>
      <errorWord>)</errorWord>
      <group>L1_Format</group>
      <groupName>格式问题</groupName>
      <ability>L2_HalfPunc</ability>
      <abilityName>全半角检查</abilityName>
      <candidateList>
        <item>）</item>
      </candidateList>
      <explain>文本全半角错误。</explain>
      <paraID>2F5AF1D6</paraID>
      <start>82</start>
      <end>83</end>
      <status>unmodified</status>
      <modifiedWord/>
      <trackRevisions>false</trackRevisions>
    </reviewItem>
    <reviewItem>
      <errorID>005ffc9d-9784-44cd-ad11-1771dac9ba83</errorID>
      <errorWord>(</errorWord>
      <group>L1_Format</group>
      <groupName>格式问题</groupName>
      <ability>L2_HalfPunc</ability>
      <abilityName>全半角检查</abilityName>
      <candidateList>
        <item>（</item>
      </candidateList>
      <explain>文本全半角错误。</explain>
      <paraID>2F5AF1D6</paraID>
      <start>106</start>
      <end>107</end>
      <status>unmodified</status>
      <modifiedWord/>
      <trackRevisions>false</trackRevisions>
    </reviewItem>
    <reviewItem>
      <errorID>5ee8815b-c437-4b19-9377-e5541b63ab80</errorID>
      <errorWord>)</errorWord>
      <group>L1_Format</group>
      <groupName>格式问题</groupName>
      <ability>L2_HalfPunc</ability>
      <abilityName>全半角检查</abilityName>
      <candidateList>
        <item>）</item>
      </candidateList>
      <explain>文本全半角错误。</explain>
      <paraID>2F5AF1D6</paraID>
      <start>120</start>
      <end>121</end>
      <status>unmodified</status>
      <modifiedWord/>
      <trackRevisions>false</trackRevisions>
    </reviewItem>
    <reviewItem>
      <errorID>bf09e296-6866-4406-a5b6-02a0cf7c29f9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689EF7E</paraID>
      <start>0</start>
      <end>3</end>
      <status>unmodified</status>
      <modifiedWord/>
      <trackRevisions>false</trackRevisions>
    </reviewItem>
    <reviewItem>
      <errorID>609c1531-8cec-40c2-8d0c-0c06eeef670a</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 689EF7E</paraID>
      <start>37</start>
      <end>40</end>
      <status>unmodified</status>
      <modifiedWord/>
      <trackRevisions>false</trackRevisions>
    </reviewItem>
    <reviewItem>
      <errorID>39b44cfb-9649-4191-a518-72ca098f6146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25183CC6</paraID>
      <start>0</start>
      <end>3</end>
      <status>unmodified</status>
      <modifiedWord/>
      <trackRevisions>false</trackRevisions>
    </reviewItem>
    <reviewItem>
      <errorID>ac582963-1b87-4c39-91f7-72a0dc2f372d</errorID>
      <errorWord>物质</errorWord>
      <group>L1_Word</group>
      <groupName>字词问题</groupName>
      <ability>L2_Typo</ability>
      <abilityName>字词错误</abilityName>
      <candidateList>
        <item>物</item>
      </candidateList>
      <explain/>
      <paraID>71CD2ABF</paraID>
      <start>45</start>
      <end>47</end>
      <status>unmodified</status>
      <modifiedWord/>
      <trackRevisions>false</trackRevisions>
    </reviewItem>
    <reviewItem>
      <errorID>c78b05d7-e925-4726-8345-fd7be38b3b20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54D0E942</paraID>
      <start>0</start>
      <end>3</end>
      <status>unmodified</status>
      <modifiedWord/>
      <trackRevisions>false</trackRevisions>
    </reviewItem>
    <reviewItem>
      <errorID>d76ad029-5605-443e-b173-065524db131a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20B54A3B</paraID>
      <start>0</start>
      <end>3</end>
      <status>unmodified</status>
      <modifiedWord/>
      <trackRevisions>false</trackRevisions>
    </reviewItem>
    <reviewItem>
      <errorID>98f87f0c-19ca-400f-8cef-2f07a77d69ee</errorID>
      <errorWord>限值</errorWord>
      <group>L1_Word</group>
      <groupName>字词问题</groupName>
      <ability>L2_Typo</ability>
      <abilityName>字词错误</abilityName>
      <candidateList>
        <item>限制</item>
      </candidateList>
      <explain/>
      <paraID>20B54A3B</paraID>
      <start>19</start>
      <end>21</end>
      <status>unmodified</status>
      <modifiedWord/>
      <trackRevisions>false</trackRevisions>
    </reviewItem>
    <reviewItem>
      <errorID>0d6b1adf-d21b-40a8-9ffb-04b23134e9c6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5EE4EB40</paraID>
      <start>0</start>
      <end>3</end>
      <status>unmodified</status>
      <modifiedWord/>
      <trackRevisions>false</trackRevisions>
    </reviewItem>
    <reviewItem>
      <errorID>f7ed1a80-a3fc-47f3-87de-1668292a29c1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6FD91BDC</paraID>
      <start>0</start>
      <end>3</end>
      <status>unmodified</status>
      <modifiedWord/>
      <trackRevisions>false</trackRevisions>
    </reviewItem>
    <reviewItem>
      <errorID>d91d02b9-6be3-40e5-9220-74ab9149ec51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EE5B3EC</paraID>
      <start>0</start>
      <end>3</end>
      <status>unmodified</status>
      <modifiedWord/>
      <trackRevisions>false</trackRevisions>
    </reviewItem>
    <reviewItem>
      <errorID>1d60d8d4-17b4-426d-8f53-61865f3afedf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44CB5CA7</paraID>
      <start>0</start>
      <end>3</end>
      <status>unmodified</status>
      <modifiedWord/>
      <trackRevisions>false</trackRevisions>
    </reviewItem>
    <reviewItem>
      <errorID>0135d134-6bc6-431d-bb4a-7679a04a4d38</errorID>
      <errorWord>(</errorWord>
      <group>L1_Format</group>
      <groupName>格式问题</groupName>
      <ability>L2_HalfPunc</ability>
      <abilityName>全半角检查</abilityName>
      <candidateList>
        <item>（</item>
      </candidateList>
      <explain>文本全半角错误。</explain>
      <paraID>65D590D0</paraID>
      <start>28</start>
      <end>29</end>
      <status>unmodified</status>
      <modifiedWord/>
      <trackRevisions>false</trackRevisions>
    </reviewItem>
    <reviewItem>
      <errorID>04357927-aa98-4bef-99e7-7e803429db85</errorID>
      <errorWord>)</errorWord>
      <group>L1_Format</group>
      <groupName>格式问题</groupName>
      <ability>L2_HalfPunc</ability>
      <abilityName>全半角检查</abilityName>
      <candidateList>
        <item>）</item>
      </candidateList>
      <explain>文本全半角错误。</explain>
      <paraID>65D590D0</paraID>
      <start>30</start>
      <end>31</end>
      <status>unmodified</status>
      <modifiedWord/>
      <trackRevisions>false</trackRevisions>
    </reviewItem>
    <reviewItem>
      <errorID>4bca4486-2be8-4973-a10a-f63e469112a9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366E9684</paraID>
      <start>0</start>
      <end>3</end>
      <status>unmodified</status>
      <modifiedWord/>
      <trackRevisions>false</trackRevisions>
    </reviewItem>
    <reviewItem>
      <errorID>3c98cb4c-105d-42eb-9f82-cabd1af5b7c2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297C291C</paraID>
      <start>0</start>
      <end>3</end>
      <status>unmodified</status>
      <modifiedWord/>
      <trackRevisions>false</trackRevisions>
    </reviewItem>
    <reviewItem>
      <errorID>db0c91a8-6916-4b36-bc7d-3974ab10e352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4E937476</paraID>
      <start>0</start>
      <end>3</end>
      <status>unmodified</status>
      <modifiedWord/>
      <trackRevisions>false</trackRevisions>
    </reviewItem>
    <reviewItem>
      <errorID>15bf21f9-d0ad-4dbd-bcb2-56d9958de89d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43554384</paraID>
      <start>0</start>
      <end>3</end>
      <status>unmodified</status>
      <modifiedWord/>
      <trackRevisions>false</trackRevisions>
    </reviewItem>
    <reviewItem>
      <errorID>aa314996-4dff-4c85-b58f-f91d3b988f5c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3D67ADC7</paraID>
      <start>0</start>
      <end>3</end>
      <status>unmodified</status>
      <modifiedWord/>
      <trackRevisions>false</trackRevisions>
    </reviewItem>
    <reviewItem>
      <errorID>080aed4c-8656-4884-ba90-a96c837ef596</errorID>
      <errorWord>曝露</errorWord>
      <group>L1_Word</group>
      <groupName>字词问题</groupName>
      <ability>L2_Typo</ability>
      <abilityName>字词错误</abilityName>
      <candidateList>
        <item>暴露</item>
      </candidateList>
      <explain>〈动〉（隐蔽的事物、缺陷、矛盾、问题等）显露出来：～目标｜～无遗。</explain>
      <paraID>3D67ADC7</paraID>
      <start>33</start>
      <end>35</end>
      <status>unmodified</status>
      <modifiedWord/>
      <trackRevisions>false</trackRevisions>
    </reviewItem>
    <reviewItem>
      <errorID>3eb43676-e36b-4766-aff5-fb91089a318b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7534F996</paraID>
      <start>0</start>
      <end>3</end>
      <status>unmodified</status>
      <modifiedWord/>
      <trackRevisions>false</trackRevisions>
    </reviewItem>
    <reviewItem>
      <errorID>788caacc-6797-4888-9293-51e736114c81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279C6D7F</paraID>
      <start>0</start>
      <end>3</end>
      <status>unmodified</status>
      <modifiedWord/>
      <trackRevisions>false</trackRevisions>
    </reviewItem>
    <reviewItem>
      <errorID>97e11a22-557f-4727-894c-fef9446a2d04</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26AC406F</paraID>
      <start>0</start>
      <end>3</end>
      <status>unmodified</status>
      <modifiedWord/>
      <trackRevisions>false</trackRevisions>
    </reviewItem>
    <reviewItem>
      <errorID>504549ee-0f47-45e0-b714-91b3ff1d008b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4F179A1E</paraID>
      <start>0</start>
      <end>3</end>
      <status>unmodified</status>
      <modifiedWord/>
      <trackRevisions>false</trackRevisions>
    </reviewItem>
    <reviewItem>
      <errorID>c1f1691b-3b20-450b-981c-f539062e005b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4A6B5311</paraID>
      <start>0</start>
      <end>3</end>
      <status>unmodified</status>
      <modifiedWord/>
      <trackRevisions>false</trackRevisions>
    </reviewItem>
    <reviewItem>
      <errorID>edb8e688-9fd2-46d8-bf96-7a93209a964a</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4A6B5311</paraID>
      <start>48</start>
      <end>51</end>
      <status>unmodified</status>
      <modifiedWord/>
      <trackRevisions>false</trackRevisions>
    </reviewItem>
    <reviewItem>
      <errorID>a3b2f446-801d-4c8b-babc-c985dda1f2f3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91A27C0</paraID>
      <start>0</start>
      <end>3</end>
      <status>unmodified</status>
      <modifiedWord/>
      <trackRevisions>false</trackRevisions>
    </reviewItem>
    <reviewItem>
      <errorID>85ae171e-f1fe-4eb1-91b3-7da4e0fa591c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24628B20</paraID>
      <start>0</start>
      <end>3</end>
      <status>unmodified</status>
      <modifiedWord/>
      <trackRevisions>false</trackRevisions>
    </reviewItem>
    <reviewItem>
      <errorID>46d59adb-f815-4fe5-8724-ab7a191bd535</errorID>
      <errorWord>有</errorWord>
      <group>L1_Word</group>
      <groupName>字词问题</groupName>
      <ability>L2_Typo</ability>
      <abilityName>字词错误</abilityName>
      <candidateList>
        <item>由</item>
      </candidateList>
      <explain>❶缘由：因～｜事～｜理～。❷〈介〉由于▲：咎～自取｜～感冒引起了肺炎。❸经过：必～之路。❹〈介〉表示经由：～南门入场。❺〈动〉顺随；听从：事不～己｜～着性子。❻〈介〉归（某人去做）：准备工作～我负责｜队长～你担任。❼〈介〉表示凭借：～此可知｜人体是～各种细胞组成的。❽〈介〉表示起点：～表及里｜～北京出发。</explain>
      <paraID>24628B20</paraID>
      <start>23</start>
      <end>24</end>
      <status>unmodified</status>
      <modifiedWord/>
      <trackRevisions>false</trackRevisions>
    </reviewItem>
    <reviewItem>
      <errorID>73d82dd6-75c8-4c81-8e17-f52827832e35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2E6409E1</paraID>
      <start>0</start>
      <end>3</end>
      <status>unmodified</status>
      <modifiedWord/>
      <trackRevisions>false</trackRevisions>
    </reviewItem>
    <reviewItem>
      <errorID>d2c8ad44-6d49-4327-9be1-923f59831aa6</errorID>
      <errorWord>(</errorWord>
      <group>L1_Format</group>
      <groupName>格式问题</groupName>
      <ability>L2_HalfPunc</ability>
      <abilityName>全半角检查</abilityName>
      <candidateList>
        <item>（</item>
      </candidateList>
      <explain>文本全半角错误。</explain>
      <paraID>2E6409E1</paraID>
      <start>49</start>
      <end>50</end>
      <status>unmodified</status>
      <modifiedWord/>
      <trackRevisions>false</trackRevisions>
    </reviewItem>
    <reviewItem>
      <errorID>b71c9d5f-dcf6-42fc-85ec-572fc7c01404</errorID>
      <errorWord>)</errorWord>
      <group>L1_Format</group>
      <groupName>格式问题</groupName>
      <ability>L2_HalfPunc</ability>
      <abilityName>全半角检查</abilityName>
      <candidateList>
        <item>）</item>
      </candidateList>
      <explain>文本全半角错误。</explain>
      <paraID>2E6409E1</paraID>
      <start>63</start>
      <end>64</end>
      <status>unmodified</status>
      <modifiedWord/>
      <trackRevisions>false</trackRevisions>
    </reviewItem>
    <reviewItem>
      <errorID>c9957970-1ae4-4cc2-9bb4-830edc7b5534</errorID>
      <errorWord>(</errorWord>
      <group>L1_Format</group>
      <groupName>格式问题</groupName>
      <ability>L2_HalfPunc</ability>
      <abilityName>全半角检查</abilityName>
      <candidateList>
        <item>（</item>
      </candidateList>
      <explain>文本全半角错误。</explain>
      <paraID>2E6409E1</paraID>
      <start>100</start>
      <end>101</end>
      <status>unmodified</status>
      <modifiedWord/>
      <trackRevisions>false</trackRevisions>
    </reviewItem>
    <reviewItem>
      <errorID>9e81d3af-ef1c-43be-b957-353aabca98e1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2E6409E1</paraID>
      <start>108</start>
      <end>109</end>
      <status>unmodified</status>
      <modifiedWord/>
      <trackRevisions>false</trackRevisions>
    </reviewItem>
    <reviewItem>
      <errorID>b6059369-a93e-487e-8519-fd74c0df5473</errorID>
      <errorWord>)</errorWord>
      <group>L1_Format</group>
      <groupName>格式问题</groupName>
      <ability>L2_HalfPunc</ability>
      <abilityName>全半角检查</abilityName>
      <candidateList>
        <item>）</item>
      </candidateList>
      <explain>文本全半角错误。</explain>
      <paraID>2E6409E1</paraID>
      <start>114</start>
      <end>115</end>
      <status>unmodified</status>
      <modifiedWord/>
      <trackRevisions>false</trackRevisions>
    </reviewItem>
    <reviewItem>
      <errorID>558ce137-249e-4d41-ae47-809e498fc0df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2E6409E1</paraID>
      <start>150</start>
      <end>151</end>
      <status>unmodified</status>
      <modifiedWord/>
      <trackRevisions>false</trackRevisions>
    </reviewItem>
    <reviewItem>
      <errorID>c7d87a0f-074c-4505-92c6-265858eafbb1</errorID>
      <errorWord>台帐</errorWord>
      <group>L1_Word</group>
      <groupName>字词问题</groupName>
      <ability>L2_Typo</ability>
      <abilityName>字词错误</abilityName>
      <candidateList>
        <item>台账</item>
      </candidateList>
      <explain>存在发音相同字词的误用。</explain>
      <paraID>51D9B016</paraID>
      <start>37</start>
      <end>39</end>
      <status>unmodified</status>
      <modifiedWord/>
      <trackRevisions>false</trackRevisions>
    </reviewItem>
    <reviewItem>
      <errorID>75722cfe-862e-43c5-a078-2b000e792e60</errorID>
      <errorWord>，</errorWord>
      <group>L1_Word</group>
      <groupName>字词问题</groupName>
      <ability>L2_Typo</ability>
      <abilityName>字词错误</abilityName>
      <candidateList>
        <item>，必</item>
      </candidateList>
      <explain/>
      <paraID>51D9B016</paraID>
      <start>92</start>
      <end>93</end>
      <status>unmodified</status>
      <modifiedWord/>
      <trackRevisions>false</trackRevisions>
    </reviewItem>
    <reviewItem>
      <errorID>c1a5d8a9-7fe1-4cfa-9c29-a14404587dfb</errorID>
      <errorWord>泄露</errorWord>
      <group>L1_Word</group>
      <groupName>字词问题</groupName>
      <ability>L2_Typo</ability>
      <abilityName>字词错误</abilityName>
      <candidateList>
        <item>泄漏</item>
      </candidateList>
      <explain>存在发音相同字词的误用。</explain>
      <paraID>4B02FA25</paraID>
      <start>74</start>
      <end>76</end>
      <status>unmodified</status>
      <modifiedWord/>
      <trackRevisions>false</trackRevisions>
    </reviewItem>
    <reviewItem>
      <errorID>14864195-3f1e-48b0-ac58-137ce314078b</errorID>
      <errorWord>间隔约</errorWord>
      <group>L1_Word</group>
      <groupName>字词问题</groupName>
      <ability>L2_Typo</ability>
      <abilityName>字词错误</abilityName>
      <candidateList>
        <item>间隔</item>
      </candidateList>
      <explain/>
      <paraID>5A48F1AC</paraID>
      <start>39</start>
      <end>42</end>
      <status>unmodified</status>
      <modifiedWord/>
      <trackRevisions>false</trackRevisions>
    </reviewItem>
    <reviewItem>
      <errorID>c823b0f5-2cc1-4264-92f4-a9ac06dca28d</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36AF2AB9</paraID>
      <start>29</start>
      <end>32</end>
      <status>unmodified</status>
      <modifiedWord/>
      <trackRevisions>false</trackRevisions>
    </reviewItem>
    <reviewItem>
      <errorID>3a8a5977-b52f-4a7c-b769-490e55616a43</errorID>
      <errorWord>交通部</errorWord>
      <group>L1_Knowledge</group>
      <groupName>知识性问题</groupName>
      <ability>L2_Knowledge</ability>
      <abilityName>其他知识</abilityName>
      <candidateList>
        <item>交通运输部</item>
      </candidateList>
      <explain/>
      <paraID>36AF2AB9</paraID>
      <start>77</start>
      <end>80</end>
      <status>unmodified</status>
      <modifiedWord/>
      <trackRevisions>false</trackRevisions>
    </reviewItem>
    <reviewItem>
      <errorID>f0221408-d695-49f5-83ca-2bd3dd5fe295</errorID>
      <errorWord>（</errorWord>
      <group>L1_Punc</group>
      <groupName>标点问题</groupName>
      <ability>L2_Punc</ability>
      <abilityName>标点符号检查</abilityName>
      <candidateList/>
      <explain>同一形式括号套用。</explain>
      <paraID>36AF2AB9</paraID>
      <start>80</start>
      <end>81</end>
      <status>unmodified</status>
      <modifiedWord/>
      <trackRevisions>false</trackRevisions>
    </reviewItem>
    <reviewItem>
      <errorID>17b1c524-16ec-44c1-9c79-c315cd07520c</errorID>
      <errorWord>）</errorWord>
      <group>L1_Punc</group>
      <groupName>标点问题</groupName>
      <ability>L2_Punc</ability>
      <abilityName>标点符号检查</abilityName>
      <candidateList/>
      <explain>同一形式括号套用。</explain>
      <paraID>36AF2AB9</paraID>
      <start>85</start>
      <end>86</end>
      <status>unmodified</status>
      <modifiedWord/>
      <trackRevisions>false</trackRevisions>
    </reviewItem>
    <reviewItem>
      <errorID>edec4d89-4b61-4e7d-be50-e27ac4fcb68c</errorID>
      <errorWord>程</errorWord>
      <group>L1_Word</group>
      <groupName>字词问题</groupName>
      <ability>L2_Typo</ability>
      <abilityName>字词错误</abilityName>
      <candidateList>
        <item>程中</item>
      </candidateList>
      <explain/>
      <paraID>36AF2AB9</paraID>
      <start>209</start>
      <end>210</end>
      <status>unmodified</status>
      <modifiedWord/>
      <trackRevisions>false</trackRevisions>
    </reviewItem>
    <reviewItem>
      <errorID>ae692080-2d18-42c4-9ec2-ffbb922c56b4</errorID>
      <errorWord>间隔约</errorWord>
      <group>L1_Word</group>
      <groupName>字词问题</groupName>
      <ability>L2_Typo</ability>
      <abilityName>字词错误</abilityName>
      <candidateList>
        <item>间隔</item>
      </candidateList>
      <explain/>
      <paraID>74E2CE94</paraID>
      <start>38</start>
      <end>41</end>
      <status>unmodified</status>
      <modifiedWord/>
      <trackRevisions>false</trackRevisions>
    </reviewItem>
    <reviewItem>
      <errorID>4ff4e3b3-af7b-48e4-88c0-84f87fe9697f</errorID>
      <errorWord>容下</errorWord>
      <group>L1_Word</group>
      <groupName>字词问题</groupName>
      <ability>L2_Typo</ability>
      <abilityName>字词错误</abilityName>
      <candidateList>
        <item>容纳</item>
      </candidateList>
      <explain/>
      <paraID>6BF63074</paraID>
      <start>26</start>
      <end>28</end>
      <status>unmodified</status>
      <modifiedWord/>
      <trackRevisions>false</trackRevisions>
    </reviewItem>
    <reviewItem>
      <errorID>9e6b583d-0787-408e-91f7-638c99f0ee1f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603DF30</paraID>
      <start>137</start>
      <end>138</end>
      <status>unmodified</status>
      <modifiedWord/>
      <trackRevisions>false</trackRevisions>
    </reviewItem>
    <reviewItem>
      <errorID>401f56da-be4a-4585-826e-8f3eb9f60706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61374196</paraID>
      <start>0</start>
      <end>3</end>
      <status>unmodified</status>
      <modifiedWord/>
      <trackRevisions>false</trackRevisions>
    </reviewItem>
    <reviewItem>
      <errorID>5a25a1a5-7fa1-476e-b4cf-39d0d3265144</errorID>
      <errorWord>(</errorWord>
      <group>L1_Format</group>
      <groupName>格式问题</groupName>
      <ability>L2_HalfPunc</ability>
      <abilityName>全半角检查</abilityName>
      <candidateList>
        <item>（</item>
      </candidateList>
      <explain>文本全半角错误。</explain>
      <paraID>2275EC4A</paraID>
      <start>0</start>
      <end>1</end>
      <status>unmodified</status>
      <modifiedWord/>
      <trackRevisions>false</trackRevisions>
    </reviewItem>
    <reviewItem>
      <errorID>47264276-be4e-457d-9ea6-cb8f162a86fe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1C5285D5</paraID>
      <start>0</start>
      <end>3</end>
      <status>unmodified</status>
      <modifiedWord/>
      <trackRevisions>false</trackRevisions>
    </reviewItem>
    <reviewItem>
      <errorID>86e6f21c-d0fb-48d1-97fd-af8cb5a327aa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66010B8A</paraID>
      <start>0</start>
      <end>3</end>
      <status>unmodified</status>
      <modifiedWord/>
      <trackRevisions>false</trackRevisions>
    </reviewItem>
    <reviewItem>
      <errorID>cb675cd2-8baf-4f38-871d-8c884d68a4a7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1313C4CC</paraID>
      <start>0</start>
      <end>3</end>
      <status>unmodified</status>
      <modifiedWord/>
      <trackRevisions>false</trackRevisions>
    </reviewItem>
    <reviewItem>
      <errorID>b4914b41-9f78-454c-b628-6464a9394bd9</errorID>
      <errorWord>(</errorWord>
      <group>L1_Format</group>
      <groupName>格式问题</groupName>
      <ability>L2_HalfPunc</ability>
      <abilityName>全半角检查</abilityName>
      <candidateList>
        <item>（</item>
      </candidateList>
      <explain>文本全半角错误。</explain>
      <paraID>1313C4CC</paraID>
      <start>61</start>
      <end>62</end>
      <status>unmodified</status>
      <modifiedWord/>
      <trackRevisions>false</trackRevisions>
    </reviewItem>
    <reviewItem>
      <errorID>8c73647f-7c8a-4376-b1bd-dd66ab343d94</errorID>
      <errorWord>)</errorWord>
      <group>L1_Format</group>
      <groupName>格式问题</groupName>
      <ability>L2_HalfPunc</ability>
      <abilityName>全半角检查</abilityName>
      <candidateList>
        <item>）</item>
      </candidateList>
      <explain>文本全半角错误。</explain>
      <paraID>1313C4CC</paraID>
      <start>70</start>
      <end>71</end>
      <status>unmodified</status>
      <modifiedWord/>
      <trackRevisions>false</trackRevisions>
    </reviewItem>
    <reviewItem>
      <errorID>53e49113-6c5c-4439-b9c9-09c9dee64a06</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62FC5967</paraID>
      <start>0</start>
      <end>3</end>
      <status>unmodified</status>
      <modifiedWord/>
      <trackRevisions>false</trackRevisions>
    </reviewItem>
    <reviewItem>
      <errorID>6084fb59-dc8f-422a-8a62-e18087d99286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21ACD9D</paraID>
      <start>0</start>
      <end>3</end>
      <status>unmodified</status>
      <modifiedWord/>
      <trackRevisions>false</trackRevisions>
    </reviewItem>
    <reviewItem>
      <errorID>860b95e8-25ba-4faf-a1f5-ac44cf9cbd8c</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2556ECEC</paraID>
      <start>0</start>
      <end>3</end>
      <status>unmodified</status>
      <modifiedWord/>
      <trackRevisions>false</trackRevisions>
    </reviewItem>
    <reviewItem>
      <errorID>6cb27f14-5f11-4158-b9d6-1ab789730e1d</errorID>
      <errorWord>(</errorWord>
      <group>L1_Format</group>
      <groupName>格式问题</groupName>
      <ability>L2_HalfPunc</ability>
      <abilityName>全半角检查</abilityName>
      <candidateList>
        <item>（</item>
      </candidateList>
      <explain>文本全半角错误。</explain>
      <paraID>78CBBF25</paraID>
      <start>17</start>
      <end>18</end>
      <status>unmodified</status>
      <modifiedWord/>
      <trackRevisions>false</trackRevisions>
    </reviewItem>
    <reviewItem>
      <errorID>41709c65-a8d1-46bc-b07a-a8ba2dd38e1c</errorID>
      <errorWord>)</errorWord>
      <group>L1_Format</group>
      <groupName>格式问题</groupName>
      <ability>L2_HalfPunc</ability>
      <abilityName>全半角检查</abilityName>
      <candidateList>
        <item>）</item>
      </candidateList>
      <explain>文本全半角错误。</explain>
      <paraID>78CBBF25</paraID>
      <start>26</start>
      <end>27</end>
      <status>unmodified</status>
      <modifiedWord/>
      <trackRevisions>false</trackRevisions>
    </reviewItem>
    <reviewItem>
      <errorID>c2bfc56f-ae11-455e-a863-9337a7b75948</errorID>
      <errorWord>(</errorWord>
      <group>L1_Format</group>
      <groupName>格式问题</groupName>
      <ability>L2_HalfPunc</ability>
      <abilityName>全半角检查</abilityName>
      <candidateList>
        <item>（</item>
      </candidateList>
      <explain>文本全半角错误。</explain>
      <paraID>78CBBF25</paraID>
      <start>61</start>
      <end>62</end>
      <status>unmodified</status>
      <modifiedWord/>
      <trackRevisions>false</trackRevisions>
    </reviewItem>
    <reviewItem>
      <errorID>46150e58-748f-486b-990b-91a6763d6206</errorID>
      <errorWord>)</errorWord>
      <group>L1_Format</group>
      <groupName>格式问题</groupName>
      <ability>L2_HalfPunc</ability>
      <abilityName>全半角检查</abilityName>
      <candidateList>
        <item>）</item>
      </candidateList>
      <explain>文本全半角错误。</explain>
      <paraID>78CBBF25</paraID>
      <start>74</start>
      <end>75</end>
      <status>unmodified</status>
      <modifiedWord/>
      <trackRevisions>false</trackRevisions>
    </reviewItem>
    <reviewItem>
      <errorID>4f4211a5-8441-42e3-b8d7-7da3559c070a</errorID>
      <errorWord>(</errorWord>
      <group>L1_Format</group>
      <groupName>格式问题</groupName>
      <ability>L2_HalfPunc</ability>
      <abilityName>全半角检查</abilityName>
      <candidateList>
        <item>（</item>
      </candidateList>
      <explain>文本全半角错误。</explain>
      <paraID>78CBBF25</paraID>
      <start>88</start>
      <end>89</end>
      <status>unmodified</status>
      <modifiedWord/>
      <trackRevisions>false</trackRevisions>
    </reviewItem>
    <reviewItem>
      <errorID>7bac5f5b-5b32-4146-b970-a00341d59166</errorID>
      <errorWord>)</errorWord>
      <group>L1_Format</group>
      <groupName>格式问题</groupName>
      <ability>L2_HalfPunc</ability>
      <abilityName>全半角检查</abilityName>
      <candidateList>
        <item>）</item>
      </candidateList>
      <explain>文本全半角错误。</explain>
      <paraID>78CBBF25</paraID>
      <start>100</start>
      <end>101</end>
      <status>unmodified</status>
      <modifiedWord/>
      <trackRevisions>false</trackRevisions>
    </reviewItem>
    <reviewItem>
      <errorID>63d3ef0d-4d29-42b6-9e39-9bdfae191be8</errorID>
      <errorWord>泄露</errorWord>
      <group>L1_Word</group>
      <groupName>字词问题</groupName>
      <ability>L2_Typo</ability>
      <abilityName>字词错误</abilityName>
      <candidateList>
        <item>泄漏</item>
      </candidateList>
      <explain/>
      <paraID>78CBBF25</paraID>
      <start>174</start>
      <end>176</end>
      <status>unmodified</status>
      <modifiedWord/>
      <trackRevisions>false</trackRevisions>
    </reviewItem>
    <reviewItem>
      <errorID>a79e23c4-d010-430e-b260-e58d184d495a</errorID>
      <errorWord>泄露</errorWord>
      <group>L1_Word</group>
      <groupName>字词问题</groupName>
      <ability>L2_Typo</ability>
      <abilityName>字词错误</abilityName>
      <candidateList>
        <item>泄漏</item>
      </candidateList>
      <explain/>
      <paraID>78CBBF25</paraID>
      <start>187</start>
      <end>189</end>
      <status>unmodified</status>
      <modifiedWord/>
      <trackRevisions>false</trackRevisions>
    </reviewItem>
    <reviewItem>
      <errorID>f926abf5-639a-4c70-8d98-834dfb8ba263</errorID>
      <errorWord>设</errorWord>
      <group>L1_Word</group>
      <groupName>字词问题</groupName>
      <ability>L2_Typo</ability>
      <abilityName>字词错误</abilityName>
      <candidateList>
        <item>设置</item>
      </candidateList>
      <explain>〈动〉❶设立：这座剧院是为儿童～的。❷安放；安装：～障碍。</explain>
      <paraID>2707646A</paraID>
      <start>49</start>
      <end>50</end>
      <status>unmodified</status>
      <modifiedWord/>
      <trackRevisions>false</trackRevisions>
    </reviewItem>
    <reviewItem>
      <errorID>e38e189a-892d-4d7c-b671-b619c781646b</errorID>
      <errorWord>(</errorWord>
      <group>L1_Format</group>
      <groupName>格式问题</groupName>
      <ability>L2_HalfPunc</ability>
      <abilityName>全半角检查</abilityName>
      <candidateList>
        <item>（</item>
      </candidateList>
      <explain>文本全半角错误。</explain>
      <paraID>6F8413A8</paraID>
      <start>25</start>
      <end>26</end>
      <status>unmodified</status>
      <modifiedWord/>
      <trackRevisions>false</trackRevisions>
    </reviewItem>
    <reviewItem>
      <errorID>8d1e28fb-4563-412e-94a9-8c0c057d5464</errorID>
      <errorWord>)</errorWord>
      <group>L1_Format</group>
      <groupName>格式问题</groupName>
      <ability>L2_HalfPunc</ability>
      <abilityName>全半角检查</abilityName>
      <candidateList>
        <item>）</item>
      </candidateList>
      <explain>文本全半角错误。</explain>
      <paraID>6F8413A8</paraID>
      <start>37</start>
      <end>38</end>
      <status>unmodified</status>
      <modifiedWord/>
      <trackRevisions>false</trackRevisions>
    </reviewItem>
    <reviewItem>
      <errorID>16673168-4f31-4cd8-b70e-565163db1076</errorID>
      <errorWord>曝露</errorWord>
      <group>L1_Word</group>
      <groupName>字词问题</groupName>
      <ability>L2_Typo</ability>
      <abilityName>字词错误</abilityName>
      <candidateList>
        <item>暴露</item>
      </candidateList>
      <explain>〈动〉（隐蔽的事物、缺陷、矛盾、问题等）显露出来：～目标｜～无遗。</explain>
      <paraID>7D81524D</paraID>
      <start>34</start>
      <end>36</end>
      <status>unmodified</status>
      <modifiedWord/>
      <trackRevisions>false</trackRevisions>
    </reviewItem>
    <reviewItem>
      <errorID>f1927583-ba5a-4173-a06e-55dfb20516ba</errorID>
      <errorWord>(</errorWord>
      <group>L1_Format</group>
      <groupName>格式问题</groupName>
      <ability>L2_HalfPunc</ability>
      <abilityName>全半角检查</abilityName>
      <candidateList>
        <item>（</item>
      </candidateList>
      <explain>文本全半角错误。</explain>
      <paraID>692AD3E9</paraID>
      <start>65</start>
      <end>66</end>
      <status>unmodified</status>
      <modifiedWord/>
      <trackRevisions>false</trackRevisions>
    </reviewItem>
    <reviewItem>
      <errorID>f0e90a3f-6b0f-4ff5-9d20-1f02b2202968</errorID>
      <errorWord>)</errorWord>
      <group>L1_Format</group>
      <groupName>格式问题</groupName>
      <ability>L2_HalfPunc</ability>
      <abilityName>全半角检查</abilityName>
      <candidateList>
        <item>）</item>
      </candidateList>
      <explain>文本全半角错误。</explain>
      <paraID>692AD3E9</paraID>
      <start>76</start>
      <end>77</end>
      <status>unmodified</status>
      <modifiedWord/>
      <trackRevisions>false</trackRevisions>
    </reviewItem>
    <reviewItem>
      <errorID>31be1198-b01e-4ca2-a3d8-eb08e11826f3</errorID>
      <errorWord>(</errorWord>
      <group>L1_Format</group>
      <groupName>格式问题</groupName>
      <ability>L2_HalfPunc</ability>
      <abilityName>全半角检查</abilityName>
      <candidateList>
        <item>（</item>
      </candidateList>
      <explain>文本全半角错误。</explain>
      <paraID>26CA0D05</paraID>
      <start>54</start>
      <end>55</end>
      <status>unmodified</status>
      <modifiedWord/>
      <trackRevisions>false</trackRevisions>
    </reviewItem>
    <reviewItem>
      <errorID>c88af0dd-1ec6-4b32-a589-9a222421dce4</errorID>
      <errorWord>(</errorWord>
      <group>L1_Format</group>
      <groupName>格式问题</groupName>
      <ability>L2_HalfPunc</ability>
      <abilityName>全半角检查</abilityName>
      <candidateList>
        <item>（</item>
      </candidateList>
      <explain>文本全半角错误。</explain>
      <paraID>2F9E8067</paraID>
      <start>9</start>
      <end>10</end>
      <status>unmodified</status>
      <modifiedWord/>
      <trackRevisions>false</trackRevisions>
    </reviewItem>
    <reviewItem>
      <errorID>edb29cb8-316a-48d2-b40b-eebabb826a83</errorID>
      <errorWord>)</errorWord>
      <group>L1_Format</group>
      <groupName>格式问题</groupName>
      <ability>L2_HalfPunc</ability>
      <abilityName>全半角检查</abilityName>
      <candidateList>
        <item>）</item>
      </candidateList>
      <explain>文本全半角错误。</explain>
      <paraID>2F9E8067</paraID>
      <start>21</start>
      <end>22</end>
      <status>unmodified</status>
      <modifiedWord/>
      <trackRevisions>false</trackRevisions>
    </reviewItem>
    <reviewItem>
      <errorID>972657d1-8d45-4a97-be15-13aa4dd71ad3</errorID>
      <errorWord>(</errorWord>
      <group>L1_Format</group>
      <groupName>格式问题</groupName>
      <ability>L2_HalfPunc</ability>
      <abilityName>全半角检查</abilityName>
      <candidateList>
        <item>（</item>
      </candidateList>
      <explain>文本全半角错误。</explain>
      <paraID>7576CEC3</paraID>
      <start>64</start>
      <end>65</end>
      <status>unmodified</status>
      <modifiedWord/>
      <trackRevisions>false</trackRevisions>
    </reviewItem>
    <reviewItem>
      <errorID>42fd5ddc-3cfb-459c-93b5-440cef6832ee</errorID>
      <errorWord>)</errorWord>
      <group>L1_Format</group>
      <groupName>格式问题</groupName>
      <ability>L2_HalfPunc</ability>
      <abilityName>全半角检查</abilityName>
      <candidateList>
        <item>）</item>
      </candidateList>
      <explain>文本全半角错误。</explain>
      <paraID>7576CEC3</paraID>
      <start>75</start>
      <end>76</end>
      <status>unmodified</status>
      <modifiedWord/>
      <trackRevisions>false</trackRevisions>
    </reviewItem>
    <reviewItem>
      <errorID>0a4af426-b520-4328-962a-51525272620e</errorID>
      <errorWord>(</errorWord>
      <group>L1_Format</group>
      <groupName>格式问题</groupName>
      <ability>L2_HalfPunc</ability>
      <abilityName>全半角检查</abilityName>
      <candidateList>
        <item>（</item>
      </candidateList>
      <explain>文本全半角错误。</explain>
      <paraID>66B7B645</paraID>
      <start>10</start>
      <end>11</end>
      <status>unmodified</status>
      <modifiedWord/>
      <trackRevisions>false</trackRevisions>
    </reviewItem>
    <reviewItem>
      <errorID>b0b4cf58-dceb-47a5-90b1-e76250749899</errorID>
      <errorWord>(</errorWord>
      <group>L1_Format</group>
      <groupName>格式问题</groupName>
      <ability>L2_HalfPunc</ability>
      <abilityName>全半角检查</abilityName>
      <candidateList>
        <item>（</item>
      </candidateList>
      <explain>文本全半角错误。</explain>
      <paraID>2D85399A</paraID>
      <start>21</start>
      <end>22</end>
      <status>unmodified</status>
      <modifiedWord/>
      <trackRevisions>false</trackRevisions>
    </reviewItem>
    <reviewItem>
      <errorID>648e5025-1491-41d3-9554-bd5b3ac9e283</errorID>
      <errorWord>)</errorWord>
      <group>L1_Format</group>
      <groupName>格式问题</groupName>
      <ability>L2_HalfPunc</ability>
      <abilityName>全半角检查</abilityName>
      <candidateList>
        <item>）</item>
      </candidateList>
      <explain>文本全半角错误。</explain>
      <paraID>2D85399A</paraID>
      <start>24</start>
      <end>25</end>
      <status>unmodified</status>
      <modifiedWord/>
      <trackRevisions>false</trackRevisions>
    </reviewItem>
    <reviewItem>
      <errorID>881562ed-86e8-40f3-b6bc-7233f202c0da</errorID>
      <errorWord>(</errorWord>
      <group>L1_Format</group>
      <groupName>格式问题</groupName>
      <ability>L2_HalfPunc</ability>
      <abilityName>全半角检查</abilityName>
      <candidateList>
        <item>（</item>
      </candidateList>
      <explain>文本全半角错误。</explain>
      <paraID>2D85399A</paraID>
      <start>26</start>
      <end>27</end>
      <status>unmodified</status>
      <modifiedWord/>
      <trackRevisions>false</trackRevisions>
    </reviewItem>
    <reviewItem>
      <errorID>873ed0af-1f5d-48f0-b51d-a0c76186b3ba</errorID>
      <errorWord>(</errorWord>
      <group>L1_Format</group>
      <groupName>格式问题</groupName>
      <ability>L2_HalfPunc</ability>
      <abilityName>全半角检查</abilityName>
      <candidateList>
        <item>（</item>
      </candidateList>
      <explain>文本全半角错误。</explain>
      <paraID>2C51AEB3</paraID>
      <start>2</start>
      <end>3</end>
      <status>unmodified</status>
      <modifiedWord/>
      <trackRevisions>false</trackRevisions>
    </reviewItem>
    <reviewItem>
      <errorID>e3d0c816-f559-4ccf-9b68-3c240ad17d3e</errorID>
      <errorWord>)</errorWord>
      <group>L1_Format</group>
      <groupName>格式问题</groupName>
      <ability>L2_HalfPunc</ability>
      <abilityName>全半角检查</abilityName>
      <candidateList>
        <item>）</item>
      </candidateList>
      <explain>文本全半角错误。</explain>
      <paraID>2C51AEB3</paraID>
      <start>5</start>
      <end>6</end>
      <status>unmodified</status>
      <modifiedWord/>
      <trackRevisions>false</trackRevisions>
    </reviewItem>
    <reviewItem>
      <errorID>8acbb787-7613-44b7-89e8-fcc9bfbc76ae</errorID>
      <errorWord>，</errorWord>
      <group>L1_Word</group>
      <groupName>字词问题</groupName>
      <ability>L2_Typo</ability>
      <abilityName>字词错误</abilityName>
      <candidateList>
        <item>，在</item>
      </candidateList>
      <explain/>
      <paraID>2E9BFF8A</paraID>
      <start>36</start>
      <end>37</end>
      <status>unmodified</status>
      <modifiedWord/>
      <trackRevisions>false</trackRevisions>
    </reviewItem>
    <reviewItem>
      <errorID>73a3bd74-5b24-4b97-bd3e-1456f147bfba</errorID>
      <errorWord>(</errorWord>
      <group>L1_Format</group>
      <groupName>格式问题</groupName>
      <ability>L2_HalfPunc</ability>
      <abilityName>全半角检查</abilityName>
      <candidateList>
        <item>（</item>
      </candidateList>
      <explain>文本全半角错误。</explain>
      <paraID>5371B0FE</paraID>
      <start>18</start>
      <end>19</end>
      <status>unmodified</status>
      <modifiedWord/>
      <trackRevisions>false</trackRevisions>
    </reviewItem>
    <reviewItem>
      <errorID>7cab1e97-a7af-4a3c-9b94-145e697d185d</errorID>
      <errorWord>)</errorWord>
      <group>L1_Format</group>
      <groupName>格式问题</groupName>
      <ability>L2_HalfPunc</ability>
      <abilityName>全半角检查</abilityName>
      <candidateList>
        <item>）</item>
      </candidateList>
      <explain>文本全半角错误。</explain>
      <paraID>5371B0FE</paraID>
      <start>30</start>
      <end>31</end>
      <status>unmodified</status>
      <modifiedWord/>
      <trackRevisions>false</trackRevisions>
    </reviewItem>
    <reviewItem>
      <errorID>63d9624f-184b-4a47-8a56-53a4aa271fc6</errorID>
      <errorWord>(</errorWord>
      <group>L1_Format</group>
      <groupName>格式问题</groupName>
      <ability>L2_HalfPunc</ability>
      <abilityName>全半角检查</abilityName>
      <candidateList>
        <item>（</item>
      </candidateList>
      <explain>文本全半角错误。</explain>
      <paraID>5371B0FE</paraID>
      <start>64</start>
      <end>65</end>
      <status>unmodified</status>
      <modifiedWord/>
      <trackRevisions>false</trackRevisions>
    </reviewItem>
    <reviewItem>
      <errorID>f4c19974-18a5-475a-aedd-d43623bdf2f7</errorID>
      <errorWord>)</errorWord>
      <group>L1_Format</group>
      <groupName>格式问题</groupName>
      <ability>L2_HalfPunc</ability>
      <abilityName>全半角检查</abilityName>
      <candidateList>
        <item>）</item>
      </candidateList>
      <explain>文本全半角错误。</explain>
      <paraID>5371B0FE</paraID>
      <start>77</start>
      <end>78</end>
      <status>unmodified</status>
      <modifiedWord/>
      <trackRevisions>false</trackRevisions>
    </reviewItem>
    <reviewItem>
      <errorID>136093db-772a-4e99-8ccc-58d909d51b69</errorID>
      <errorWord>(</errorWord>
      <group>L1_Format</group>
      <groupName>格式问题</groupName>
      <ability>L2_HalfPunc</ability>
      <abilityName>全半角检查</abilityName>
      <candidateList>
        <item>（</item>
      </candidateList>
      <explain>文本全半角错误。</explain>
      <paraID>3B5F64EC</paraID>
      <start>28</start>
      <end>29</end>
      <status>unmodified</status>
      <modifiedWord/>
      <trackRevisions>false</trackRevisions>
    </reviewItem>
    <reviewItem>
      <errorID>22db5543-a3de-4522-bc42-6ffbc579c3b1</errorID>
      <errorWord>)</errorWord>
      <group>L1_Format</group>
      <groupName>格式问题</groupName>
      <ability>L2_HalfPunc</ability>
      <abilityName>全半角检查</abilityName>
      <candidateList>
        <item>）</item>
      </candidateList>
      <explain>文本全半角错误。</explain>
      <paraID>3B5F64EC</paraID>
      <start>30</start>
      <end>31</end>
      <status>unmodified</status>
      <modifiedWord/>
      <trackRevisions>false</trackRevisions>
    </reviewItem>
    <reviewItem>
      <errorID>14504839-7d0a-4f00-b7ec-b437476316da</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4E20CBD6</paraID>
      <start>7</start>
      <end>10</end>
      <status>unmodified</status>
      <modifiedWord/>
      <trackRevisions>false</trackRevisions>
    </reviewItem>
    <reviewItem>
      <errorID>f929c65e-3a70-44d4-aeb4-573f3e2ceded</errorID>
      <errorWord>曝露</errorWord>
      <group>L1_Word</group>
      <groupName>字词问题</groupName>
      <ability>L2_Typo</ability>
      <abilityName>字词错误</abilityName>
      <candidateList>
        <item>暴露</item>
      </candidateList>
      <explain>〈动〉（隐蔽的事物、缺陷、矛盾、问题等）显露出来：～目标｜～无遗。</explain>
      <paraID>6E71CE77</paraID>
      <start>59</start>
      <end>61</end>
      <status>unmodified</status>
      <modifiedWord/>
      <trackRevisions>false</trackRevisions>
    </reviewItem>
    <reviewItem>
      <errorID>c50d84e6-65a0-4e7f-a35e-0b111f30950e</errorID>
      <errorWord>(</errorWord>
      <group>L1_Format</group>
      <groupName>格式问题</groupName>
      <ability>L2_HalfPunc</ability>
      <abilityName>全半角检查</abilityName>
      <candidateList>
        <item>（</item>
      </candidateList>
      <explain>文本全半角错误。</explain>
      <paraID>262E8D02</paraID>
      <start>22</start>
      <end>23</end>
      <status>unmodified</status>
      <modifiedWord/>
      <trackRevisions>false</trackRevisions>
    </reviewItem>
    <reviewItem>
      <errorID>49d40ed9-58fa-4d9e-a0a9-fd8aa01f2bdf</errorID>
      <errorWord>)</errorWord>
      <group>L1_Format</group>
      <groupName>格式问题</groupName>
      <ability>L2_HalfPunc</ability>
      <abilityName>全半角检查</abilityName>
      <candidateList>
        <item>）</item>
      </candidateList>
      <explain>文本全半角错误。</explain>
      <paraID>262E8D02</paraID>
      <start>34</start>
      <end>35</end>
      <status>unmodified</status>
      <modifiedWord/>
      <trackRevisions>false</trackRevisions>
    </reviewItem>
    <reviewItem>
      <errorID>babae0a8-c694-49df-ae66-6145d87fc4d3</errorID>
      <errorWord>(</errorWord>
      <group>L1_Format</group>
      <groupName>格式问题</groupName>
      <ability>L2_HalfPunc</ability>
      <abilityName>全半角检查</abilityName>
      <candidateList>
        <item>（</item>
      </candidateList>
      <explain>文本全半角错误。</explain>
      <paraID>11F4E4D1</paraID>
      <start>20</start>
      <end>21</end>
      <status>unmodified</status>
      <modifiedWord/>
      <trackRevisions>false</trackRevisions>
    </reviewItem>
    <reviewItem>
      <errorID>5147df28-db07-4de4-91c4-95fd0279b224</errorID>
      <errorWord>)</errorWord>
      <group>L1_Format</group>
      <groupName>格式问题</groupName>
      <ability>L2_HalfPunc</ability>
      <abilityName>全半角检查</abilityName>
      <candidateList>
        <item>）</item>
      </candidateList>
      <explain>文本全半角错误。</explain>
      <paraID>11F4E4D1</paraID>
      <start>34</start>
      <end>35</end>
      <status>unmodified</status>
      <modifiedWord/>
      <trackRevisions>false</trackRevisions>
    </reviewItem>
    <reviewItem>
      <errorID>fdcf62ba-d2a1-449e-8fa7-5af60d682d6d</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16574D4A</paraID>
      <start>199</start>
      <end>202</end>
      <status>unmodified</status>
      <modifiedWord/>
      <trackRevisions>false</trackRevisions>
    </reviewItem>
    <reviewItem>
      <errorID>5060ce1d-9b19-4be8-97d2-91bf91f6c484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2AF0F87D</paraID>
      <start>0</start>
      <end>3</end>
      <status>unmodified</status>
      <modifiedWord/>
      <trackRevisions>false</trackRevisions>
    </reviewItem>
    <reviewItem>
      <errorID>87900cb3-7a47-4260-9969-2541d0ebed3b</errorID>
      <errorWord>(</errorWord>
      <group>L1_Format</group>
      <groupName>格式问题</groupName>
      <ability>L2_HalfPunc</ability>
      <abilityName>全半角检查</abilityName>
      <candidateList>
        <item>（</item>
      </candidateList>
      <explain>文本全半角错误。</explain>
      <paraID>2AF0F87D</paraID>
      <start>17</start>
      <end>18</end>
      <status>unmodified</status>
      <modifiedWord/>
      <trackRevisions>false</trackRevisions>
    </reviewItem>
    <reviewItem>
      <errorID>9e459823-bee8-4ee1-979e-886d7b97b2ee</errorID>
      <errorWord>)</errorWord>
      <group>L1_Format</group>
      <groupName>格式问题</groupName>
      <ability>L2_HalfPunc</ability>
      <abilityName>全半角检查</abilityName>
      <candidateList>
        <item>）</item>
      </candidateList>
      <explain>文本全半角错误。</explain>
      <paraID>2AF0F87D</paraID>
      <start>43</start>
      <end>44</end>
      <status>unmodified</status>
      <modifiedWord/>
      <trackRevisions>false</trackRevisions>
    </reviewItem>
    <reviewItem>
      <errorID>321bed8e-520a-4335-ae9c-9e325ee33eef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1CD0B601</paraID>
      <start>0</start>
      <end>3</end>
      <status>unmodified</status>
      <modifiedWord/>
      <trackRevisions>false</trackRevisions>
    </reviewItem>
    <reviewItem>
      <errorID>f9d231f7-33f7-4d7d-885a-5e3288dc2d0b</errorID>
      <errorWord>(</errorWord>
      <group>L1_Format</group>
      <groupName>格式问题</groupName>
      <ability>L2_HalfPunc</ability>
      <abilityName>全半角检查</abilityName>
      <candidateList>
        <item>（</item>
      </candidateList>
      <explain>文本全半角错误。</explain>
      <paraID>1CD0B601</paraID>
      <start>19</start>
      <end>20</end>
      <status>unmodified</status>
      <modifiedWord/>
      <trackRevisions>false</trackRevisions>
    </reviewItem>
    <reviewItem>
      <errorID>e021cb4e-3c25-40ed-9aea-68b6df4fa332</errorID>
      <errorWord>)</errorWord>
      <group>L1_Format</group>
      <groupName>格式问题</groupName>
      <ability>L2_HalfPunc</ability>
      <abilityName>全半角检查</abilityName>
      <candidateList>
        <item>）</item>
      </candidateList>
      <explain>文本全半角错误。</explain>
      <paraID>1CD0B601</paraID>
      <start>36</start>
      <end>37</end>
      <status>unmodified</status>
      <modifiedWord/>
      <trackRevisions>false</trackRevisions>
    </reviewItem>
    <reviewItem>
      <errorID>fe659d07-ad53-4672-9149-dc3ec2f84856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6D1C69EB</paraID>
      <start>0</start>
      <end>3</end>
      <status>unmodified</status>
      <modifiedWord/>
      <trackRevisions>false</trackRevisions>
    </reviewItem>
    <reviewItem>
      <errorID>dc412cd8-2647-4ec5-9ca9-3d3761ab0fed</errorID>
      <errorWord>(</errorWord>
      <group>L1_Format</group>
      <groupName>格式问题</groupName>
      <ability>L2_HalfPunc</ability>
      <abilityName>全半角检查</abilityName>
      <candidateList>
        <item>（</item>
      </candidateList>
      <explain>文本全半角错误。</explain>
      <paraID>6D1C69EB</paraID>
      <start>13</start>
      <end>14</end>
      <status>unmodified</status>
      <modifiedWord/>
      <trackRevisions>false</trackRevisions>
    </reviewItem>
    <reviewItem>
      <errorID>0e4a5b25-5dd8-4c4f-847a-086eaca6a432</errorID>
      <errorWord>)</errorWord>
      <group>L1_Format</group>
      <groupName>格式问题</groupName>
      <ability>L2_HalfPunc</ability>
      <abilityName>全半角检查</abilityName>
      <candidateList>
        <item>）</item>
      </candidateList>
      <explain>文本全半角错误。</explain>
      <paraID>6D1C69EB</paraID>
      <start>52</start>
      <end>53</end>
      <status>unmodified</status>
      <modifiedWord/>
      <trackRevisions>false</trackRevisions>
    </reviewItem>
    <reviewItem>
      <errorID>ee956aab-0069-4296-b65b-fb5d4a8bc5f7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3C10AE6E</paraID>
      <start>0</start>
      <end>3</end>
      <status>unmodified</status>
      <modifiedWord/>
      <trackRevisions>false</trackRevisions>
    </reviewItem>
    <reviewItem>
      <errorID>a06cfe24-ba84-4b0e-8e35-387f720cbae3</errorID>
      <errorWord>(</errorWord>
      <group>L1_Format</group>
      <groupName>格式问题</groupName>
      <ability>L2_HalfPunc</ability>
      <abilityName>全半角检查</abilityName>
      <candidateList>
        <item>（</item>
      </candidateList>
      <explain>文本全半角错误。</explain>
      <paraID>3C10AE6E</paraID>
      <start>17</start>
      <end>18</end>
      <status>unmodified</status>
      <modifiedWord/>
      <trackRevisions>false</trackRevisions>
    </reviewItem>
    <reviewItem>
      <errorID>5eb6b622-364d-4b3e-bdd1-40da6496f1f0</errorID>
      <errorWord>)</errorWord>
      <group>L1_Format</group>
      <groupName>格式问题</groupName>
      <ability>L2_HalfPunc</ability>
      <abilityName>全半角检查</abilityName>
      <candidateList>
        <item>）</item>
      </candidateList>
      <explain>文本全半角错误。</explain>
      <paraID>3C10AE6E</paraID>
      <start>59</start>
      <end>60</end>
      <status>unmodified</status>
      <modifiedWord/>
      <trackRevisions>false</trackRevisions>
    </reviewItem>
    <reviewItem>
      <errorID>0db3343f-95d2-4acb-84e0-ea9d0b41e3af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1D7DBB4F</paraID>
      <start>0</start>
      <end>3</end>
      <status>unmodified</status>
      <modifiedWord/>
      <trackRevisions>false</trackRevisions>
    </reviewItem>
    <reviewItem>
      <errorID>524338e7-66d1-49e6-abf7-e4bf1566989c</errorID>
      <errorWord>(</errorWord>
      <group>L1_Format</group>
      <groupName>格式问题</groupName>
      <ability>L2_HalfPunc</ability>
      <abilityName>全半角检查</abilityName>
      <candidateList>
        <item>（</item>
      </candidateList>
      <explain>文本全半角错误。</explain>
      <paraID>1D7DBB4F</paraID>
      <start>21</start>
      <end>22</end>
      <status>unmodified</status>
      <modifiedWord/>
      <trackRevisions>false</trackRevisions>
    </reviewItem>
    <reviewItem>
      <errorID>1372986f-cac4-4ffa-9f30-39ef316c6c5c</errorID>
      <errorWord>)</errorWord>
      <group>L1_Format</group>
      <groupName>格式问题</groupName>
      <ability>L2_HalfPunc</ability>
      <abilityName>全半角检查</abilityName>
      <candidateList>
        <item>）</item>
      </candidateList>
      <explain>文本全半角错误。</explain>
      <paraID>1D7DBB4F</paraID>
      <start>45</start>
      <end>46</end>
      <status>unmodified</status>
      <modifiedWord/>
      <trackRevisions>false</trackRevisions>
    </reviewItem>
    <reviewItem>
      <errorID>92802f31-3661-4b36-ba14-2302e7cced1a</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34597E5</paraID>
      <start>0</start>
      <end>3</end>
      <status>unmodified</status>
      <modifiedWord/>
      <trackRevisions>false</trackRevisions>
    </reviewItem>
    <reviewItem>
      <errorID>9d610806-38a3-40a7-a32f-2af34419d7ef</errorID>
      <errorWord>(</errorWord>
      <group>L1_Format</group>
      <groupName>格式问题</groupName>
      <ability>L2_HalfPunc</ability>
      <abilityName>全半角检查</abilityName>
      <candidateList>
        <item>（</item>
      </candidateList>
      <explain>文本全半角错误。</explain>
      <paraID> 34597E5</paraID>
      <start>29</start>
      <end>30</end>
      <status>unmodified</status>
      <modifiedWord/>
      <trackRevisions>false</trackRevisions>
    </reviewItem>
    <reviewItem>
      <errorID>b753511d-9fbc-41d6-97fc-e3f12739e564</errorID>
      <errorWord>)</errorWord>
      <group>L1_Format</group>
      <groupName>格式问题</groupName>
      <ability>L2_HalfPunc</ability>
      <abilityName>全半角检查</abilityName>
      <candidateList>
        <item>）</item>
      </candidateList>
      <explain>文本全半角错误。</explain>
      <paraID> 34597E5</paraID>
      <start>54</start>
      <end>55</end>
      <status>unmodified</status>
      <modifiedWord/>
      <trackRevisions>false</trackRevisions>
    </reviewItem>
    <reviewItem>
      <errorID>5489c666-744d-4c0b-a248-7ff31cbe8363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43294B55</paraID>
      <start>0</start>
      <end>3</end>
      <status>unmodified</status>
      <modifiedWord/>
      <trackRevisions>false</trackRevisions>
    </reviewItem>
    <reviewItem>
      <errorID>e16cabf9-3397-4d4e-acf1-a828746750bd</errorID>
      <errorWord>(</errorWord>
      <group>L1_Format</group>
      <groupName>格式问题</groupName>
      <ability>L2_HalfPunc</ability>
      <abilityName>全半角检查</abilityName>
      <candidateList>
        <item>（</item>
      </candidateList>
      <explain>文本全半角错误。</explain>
      <paraID>43294B55</paraID>
      <start>31</start>
      <end>32</end>
      <status>unmodified</status>
      <modifiedWord/>
      <trackRevisions>false</trackRevisions>
    </reviewItem>
    <reviewItem>
      <errorID>0541a9a6-e8da-4a74-94f4-dc5d9c4b08a8</errorID>
      <errorWord>)</errorWord>
      <group>L1_Format</group>
      <groupName>格式问题</groupName>
      <ability>L2_HalfPunc</ability>
      <abilityName>全半角检查</abilityName>
      <candidateList>
        <item>）</item>
      </candidateList>
      <explain>文本全半角错误。</explain>
      <paraID>43294B55</paraID>
      <start>59</start>
      <end>60</end>
      <status>unmodified</status>
      <modifiedWord/>
      <trackRevisions>false</trackRevisions>
    </reviewItem>
    <reviewItem>
      <errorID>ed7eb4f1-52f5-4ba5-b860-84fdacdc8126</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7C0CA67E</paraID>
      <start>0</start>
      <end>3</end>
      <status>unmodified</status>
      <modifiedWord/>
      <trackRevisions>false</trackRevisions>
    </reviewItem>
    <reviewItem>
      <errorID>55bcb04b-3bf3-48c4-ad8e-c4c14f5007c5</errorID>
      <errorWord>(</errorWord>
      <group>L1_Format</group>
      <groupName>格式问题</groupName>
      <ability>L2_HalfPunc</ability>
      <abilityName>全半角检查</abilityName>
      <candidateList>
        <item>（</item>
      </candidateList>
      <explain>文本全半角错误。</explain>
      <paraID>7C0CA67E</paraID>
      <start>19</start>
      <end>20</end>
      <status>unmodified</status>
      <modifiedWord/>
      <trackRevisions>false</trackRevisions>
    </reviewItem>
    <reviewItem>
      <errorID>efeaaeac-0508-43c8-b875-9a6c4c881d22</errorID>
      <errorWord>)</errorWord>
      <group>L1_Format</group>
      <groupName>格式问题</groupName>
      <ability>L2_HalfPunc</ability>
      <abilityName>全半角检查</abilityName>
      <candidateList>
        <item>）</item>
      </candidateList>
      <explain>文本全半角错误。</explain>
      <paraID>7C0CA67E</paraID>
      <start>35</start>
      <end>36</end>
      <status>unmodified</status>
      <modifiedWord/>
      <trackRevisions>false</trackRevisions>
    </reviewItem>
    <reviewItem>
      <errorID>b0c59284-2d91-40a4-87b0-dc9a0c410a6f</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22DF15</paraID>
      <start>0</start>
      <end>3</end>
      <status>unmodified</status>
      <modifiedWord/>
      <trackRevisions>false</trackRevisions>
    </reviewItem>
    <reviewItem>
      <errorID>10691d31-4020-46e2-a0fb-da2463a251a8</errorID>
      <errorWord>(</errorWord>
      <group>L1_Format</group>
      <groupName>格式问题</groupName>
      <ability>L2_HalfPunc</ability>
      <abilityName>全半角检查</abilityName>
      <candidateList>
        <item>（</item>
      </candidateList>
      <explain>文本全半角错误。</explain>
      <paraID>  22DF15</paraID>
      <start>21</start>
      <end>22</end>
      <status>unmodified</status>
      <modifiedWord/>
      <trackRevisions>false</trackRevisions>
    </reviewItem>
    <reviewItem>
      <errorID>3ece2fd1-1a56-4431-92b4-51d7ebc54544</errorID>
      <errorWord>)</errorWord>
      <group>L1_Format</group>
      <groupName>格式问题</groupName>
      <ability>L2_HalfPunc</ability>
      <abilityName>全半角检查</abilityName>
      <candidateList>
        <item>）</item>
      </candidateList>
      <explain>文本全半角错误。</explain>
      <paraID>  22DF15</paraID>
      <start>41</start>
      <end>42</end>
      <status>unmodified</status>
      <modifiedWord/>
      <trackRevisions>false</trackRevisions>
    </reviewItem>
    <reviewItem>
      <errorID>42e28947-55b3-4a44-9b41-6e4f1b84d2e8</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65CCF23F</paraID>
      <start>0</start>
      <end>4</end>
      <status>unmodified</status>
      <modifiedWord/>
      <trackRevisions>false</trackRevisions>
    </reviewItem>
    <reviewItem>
      <errorID>29cc1509-8879-4aa8-9778-455d0ce6f71e</errorID>
      <errorWord>(</errorWord>
      <group>L1_Format</group>
      <groupName>格式问题</groupName>
      <ability>L2_HalfPunc</ability>
      <abilityName>全半角检查</abilityName>
      <candidateList>
        <item>（</item>
      </candidateList>
      <explain>文本全半角错误。</explain>
      <paraID>65CCF23F</paraID>
      <start>15</start>
      <end>16</end>
      <status>unmodified</status>
      <modifiedWord/>
      <trackRevisions>false</trackRevisions>
    </reviewItem>
    <reviewItem>
      <errorID>cf5e2507-8a1a-4383-8635-fae193788f7d</errorID>
      <errorWord>)</errorWord>
      <group>L1_Format</group>
      <groupName>格式问题</groupName>
      <ability>L2_HalfPunc</ability>
      <abilityName>全半角检查</abilityName>
      <candidateList>
        <item>）</item>
      </candidateList>
      <explain>文本全半角错误。</explain>
      <paraID>65CCF23F</paraID>
      <start>22</start>
      <end>23</end>
      <status>unmodified</status>
      <modifiedWord/>
      <trackRevisions>false</trackRevisions>
    </reviewItem>
    <reviewItem>
      <errorID>e167cfc1-de8b-4d6f-a3c0-7e4980197a16</errorID>
      <errorWord>(</errorWord>
      <group>L1_Format</group>
      <groupName>格式问题</groupName>
      <ability>L2_HalfPunc</ability>
      <abilityName>全半角检查</abilityName>
      <candidateList>
        <item>（</item>
      </candidateList>
      <explain>文本全半角错误。</explain>
      <paraID>65CCF23F</paraID>
      <start>24</start>
      <end>25</end>
      <status>unmodified</status>
      <modifiedWord/>
      <trackRevisions>false</trackRevisions>
    </reviewItem>
    <reviewItem>
      <errorID>f7796ef7-6e78-45b6-86db-7595bbf75027</errorID>
      <errorWord>)</errorWord>
      <group>L1_Format</group>
      <groupName>格式问题</groupName>
      <ability>L2_HalfPunc</ability>
      <abilityName>全半角检查</abilityName>
      <candidateList>
        <item>）</item>
      </candidateList>
      <explain>文本全半角错误。</explain>
      <paraID>65CCF23F</paraID>
      <start>39</start>
      <end>40</end>
      <status>unmodified</status>
      <modifiedWord/>
      <trackRevisions>false</trackRevisions>
    </reviewItem>
    <reviewItem>
      <errorID>aad332ad-bb03-410b-ab78-899afd8a429e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2C288E94</paraID>
      <start>0</start>
      <end>3</end>
      <status>unmodified</status>
      <modifiedWord/>
      <trackRevisions>false</trackRevisions>
    </reviewItem>
    <reviewItem>
      <errorID>7f174a6d-ed6c-40a5-92b5-c4a36239a2d7</errorID>
      <errorWord>(</errorWord>
      <group>L1_Format</group>
      <groupName>格式问题</groupName>
      <ability>L2_HalfPunc</ability>
      <abilityName>全半角检查</abilityName>
      <candidateList>
        <item>（</item>
      </candidateList>
      <explain>文本全半角错误。</explain>
      <paraID>2C288E94</paraID>
      <start>21</start>
      <end>22</end>
      <status>unmodified</status>
      <modifiedWord/>
      <trackRevisions>false</trackRevisions>
    </reviewItem>
    <reviewItem>
      <errorID>2e6ced27-75e7-4ddf-b383-4dbf58ded204</errorID>
      <errorWord>)</errorWord>
      <group>L1_Format</group>
      <groupName>格式问题</groupName>
      <ability>L2_HalfPunc</ability>
      <abilityName>全半角检查</abilityName>
      <candidateList>
        <item>）</item>
      </candidateList>
      <explain>文本全半角错误。</explain>
      <paraID>2C288E94</paraID>
      <start>32</start>
      <end>33</end>
      <status>unmodified</status>
      <modifiedWord/>
      <trackRevisions>false</trackRevisions>
    </reviewItem>
    <reviewItem>
      <errorID>3158e6d2-a0b1-46a1-a22c-9aa798262ff3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28C00D1A</paraID>
      <start>0</start>
      <end>3</end>
      <status>unmodified</status>
      <modifiedWord/>
      <trackRevisions>false</trackRevisions>
    </reviewItem>
    <reviewItem>
      <errorID>3c0efebe-f904-45ac-9193-5578ea6f8f4f</errorID>
      <errorWord>(</errorWord>
      <group>L1_Format</group>
      <groupName>格式问题</groupName>
      <ability>L2_HalfPunc</ability>
      <abilityName>全半角检查</abilityName>
      <candidateList>
        <item>（</item>
      </candidateList>
      <explain>文本全半角错误。</explain>
      <paraID>28C00D1A</paraID>
      <start>19</start>
      <end>20</end>
      <status>unmodified</status>
      <modifiedWord/>
      <trackRevisions>false</trackRevisions>
    </reviewItem>
    <reviewItem>
      <errorID>20ae9e38-6b91-4f66-bc38-dc7f4e5671a3</errorID>
      <errorWord>)</errorWord>
      <group>L1_Format</group>
      <groupName>格式问题</groupName>
      <ability>L2_HalfPunc</ability>
      <abilityName>全半角检查</abilityName>
      <candidateList>
        <item>）</item>
      </candidateList>
      <explain>文本全半角错误。</explain>
      <paraID>28C00D1A</paraID>
      <start>29</start>
      <end>30</end>
      <status>unmodified</status>
      <modifiedWord/>
      <trackRevisions>false</trackRevisions>
    </reviewItem>
    <reviewItem>
      <errorID>8fce0ac8-e44f-497e-a7c8-49a921faf491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345DA00B</paraID>
      <start>0</start>
      <end>3</end>
      <status>unmodified</status>
      <modifiedWord/>
      <trackRevisions>false</trackRevisions>
    </reviewItem>
    <reviewItem>
      <errorID>aa606cd1-d97c-44e4-a091-3f7ae25ce336</errorID>
      <errorWord>(</errorWord>
      <group>L1_Format</group>
      <groupName>格式问题</groupName>
      <ability>L2_HalfPunc</ability>
      <abilityName>全半角检查</abilityName>
      <candidateList>
        <item>（</item>
      </candidateList>
      <explain>文本全半角错误。</explain>
      <paraID>345DA00B</paraID>
      <start>13</start>
      <end>14</end>
      <status>unmodified</status>
      <modifiedWord/>
      <trackRevisions>false</trackRevisions>
    </reviewItem>
    <reviewItem>
      <errorID>b3b24f06-f82d-4640-bc2d-ecedd07b75ad</errorID>
      <errorWord>)</errorWord>
      <group>L1_Format</group>
      <groupName>格式问题</groupName>
      <ability>L2_HalfPunc</ability>
      <abilityName>全半角检查</abilityName>
      <candidateList>
        <item>）</item>
      </candidateList>
      <explain>文本全半角错误。</explain>
      <paraID>345DA00B</paraID>
      <start>25</start>
      <end>26</end>
      <status>unmodified</status>
      <modifiedWord/>
      <trackRevisions>false</trackRevisions>
    </reviewItem>
    <reviewItem>
      <errorID>d0fe678b-81b7-4efa-ad7c-34413db1041d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73711575</paraID>
      <start>0</start>
      <end>3</end>
      <status>unmodified</status>
      <modifiedWord/>
      <trackRevisions>false</trackRevisions>
    </reviewItem>
    <reviewItem>
      <errorID>9d5a8a92-c93b-4fae-9be8-fb99f456d6f8</errorID>
      <errorWord>(</errorWord>
      <group>L1_Format</group>
      <groupName>格式问题</groupName>
      <ability>L2_HalfPunc</ability>
      <abilityName>全半角检查</abilityName>
      <candidateList>
        <item>（</item>
      </candidateList>
      <explain>文本全半角错误。</explain>
      <paraID>73711575</paraID>
      <start>19</start>
      <end>20</end>
      <status>unmodified</status>
      <modifiedWord/>
      <trackRevisions>false</trackRevisions>
    </reviewItem>
    <reviewItem>
      <errorID>34e80570-5d91-41f5-a87a-ffca32b37a87</errorID>
      <errorWord>)</errorWord>
      <group>L1_Format</group>
      <groupName>格式问题</groupName>
      <ability>L2_HalfPunc</ability>
      <abilityName>全半角检查</abilityName>
      <candidateList>
        <item>）</item>
      </candidateList>
      <explain>文本全半角错误。</explain>
      <paraID>73711575</paraID>
      <start>22</start>
      <end>23</end>
      <status>unmodified</status>
      <modifiedWord/>
      <trackRevisions>false</trackRevisions>
    </reviewItem>
    <reviewItem>
      <errorID>ab5086fb-5b34-477e-9e17-dc8a277f2e74</errorID>
      <errorWord>(</errorWord>
      <group>L1_Format</group>
      <groupName>格式问题</groupName>
      <ability>L2_HalfPunc</ability>
      <abilityName>全半角检查</abilityName>
      <candidateList>
        <item>（</item>
      </candidateList>
      <explain>文本全半角错误。</explain>
      <paraID>73711575</paraID>
      <start>24</start>
      <end>25</end>
      <status>unmodified</status>
      <modifiedWord/>
      <trackRevisions>false</trackRevisions>
    </reviewItem>
    <reviewItem>
      <errorID>29934b67-9845-4a0f-9f60-993d3e573f3f</errorID>
      <errorWord>)</errorWord>
      <group>L1_Format</group>
      <groupName>格式问题</groupName>
      <ability>L2_HalfPunc</ability>
      <abilityName>全半角检查</abilityName>
      <candidateList>
        <item>）</item>
      </candidateList>
      <explain>文本全半角错误。</explain>
      <paraID>73711575</paraID>
      <start>35</start>
      <end>36</end>
      <status>unmodified</status>
      <modifiedWord/>
      <trackRevisions>false</trackRevisions>
    </reviewItem>
    <reviewItem>
      <errorID>01529500-e5bc-4d07-96ad-501997124e08</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36F99BDA</paraID>
      <start>0</start>
      <end>3</end>
      <status>unmodified</status>
      <modifiedWord/>
      <trackRevisions>false</trackRevisions>
    </reviewItem>
    <reviewItem>
      <errorID>5c9ea067-2a86-40ec-bc87-e82a525b0547</errorID>
      <errorWord>(</errorWord>
      <group>L1_Format</group>
      <groupName>格式问题</groupName>
      <ability>L2_HalfPunc</ability>
      <abilityName>全半角检查</abilityName>
      <candidateList>
        <item>（</item>
      </candidateList>
      <explain>文本全半角错误。</explain>
      <paraID>36F99BDA</paraID>
      <start>20</start>
      <end>21</end>
      <status>unmodified</status>
      <modifiedWord/>
      <trackRevisions>false</trackRevisions>
    </reviewItem>
    <reviewItem>
      <errorID>c6aaddb1-a78a-45b0-a0fa-580155f3dbd1</errorID>
      <errorWord>)</errorWord>
      <group>L1_Format</group>
      <groupName>格式问题</groupName>
      <ability>L2_HalfPunc</ability>
      <abilityName>全半角检查</abilityName>
      <candidateList>
        <item>）</item>
      </candidateList>
      <explain>文本全半角错误。</explain>
      <paraID>36F99BDA</paraID>
      <start>32</start>
      <end>33</end>
      <status>unmodified</status>
      <modifiedWord/>
      <trackRevisions>false</trackRevisions>
    </reviewItem>
    <reviewItem>
      <errorID>0be1131b-f92a-4b89-be84-65a9e9c9fda4</errorID>
      <errorWord>(</errorWord>
      <group>L1_Format</group>
      <groupName>格式问题</groupName>
      <ability>L2_HalfPunc</ability>
      <abilityName>全半角检查</abilityName>
      <candidateList>
        <item>（</item>
      </candidateList>
      <explain>文本全半角错误。</explain>
      <paraID>59F600CF</paraID>
      <start>80</start>
      <end>81</end>
      <status>unmodified</status>
      <modifiedWord/>
      <trackRevisions>false</trackRevisions>
    </reviewItem>
    <reviewItem>
      <errorID>855ea12b-3c15-41be-9f60-507b2192f1cb</errorID>
      <errorWord>)</errorWord>
      <group>L1_Format</group>
      <groupName>格式问题</groupName>
      <ability>L2_HalfPunc</ability>
      <abilityName>全半角检查</abilityName>
      <candidateList>
        <item>）</item>
      </candidateList>
      <explain>文本全半角错误。</explain>
      <paraID>59F600CF</paraID>
      <start>111</start>
      <end>112</end>
      <status>unmodified</status>
      <modifiedWord/>
      <trackRevisions>false</trackRevisions>
    </reviewItem>
    <reviewItem>
      <errorID>b069c379-65b5-4e70-b8b5-2957e7d96fe9</errorID>
      <errorWord>(</errorWord>
      <group>L1_Format</group>
      <groupName>格式问题</groupName>
      <ability>L2_HalfPunc</ability>
      <abilityName>全半角检查</abilityName>
      <candidateList>
        <item>（</item>
      </candidateList>
      <explain>文本全半角错误。</explain>
      <paraID>2993D914</paraID>
      <start>73</start>
      <end>74</end>
      <status>unmodified</status>
      <modifiedWord/>
      <trackRevisions>false</trackRevisions>
    </reviewItem>
    <reviewItem>
      <errorID>fbf97060-02f6-4d59-8767-644a508de2df</errorID>
      <errorWord>)</errorWord>
      <group>L1_Format</group>
      <groupName>格式问题</groupName>
      <ability>L2_HalfPunc</ability>
      <abilityName>全半角检查</abilityName>
      <candidateList>
        <item>）</item>
      </candidateList>
      <explain>文本全半角错误。</explain>
      <paraID>2993D914</paraID>
      <start>104</start>
      <end>105</end>
      <status>unmodified</status>
      <modifiedWord/>
      <trackRevisions>false</trackRevisions>
    </reviewItem>
    <reviewItem>
      <errorID>34b863f9-bb43-4ba0-89c7-1dc7f7c2664a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3718691A</paraID>
      <start>0</start>
      <end>3</end>
      <status>unmodified</status>
      <modifiedWord/>
      <trackRevisions>false</trackRevisions>
    </reviewItem>
    <reviewItem>
      <errorID>2f8df663-1b3f-461a-8a1b-b367934e4861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298B3612</paraID>
      <start>0</start>
      <end>3</end>
      <status>unmodified</status>
      <modifiedWord/>
      <trackRevisions>false</trackRevisions>
    </reviewItem>
    <reviewItem>
      <errorID>d83f0415-3598-4426-a272-24aa55efd9f3</errorID>
      <errorWord>(</errorWord>
      <group>L1_Format</group>
      <groupName>格式问题</groupName>
      <ability>L2_HalfPunc</ability>
      <abilityName>全半角检查</abilityName>
      <candidateList>
        <item>（</item>
      </candidateList>
      <explain>文本全半角错误。</explain>
      <paraID>646859FF</paraID>
      <start>18</start>
      <end>19</end>
      <status>unmodified</status>
      <modifiedWord/>
      <trackRevisions>false</trackRevisions>
    </reviewItem>
    <reviewItem>
      <errorID>f5aecabb-ff10-4896-bc8e-7989875dcfcb</errorID>
      <errorWord>)</errorWord>
      <group>L1_Format</group>
      <groupName>格式问题</groupName>
      <ability>L2_HalfPunc</ability>
      <abilityName>全半角检查</abilityName>
      <candidateList>
        <item>）</item>
      </candidateList>
      <explain>文本全半角错误。</explain>
      <paraID>646859FF</paraID>
      <start>28</start>
      <end>29</end>
      <status>unmodified</status>
      <modifiedWord/>
      <trackRevisions>false</trackRevisions>
    </reviewItem>
    <reviewItem>
      <errorID>cc0c7a39-e3be-4eb5-b3cb-68b01c608a70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23F91C3F</paraID>
      <start>0</start>
      <end>2</end>
      <status>unmodified</status>
      <modifiedWord/>
      <trackRevisions>false</trackRevisions>
    </reviewItem>
    <reviewItem>
      <errorID>4d8aee9f-9dfd-42be-859f-b51e084e54e3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4001D4FD</paraID>
      <start>0</start>
      <end>2</end>
      <status>unmodified</status>
      <modifiedWord/>
      <trackRevisions>false</trackRevisions>
    </reviewItem>
    <reviewItem>
      <errorID>a92e2623-5721-4b20-8edd-1151aeaa0ea5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66F62EF6</paraID>
      <start>0</start>
      <end>3</end>
      <status>unmodified</status>
      <modifiedWord/>
      <trackRevisions>false</trackRevisions>
    </reviewItem>
    <reviewItem>
      <errorID>24c16a14-c54f-497f-a3f8-8c3054d453d7</errorID>
      <errorWord>(</errorWord>
      <group>L1_Format</group>
      <groupName>格式问题</groupName>
      <ability>L2_HalfPunc</ability>
      <abilityName>全半角检查</abilityName>
      <candidateList>
        <item>（</item>
      </candidateList>
      <explain>文本全半角错误。</explain>
      <paraID> AADE1C8</paraID>
      <start>18</start>
      <end>19</end>
      <status>unmodified</status>
      <modifiedWord/>
      <trackRevisions>false</trackRevisions>
    </reviewItem>
    <reviewItem>
      <errorID>a7c8444b-a9f6-416c-83a9-913cecf7e0e8</errorID>
      <errorWord>)</errorWord>
      <group>L1_Format</group>
      <groupName>格式问题</groupName>
      <ability>L2_HalfPunc</ability>
      <abilityName>全半角检查</abilityName>
      <candidateList>
        <item>）</item>
      </candidateList>
      <explain>文本全半角错误。</explain>
      <paraID> AADE1C8</paraID>
      <start>29</start>
      <end>30</end>
      <status>unmodified</status>
      <modifiedWord/>
      <trackRevisions>false</trackRevisions>
    </reviewItem>
    <reviewItem>
      <errorID>cc435b5e-33ff-4d72-b679-65da109d3a3c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1AA9941A</paraID>
      <start>0</start>
      <end>3</end>
      <status>unmodified</status>
      <modifiedWord/>
      <trackRevisions>false</trackRevisions>
    </reviewItem>
    <reviewItem>
      <errorID>53dac3a3-ebfc-44a7-a45e-da3502460e72</errorID>
      <errorWord>(</errorWord>
      <group>L1_Format</group>
      <groupName>格式问题</groupName>
      <ability>L2_HalfPunc</ability>
      <abilityName>全半角检查</abilityName>
      <candidateList>
        <item>（</item>
      </candidateList>
      <explain>文本全半角错误。</explain>
      <paraID>3A528CDF</paraID>
      <start>18</start>
      <end>19</end>
      <status>unmodified</status>
      <modifiedWord/>
      <trackRevisions>false</trackRevisions>
    </reviewItem>
    <reviewItem>
      <errorID>72324f26-a5ff-424e-b1a2-ed3d92c451ba</errorID>
      <errorWord>)</errorWord>
      <group>L1_Format</group>
      <groupName>格式问题</groupName>
      <ability>L2_HalfPunc</ability>
      <abilityName>全半角检查</abilityName>
      <candidateList>
        <item>）</item>
      </candidateList>
      <explain>文本全半角错误。</explain>
      <paraID>3A528CDF</paraID>
      <start>28</start>
      <end>29</end>
      <status>unmodified</status>
      <modifiedWord/>
      <trackRevisions>false</trackRevisions>
    </reviewItem>
    <reviewItem>
      <errorID>edbd1849-8ea1-4ab0-b038-41db27efd9de</errorID>
      <errorWord>(</errorWord>
      <group>L1_Format</group>
      <groupName>格式问题</groupName>
      <ability>L2_HalfPunc</ability>
      <abilityName>全半角检查</abilityName>
      <candidateList>
        <item>（</item>
      </candidateList>
      <explain>文本全半角错误。</explain>
      <paraID>3A528CDF</paraID>
      <start>57</start>
      <end>58</end>
      <status>unmodified</status>
      <modifiedWord/>
      <trackRevisions>false</trackRevisions>
    </reviewItem>
    <reviewItem>
      <errorID>16a79307-4ce6-4510-89fc-2f31d0b3b85b</errorID>
      <errorWord>)</errorWord>
      <group>L1_Format</group>
      <groupName>格式问题</groupName>
      <ability>L2_HalfPunc</ability>
      <abilityName>全半角检查</abilityName>
      <candidateList>
        <item>）</item>
      </candidateList>
      <explain>文本全半角错误。</explain>
      <paraID>3A528CDF</paraID>
      <start>69</start>
      <end>70</end>
      <status>unmodified</status>
      <modifiedWord/>
      <trackRevisions>false</trackRevisions>
    </reviewItem>
    <reviewItem>
      <errorID>b4f216e5-5191-4e13-845d-adc0ad40425d</errorID>
      <errorWord>(</errorWord>
      <group>L1_Format</group>
      <groupName>格式问题</groupName>
      <ability>L2_HalfPunc</ability>
      <abilityName>全半角检查</abilityName>
      <candidateList>
        <item>（</item>
      </candidateList>
      <explain>文本全半角错误。</explain>
      <paraID>687B326E</paraID>
      <start>10</start>
      <end>11</end>
      <status>unmodified</status>
      <modifiedWord/>
      <trackRevisions>false</trackRevisions>
    </reviewItem>
    <reviewItem>
      <errorID>dda4f54c-ffab-40b8-aa0c-6d32757f963c</errorID>
      <errorWord>(</errorWord>
      <group>L1_Format</group>
      <groupName>格式问题</groupName>
      <ability>L2_HalfPunc</ability>
      <abilityName>全半角检查</abilityName>
      <candidateList>
        <item>（</item>
      </candidateList>
      <explain>文本全半角错误。</explain>
      <paraID>47701FB5</paraID>
      <start>7</start>
      <end>8</end>
      <status>unmodified</status>
      <modifiedWord/>
      <trackRevisions>false</trackRevisions>
    </reviewItem>
    <reviewItem>
      <errorID>ae8d9ff1-18c7-44b1-b059-367ff091abf5</errorID>
      <errorWord>)</errorWord>
      <group>L1_Format</group>
      <groupName>格式问题</groupName>
      <ability>L2_HalfPunc</ability>
      <abilityName>全半角检查</abilityName>
      <candidateList>
        <item>）</item>
      </candidateList>
      <explain>文本全半角错误。</explain>
      <paraID>47701FB5</paraID>
      <start>11</start>
      <end>12</end>
      <status>unmodified</status>
      <modifiedWord/>
      <trackRevisions>false</trackRevisions>
    </reviewItem>
    <reviewItem>
      <errorID>f2900b0d-6d22-4518-8657-735ae2c41c65</errorID>
      <errorWord>(</errorWord>
      <group>L1_Format</group>
      <groupName>格式问题</groupName>
      <ability>L2_HalfPunc</ability>
      <abilityName>全半角检查</abilityName>
      <candidateList>
        <item>（</item>
      </candidateList>
      <explain>文本全半角错误。</explain>
      <paraID>371DA10A</paraID>
      <start>7</start>
      <end>8</end>
      <status>unmodified</status>
      <modifiedWord/>
      <trackRevisions>false</trackRevisions>
    </reviewItem>
    <reviewItem>
      <errorID>e9407912-828a-4ba8-a41e-0451663933c2</errorID>
      <errorWord>)</errorWord>
      <group>L1_Format</group>
      <groupName>格式问题</groupName>
      <ability>L2_HalfPunc</ability>
      <abilityName>全半角检查</abilityName>
      <candidateList>
        <item>）</item>
      </candidateList>
      <explain>文本全半角错误。</explain>
      <paraID>371DA10A</paraID>
      <start>12</start>
      <end>13</end>
      <status>unmodified</status>
      <modifiedWord/>
      <trackRevisions>false</trackRevisions>
    </reviewItem>
    <reviewItem>
      <errorID>ceb6c36b-4299-4ce6-9e29-b311a15ab9b0</errorID>
      <errorWord>(</errorWord>
      <group>L1_Format</group>
      <groupName>格式问题</groupName>
      <ability>L2_HalfPunc</ability>
      <abilityName>全半角检查</abilityName>
      <candidateList>
        <item>（</item>
      </candidateList>
      <explain>文本全半角错误。</explain>
      <paraID>1C0908B7</paraID>
      <start>15</start>
      <end>16</end>
      <status>unmodified</status>
      <modifiedWord/>
      <trackRevisions>false</trackRevisions>
    </reviewItem>
    <reviewItem>
      <errorID>652e31d7-cdc7-4253-b2b7-1d00a92b09e3</errorID>
      <errorWord>)</errorWord>
      <group>L1_Format</group>
      <groupName>格式问题</groupName>
      <ability>L2_HalfPunc</ability>
      <abilityName>全半角检查</abilityName>
      <candidateList>
        <item>）</item>
      </candidateList>
      <explain>文本全半角错误。</explain>
      <paraID>1C0908B7</paraID>
      <start>20</start>
      <end>21</end>
      <status>unmodified</status>
      <modifiedWord/>
      <trackRevisions>false</trackRevisions>
    </reviewItem>
    <reviewItem>
      <errorID>da34d1cb-c28b-4ebf-897f-973a4d5ca268</errorID>
      <errorWord>(</errorWord>
      <group>L1_Format</group>
      <groupName>格式问题</groupName>
      <ability>L2_HalfPunc</ability>
      <abilityName>全半角检查</abilityName>
      <candidateList>
        <item>（</item>
      </candidateList>
      <explain>文本全半角错误。</explain>
      <paraID>6B633749</paraID>
      <start>21</start>
      <end>22</end>
      <status>unmodified</status>
      <modifiedWord/>
      <trackRevisions>false</trackRevisions>
    </reviewItem>
    <reviewItem>
      <errorID>62ecb468-5f43-4a73-bb7f-4208bfb97c1e</errorID>
      <errorWord>)</errorWord>
      <group>L1_Format</group>
      <groupName>格式问题</groupName>
      <ability>L2_HalfPunc</ability>
      <abilityName>全半角检查</abilityName>
      <candidateList>
        <item>）</item>
      </candidateList>
      <explain>文本全半角错误。</explain>
      <paraID>6B633749</paraID>
      <start>24</start>
      <end>25</end>
      <status>unmodified</status>
      <modifiedWord/>
      <trackRevisions>false</trackRevisions>
    </reviewItem>
    <reviewItem>
      <errorID>2b0482be-58b9-4fc1-b641-4bf47b3b8cc6</errorID>
      <errorWord>(</errorWord>
      <group>L1_Format</group>
      <groupName>格式问题</groupName>
      <ability>L2_HalfPunc</ability>
      <abilityName>全半角检查</abilityName>
      <candidateList>
        <item>（</item>
      </candidateList>
      <explain>文本全半角错误。</explain>
      <paraID>6B633749</paraID>
      <start>26</start>
      <end>27</end>
      <status>unmodified</status>
      <modifiedWord/>
      <trackRevisions>false</trackRevisions>
    </reviewItem>
    <reviewItem>
      <errorID>cfe5a8ff-77d2-4c38-a219-52b881a6e213</errorID>
      <errorWord>)</errorWord>
      <group>L1_Format</group>
      <groupName>格式问题</groupName>
      <ability>L2_HalfPunc</ability>
      <abilityName>全半角检查</abilityName>
      <candidateList>
        <item>）</item>
      </candidateList>
      <explain>文本全半角错误。</explain>
      <paraID>6B633749</paraID>
      <start>37</start>
      <end>38</end>
      <status>unmodified</status>
      <modifiedWord/>
      <trackRevisions>false</trackRevisions>
    </reviewItem>
    <reviewItem>
      <errorID>531d3872-d958-4c23-a871-7b958e445b65</errorID>
      <errorWord>(</errorWord>
      <group>L1_Format</group>
      <groupName>格式问题</groupName>
      <ability>L2_HalfPunc</ability>
      <abilityName>全半角检查</abilityName>
      <candidateList>
        <item>（</item>
      </candidateList>
      <explain>文本全半角错误。</explain>
      <paraID>739F17D1</paraID>
      <start>23</start>
      <end>24</end>
      <status>unmodified</status>
      <modifiedWord/>
      <trackRevisions>false</trackRevisions>
    </reviewItem>
    <reviewItem>
      <errorID>fb92a8ea-657f-4986-8c92-c7b4bac4b766</errorID>
      <errorWord>)</errorWord>
      <group>L1_Format</group>
      <groupName>格式问题</groupName>
      <ability>L2_HalfPunc</ability>
      <abilityName>全半角检查</abilityName>
      <candidateList>
        <item>）</item>
      </candidateList>
      <explain>文本全半角错误。</explain>
      <paraID>739F17D1</paraID>
      <start>33</start>
      <end>34</end>
      <status>unmodified</status>
      <modifiedWord/>
      <trackRevisions>false</trackRevisions>
    </reviewItem>
    <reviewItem>
      <errorID>42f54c9e-6898-481f-910f-67dff897833a</errorID>
      <errorWord>2026年04月25日</errorWord>
      <group>L1_Knowledge</group>
      <groupName>知识性问题</groupName>
      <ability>L2_Time</ability>
      <abilityName>日期时间</abilityName>
      <candidateList>
        <item>2026年4月25日</item>
      </candidateList>
      <explain>根据日常书写习惯，月份一般会省略前导零。</explain>
      <paraID>4B2267B8</paraID>
      <start>5</start>
      <end>16</end>
      <status>unmodified</status>
      <modifiedWord/>
      <trackRevisions>false</trackRevisions>
    </reviewItem>
    <reviewItem>
      <errorID>1415d0ee-c7cc-4d2e-841d-2017dd1498b0</errorID>
      <errorWord>HZ</errorWord>
      <group>L1_Word</group>
      <groupName>字词问题</groupName>
      <ability>L2_Typo</ability>
      <abilityName>字词错误</abilityName>
      <candidateList>
        <item>Hz</item>
      </candidateList>
      <explain/>
      <paraID>6AA92F42</paraID>
      <start>40</start>
      <end>42</end>
      <status>unmodified</status>
      <modifiedWord/>
      <trackRevisions>false</trackRevisions>
    </reviewItem>
    <reviewItem>
      <errorID>7f0d351c-8cca-4be6-851a-ceca4202bde9</errorID>
      <errorWord>(</errorWord>
      <group>L1_Format</group>
      <groupName>格式问题</groupName>
      <ability>L2_HalfPunc</ability>
      <abilityName>全半角检查</abilityName>
      <candidateList>
        <item>（</item>
      </candidateList>
      <explain>文本全半角错误。</explain>
      <paraID>57CF0C49</paraID>
      <start>7</start>
      <end>8</end>
      <status>unmodified</status>
      <modifiedWord/>
      <trackRevisions>false</trackRevisions>
    </reviewItem>
    <reviewItem>
      <errorID>fb78934e-7770-4209-8b6e-fbd8e37b2bc7</errorID>
      <errorWord>)</errorWord>
      <group>L1_Format</group>
      <groupName>格式问题</groupName>
      <ability>L2_HalfPunc</ability>
      <abilityName>全半角检查</abilityName>
      <candidateList>
        <item>）</item>
      </candidateList>
      <explain>文本全半角错误。</explain>
      <paraID>57CF0C49</paraID>
      <start>10</start>
      <end>11</end>
      <status>unmodified</status>
      <modifiedWord/>
      <trackRevisions>false</trackRevisions>
    </reviewItem>
    <reviewItem>
      <errorID>2b06744f-8b02-4d6d-bd7c-1da856860ea4</errorID>
      <errorWord>(</errorWord>
      <group>L1_Format</group>
      <groupName>格式问题</groupName>
      <ability>L2_HalfPunc</ability>
      <abilityName>全半角检查</abilityName>
      <candidateList>
        <item>（</item>
      </candidateList>
      <explain>文本全半角错误。</explain>
      <paraID>3E1B73A4</paraID>
      <start>45</start>
      <end>46</end>
      <status>unmodified</status>
      <modifiedWord/>
      <trackRevisions>false</trackRevisions>
    </reviewItem>
    <reviewItem>
      <errorID>44278fb1-bb06-447e-93ba-f26ac555ccd3</errorID>
      <errorWord>)</errorWord>
      <group>L1_Format</group>
      <groupName>格式问题</groupName>
      <ability>L2_HalfPunc</ability>
      <abilityName>全半角检查</abilityName>
      <candidateList>
        <item>）</item>
      </candidateList>
      <explain>文本全半角错误。</explain>
      <paraID>3E1B73A4</paraID>
      <start>57</start>
      <end>58</end>
      <status>unmodified</status>
      <modifiedWord/>
      <trackRevisions>false</trackRevisions>
    </reviewItem>
    <reviewItem>
      <errorID>51400459-604a-47e6-873e-65667c335bc6</errorID>
      <errorWord>(</errorWord>
      <group>L1_Format</group>
      <groupName>格式问题</groupName>
      <ability>L2_HalfPunc</ability>
      <abilityName>全半角检查</abilityName>
      <candidateList>
        <item>（</item>
      </candidateList>
      <explain>文本全半角错误。</explain>
      <paraID>3E1B73A4</paraID>
      <start>60</start>
      <end>61</end>
      <status>unmodified</status>
      <modifiedWord/>
      <trackRevisions>false</trackRevisions>
    </reviewItem>
    <reviewItem>
      <errorID>092dfb39-471b-4728-9035-c6c66e6cd220</errorID>
      <errorWord>)</errorWord>
      <group>L1_Format</group>
      <groupName>格式问题</groupName>
      <ability>L2_HalfPunc</ability>
      <abilityName>全半角检查</abilityName>
      <candidateList>
        <item>）</item>
      </candidateList>
      <explain>文本全半角错误。</explain>
      <paraID>3E1B73A4</paraID>
      <start>89</start>
      <end>90</end>
      <status>unmodified</status>
      <modifiedWord/>
      <trackRevisions>false</trackRevisions>
    </reviewItem>
    <reviewItem>
      <errorID>2d6b8cd9-2406-4c23-b6c1-860a887ac216</errorID>
      <errorWord>(</errorWord>
      <group>L1_Format</group>
      <groupName>格式问题</groupName>
      <ability>L2_HalfPunc</ability>
      <abilityName>全半角检查</abilityName>
      <candidateList>
        <item>（</item>
      </candidateList>
      <explain>文本全半角错误。</explain>
      <paraID>5F1F2126</paraID>
      <start>17</start>
      <end>18</end>
      <status>unmodified</status>
      <modifiedWord/>
      <trackRevisions>false</trackRevisions>
    </reviewItem>
    <reviewItem>
      <errorID>1a16fd44-9aa9-433b-a1b1-82df1ef5b26d</errorID>
      <errorWord>)</errorWord>
      <group>L1_Format</group>
      <groupName>格式问题</groupName>
      <ability>L2_HalfPunc</ability>
      <abilityName>全半角检查</abilityName>
      <candidateList>
        <item>）</item>
      </candidateList>
      <explain>文本全半角错误。</explain>
      <paraID>5F1F2126</paraID>
      <start>22</start>
      <end>23</end>
      <status>unmodified</status>
      <modifiedWord/>
      <trackRevisions>false</trackRevisions>
    </reviewItem>
    <reviewItem>
      <errorID>b0efb0bc-7e48-4ccf-8e5f-f34978a2336a</errorID>
      <errorWord>(</errorWord>
      <group>L1_Format</group>
      <groupName>格式问题</groupName>
      <ability>L2_HalfPunc</ability>
      <abilityName>全半角检查</abilityName>
      <candidateList>
        <item>（</item>
      </candidateList>
      <explain>文本全半角错误。</explain>
      <paraID>43BE0C6F</paraID>
      <start>20</start>
      <end>21</end>
      <status>unmodified</status>
      <modifiedWord/>
      <trackRevisions>false</trackRevisions>
    </reviewItem>
    <reviewItem>
      <errorID>cb1bc2a4-7155-4c14-9484-0e5c781a3e7e</errorID>
      <errorWord>)</errorWord>
      <group>L1_Format</group>
      <groupName>格式问题</groupName>
      <ability>L2_HalfPunc</ability>
      <abilityName>全半角检查</abilityName>
      <candidateList>
        <item>）</item>
      </candidateList>
      <explain>文本全半角错误。</explain>
      <paraID>43BE0C6F</paraID>
      <start>39</start>
      <end>40</end>
      <status>unmodified</status>
      <modifiedWord/>
      <trackRevisions>false</trackRevisions>
    </reviewItem>
    <reviewItem>
      <errorID>9d3e3f2c-e8a3-4e65-a7a8-704050ccc8fb</errorID>
      <errorWord>(</errorWord>
      <group>L1_Format</group>
      <groupName>格式问题</groupName>
      <ability>L2_HalfPunc</ability>
      <abilityName>全半角检查</abilityName>
      <candidateList>
        <item>（</item>
      </candidateList>
      <explain>文本全半角错误。</explain>
      <paraID>43BE0C6F</paraID>
      <start>45</start>
      <end>46</end>
      <status>unmodified</status>
      <modifiedWord/>
      <trackRevisions>false</trackRevisions>
    </reviewItem>
    <reviewItem>
      <errorID>e9bd22f7-dd01-4921-a591-be780b426079</errorID>
      <errorWord>)</errorWord>
      <group>L1_Format</group>
      <groupName>格式问题</groupName>
      <ability>L2_HalfPunc</ability>
      <abilityName>全半角检查</abilityName>
      <candidateList>
        <item>）</item>
      </candidateList>
      <explain>文本全半角错误。</explain>
      <paraID>43BE0C6F</paraID>
      <start>53</start>
      <end>54</end>
      <status>unmodified</status>
      <modifiedWord/>
      <trackRevisions>false</trackRevisions>
    </reviewItem>
    <reviewItem>
      <errorID>385b5a98-0e3c-431c-8e4f-898ea74e7d8e</errorID>
      <errorWord>,</errorWord>
      <group>L1_Format</group>
      <groupName>格式问题</groupName>
      <ability>L2_HalfPunc</ability>
      <abilityName>全半角检查</abilityName>
      <candidateList>
        <item>，</item>
      </candidateList>
      <explain>文本全半角错误。</explain>
      <paraID>21C29391</paraID>
      <start>76</start>
      <end>77</end>
      <status>unmodified</status>
      <modifiedWord/>
      <trackRevisions>false</trackRevisions>
    </reviewItem>
    <reviewItem>
      <errorID>05d161b3-4624-49a6-9c3e-b3c3d6c27e51</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11EFF081</paraID>
      <start>5</start>
      <end>8</end>
      <status>unmodified</status>
      <modifiedWord/>
      <trackRevisions>false</trackRevisions>
    </reviewItem>
    <reviewItem>
      <errorID>58addd6a-4924-484f-b7ed-36c8fe498494</errorID>
      <errorWord>木垒县</errorWord>
      <group>L1_Knowledge</group>
      <groupName>知识性问题</groupName>
      <ability>L2_Location</ability>
      <abilityName>地名检查</abilityName>
      <candidateList>
        <item>木垒哈萨克自治县</item>
      </candidateList>
      <explain>自治区州县缩写不规范。《地名管理条例》第十八条规定，标识牌、公共平台发布的信息、各类公文证件、学习类公开出版物、地图、法律法规规定等场景范围内必须使用标准地名。</explain>
      <paraID>7F5F7997</paraID>
      <start>5</start>
      <end>8</end>
      <status>unmodified</status>
      <modifiedWord/>
      <trackRevisions>false</trackRevisions>
    </reviewItem>
    <reviewItem>
      <errorID>14b7ac99-50d2-45e9-9c82-d537fdd4f638</errorID>
      <errorWord>不是对</errorWord>
      <group>L1_Word</group>
      <groupName>字词问题</groupName>
      <ability>L2_Typo</ability>
      <abilityName>字词错误</abilityName>
      <candidateList>
        <item>不是</item>
      </candidateList>
      <explain/>
      <paraID>56CA4201</paraID>
      <start>31</start>
      <end>34</end>
      <status>unmodified</status>
      <modifiedWord/>
      <trackRevisions>false</trackRevisions>
    </reviewItem>
    <reviewItem>
      <errorID>76b5762c-9f14-4cc7-a983-30ca0e7f9971</errorID>
      <errorWord>《交流输变电工程电磁环境监测方法》(试行)</errorWord>
      <group>L1_Knowledge</group>
      <groupName>知识性问题</groupName>
      <ability>L2_Knowledge</ability>
      <abilityName>其他知识</abilityName>
      <candidateList>
        <item>《交流输变电工程电磁环境监测方法(试行)》</item>
      </candidateList>
      <explain>疑似政策文件、法律法规名称等书写不规范，请注意检查。</explain>
      <paraID>25F5A473</paraID>
      <start>5</start>
      <end>26</end>
      <status>unmodified</status>
      <modifiedWord/>
      <trackRevisions>false</trackRevisions>
    </reviewItem>
    <reviewItem>
      <errorID>fac61f9a-0930-449e-8577-19adfea0ae79</errorID>
      <errorWord>)</errorWord>
      <group>L1_Format</group>
      <groupName>格式问题</groupName>
      <ability>L2_HalfPunc</ability>
      <abilityName>全半角检查</abilityName>
      <candidateList>
        <item>）</item>
      </candidateList>
      <explain>文本全半角错误。</explain>
      <paraID>25F5A473</paraID>
      <start>38</start>
      <end>39</end>
      <status>unmodified</status>
      <modifiedWord/>
      <trackRevisions>false</trackRevisions>
    </reviewItem>
    <reviewItem>
      <errorID>351b97b2-fd7a-4aee-8196-3ae9b6013fb3</errorID>
      <errorWord>～</errorWord>
      <group>L1_Punc</group>
      <groupName>标点问题</groupName>
      <ability>L2_Punc</ability>
      <abilityName>标点符号检查</abilityName>
      <candidateList/>
      <explain/>
      <paraID>7B8A0467</paraID>
      <start>0</start>
      <end>1</end>
      <status>unmodified</status>
      <modifiedWord/>
      <trackRevisions>false</trackRevisions>
    </reviewItem>
    <reviewItem>
      <errorID>b558b30e-112d-4ab2-9e51-f3328120e0de</errorID>
      <errorWord>(</errorWord>
      <group>L1_Format</group>
      <groupName>格式问题</groupName>
      <ability>L2_HalfPunc</ability>
      <abilityName>全半角检查</abilityName>
      <candidateList>
        <item>（</item>
      </candidateList>
      <explain>文本全半角错误。</explain>
      <paraID>7ED582AB</paraID>
      <start>7</start>
      <end>8</end>
      <status>unmodified</status>
      <modifiedWord/>
      <trackRevisions>false</trackRevisions>
    </reviewItem>
    <reviewItem>
      <errorID>fe59829d-4d62-47d8-a6aa-deb65f1bc97e</errorID>
      <errorWord>)</errorWord>
      <group>L1_Format</group>
      <groupName>格式问题</groupName>
      <ability>L2_HalfPunc</ability>
      <abilityName>全半角检查</abilityName>
      <candidateList>
        <item>）</item>
      </candidateList>
      <explain>文本全半角错误。</explain>
      <paraID>7ED582AB</paraID>
      <start>10</start>
      <end>11</end>
      <status>unmodified</status>
      <modifiedWord/>
      <trackRevisions>false</trackRevisions>
    </reviewItem>
    <reviewItem>
      <errorID>f0635562-4f06-49cb-a74f-caab67ef27f5</errorID>
      <errorWord>(</errorWord>
      <group>L1_Format</group>
      <groupName>格式问题</groupName>
      <ability>L2_HalfPunc</ability>
      <abilityName>全半角检查</abilityName>
      <candidateList>
        <item>（</item>
      </candidateList>
      <explain>文本全半角错误。</explain>
      <paraID>6E8A5187</paraID>
      <start>116</start>
      <end>117</end>
      <status>unmodified</status>
      <modifiedWord/>
      <trackRevisions>false</trackRevisions>
    </reviewItem>
    <reviewItem>
      <errorID>f74f821a-42f2-4671-9de2-ec29e7777be4</errorID>
      <errorWord>)</errorWord>
      <group>L1_Format</group>
      <groupName>格式问题</groupName>
      <ability>L2_HalfPunc</ability>
      <abilityName>全半角检查</abilityName>
      <candidateList>
        <item>）</item>
      </candidateList>
      <explain>文本全半角错误。</explain>
      <paraID>6E8A5187</paraID>
      <start>128</start>
      <end>129</end>
      <status>unmodified</status>
      <modifiedWord/>
      <trackRevisions>false</trackRevisions>
    </reviewItem>
    <reviewItem>
      <errorID>53af6b60-4f8e-4256-a80b-fb1d2f964ff1</errorID>
      <errorWord>(</errorWord>
      <group>L1_Format</group>
      <groupName>格式问题</groupName>
      <ability>L2_HalfPunc</ability>
      <abilityName>全半角检查</abilityName>
      <candidateList>
        <item>（</item>
      </candidateList>
      <explain>文本全半角错误。</explain>
      <paraID>6E8A5187</paraID>
      <start>139</start>
      <end>140</end>
      <status>unmodified</status>
      <modifiedWord/>
      <trackRevisions>false</trackRevisions>
    </reviewItem>
    <reviewItem>
      <errorID>42a07ed5-77ec-47e7-9ce3-39c1dad1b6da</errorID>
      <errorWord>)</errorWord>
      <group>L1_Format</group>
      <groupName>格式问题</groupName>
      <ability>L2_HalfPunc</ability>
      <abilityName>全半角检查</abilityName>
      <candidateList>
        <item>）</item>
      </candidateList>
      <explain>文本全半角错误。</explain>
      <paraID>6E8A5187</paraID>
      <start>144</start>
      <end>145</end>
      <status>unmodified</status>
      <modifiedWord/>
      <trackRevisions>false</trackRevisions>
    </reviewItem>
    <reviewItem>
      <errorID>3e3ba7a7-9492-4d20-a722-253d4a3f371d</errorID>
      <errorWord>(</errorWord>
      <group>L1_Format</group>
      <groupName>格式问题</groupName>
      <ability>L2_HalfPunc</ability>
      <abilityName>全半角检查</abilityName>
      <candidateList>
        <item>（</item>
      </candidateList>
      <explain>文本全半角错误。</explain>
      <paraID>6E8A5187</paraID>
      <start>149</start>
      <end>150</end>
      <status>unmodified</status>
      <modifiedWord/>
      <trackRevisions>false</trackRevisions>
    </reviewItem>
    <reviewItem>
      <errorID>a524c2cc-a81a-4549-926a-e3f9dd1a2f11</errorID>
      <errorWord>)</errorWord>
      <group>L1_Format</group>
      <groupName>格式问题</groupName>
      <ability>L2_HalfPunc</ability>
      <abilityName>全半角检查</abilityName>
      <candidateList>
        <item>）</item>
      </candidateList>
      <explain>文本全半角错误。</explain>
      <paraID>6E8A5187</paraID>
      <start>163</start>
      <end>164</end>
      <status>unmodified</status>
      <modifiedWord/>
      <trackRevisions>false</trackRevisions>
    </reviewItem>
    <reviewItem>
      <errorID>27c8c6ec-2247-41ba-a974-8ac6e1006fb0</errorID>
      <errorWord>(</errorWord>
      <group>L1_Format</group>
      <groupName>格式问题</groupName>
      <ability>L2_HalfPunc</ability>
      <abilityName>全半角检查</abilityName>
      <candidateList>
        <item>（</item>
      </candidateList>
      <explain>文本全半角错误。</explain>
      <paraID>6E8A5187</paraID>
      <start>201</start>
      <end>202</end>
      <status>unmodified</status>
      <modifiedWord/>
      <trackRevisions>false</trackRevisions>
    </reviewItem>
    <reviewItem>
      <errorID>a858f184-4ace-4b66-9ee2-e6c5dea3e1ea</errorID>
      <errorWord>)</errorWord>
      <group>L1_Format</group>
      <groupName>格式问题</groupName>
      <ability>L2_HalfPunc</ability>
      <abilityName>全半角检查</abilityName>
      <candidateList>
        <item>）</item>
      </candidateList>
      <explain>文本全半角错误。</explain>
      <paraID>6E8A5187</paraID>
      <start>214</start>
      <end>215</end>
      <status>unmodified</status>
      <modifiedWord/>
      <trackRevisions>false</trackRevisions>
    </reviewItem>
    <reviewItem>
      <errorID>8fe50d5c-15d3-418b-ba65-fbc53e83aed5</errorID>
      <errorWord>(</errorWord>
      <group>L1_Format</group>
      <groupName>格式问题</groupName>
      <ability>L2_HalfPunc</ability>
      <abilityName>全半角检查</abilityName>
      <candidateList>
        <item>（</item>
      </candidateList>
      <explain>文本全半角错误。</explain>
      <paraID>77FC0CE3</paraID>
      <start>46</start>
      <end>47</end>
      <status>unmodified</status>
      <modifiedWord/>
      <trackRevisions>false</trackRevisions>
    </reviewItem>
    <reviewItem>
      <errorID>38942f3d-b724-49b7-9a95-fca1ca422d1f</errorID>
      <errorWord>)</errorWord>
      <group>L1_Format</group>
      <groupName>格式问题</groupName>
      <ability>L2_HalfPunc</ability>
      <abilityName>全半角检查</abilityName>
      <candidateList>
        <item>）</item>
      </candidateList>
      <explain>文本全半角错误。</explain>
      <paraID>77FC0CE3</paraID>
      <start>59</start>
      <end>60</end>
      <status>unmodified</status>
      <modifiedWord/>
      <trackRevisions>false</trackRevisions>
    </reviewItem>
    <reviewItem>
      <errorID>bf8db84a-5028-45bd-9a37-6a2638f6d3ff</errorID>
      <errorWord>(</errorWord>
      <group>L1_Format</group>
      <groupName>格式问题</groupName>
      <ability>L2_HalfPunc</ability>
      <abilityName>全半角检查</abilityName>
      <candidateList>
        <item>（</item>
      </candidateList>
      <explain>文本全半角错误。</explain>
      <paraID>4EE27560</paraID>
      <start>18</start>
      <end>19</end>
      <status>unmodified</status>
      <modifiedWord/>
      <trackRevisions>false</trackRevisions>
    </reviewItem>
    <reviewItem>
      <errorID>492cedbe-b675-4822-ae79-cf9f5994cbe0</errorID>
      <errorWord>)</errorWord>
      <group>L1_Format</group>
      <groupName>格式问题</groupName>
      <ability>L2_HalfPunc</ability>
      <abilityName>全半角检查</abilityName>
      <candidateList>
        <item>）</item>
      </candidateList>
      <explain>文本全半角错误。</explain>
      <paraID>4EE27560</paraID>
      <start>29</start>
      <end>30</end>
      <status>unmodified</status>
      <modifiedWord/>
      <trackRevisions>false</trackRevisions>
    </reviewItem>
    <reviewItem>
      <errorID>f9d1e7bf-cbbd-4f05-bb38-4d72bea9874d</errorID>
      <errorWord>(</errorWord>
      <group>L1_Format</group>
      <groupName>格式问题</groupName>
      <ability>L2_HalfPunc</ability>
      <abilityName>全半角检查</abilityName>
      <candidateList>
        <item>（</item>
      </candidateList>
      <explain>文本全半角错误。</explain>
      <paraID>4EE27560</paraID>
      <start>67</start>
      <end>68</end>
      <status>unmodified</status>
      <modifiedWord/>
      <trackRevisions>false</trackRevisions>
    </reviewItem>
    <reviewItem>
      <errorID>1b627494-9d15-4b23-ac27-7362bd6825a0</errorID>
      <errorWord>)</errorWord>
      <group>L1_Format</group>
      <groupName>格式问题</groupName>
      <ability>L2_HalfPunc</ability>
      <abilityName>全半角检查</abilityName>
      <candidateList>
        <item>）</item>
      </candidateList>
      <explain>文本全半角错误。</explain>
      <paraID>4EE27560</paraID>
      <start>72</start>
      <end>73</end>
      <status>unmodified</status>
      <modifiedWord/>
      <trackRevisions>false</trackRevisions>
    </reviewItem>
    <reviewItem>
      <errorID>db537878-eff7-4703-ab9b-ced5c1720200</errorID>
      <errorWord>(</errorWord>
      <group>L1_Format</group>
      <groupName>格式问题</groupName>
      <ability>L2_HalfPunc</ability>
      <abilityName>全半角检查</abilityName>
      <candidateList>
        <item>（</item>
      </candidateList>
      <explain>文本全半角错误。</explain>
      <paraID>54E437C3</paraID>
      <start>41</start>
      <end>42</end>
      <status>unmodified</status>
      <modifiedWord/>
      <trackRevisions>false</trackRevisions>
    </reviewItem>
    <reviewItem>
      <errorID>4e1afe12-1d4d-45f8-a872-755b2f450528</errorID>
      <errorWord>)</errorWord>
      <group>L1_Format</group>
      <groupName>格式问题</groupName>
      <ability>L2_HalfPunc</ability>
      <abilityName>全半角检查</abilityName>
      <candidateList>
        <item>）</item>
      </candidateList>
      <explain>文本全半角错误。</explain>
      <paraID>54E437C3</paraID>
      <start>52</start>
      <end>53</end>
      <status>unmodified</status>
      <modifiedWord/>
      <trackRevisions>false</trackRevisions>
    </reviewItem>
    <reviewItem>
      <errorID>6e592d05-046d-46a5-b261-c4f793c64d19</errorID>
      <errorWord>(</errorWord>
      <group>L1_Format</group>
      <groupName>格式问题</groupName>
      <ability>L2_HalfPunc</ability>
      <abilityName>全半角检查</abilityName>
      <candidateList>
        <item>（</item>
      </candidateList>
      <explain>文本全半角错误。</explain>
      <paraID> B40E38A</paraID>
      <start>18</start>
      <end>19</end>
      <status>unmodified</status>
      <modifiedWord/>
      <trackRevisions>false</trackRevisions>
    </reviewItem>
    <reviewItem>
      <errorID>00f0026d-d0b7-460b-a2d0-a03f8168665b</errorID>
      <errorWord>)</errorWord>
      <group>L1_Format</group>
      <groupName>格式问题</groupName>
      <ability>L2_HalfPunc</ability>
      <abilityName>全半角检查</abilityName>
      <candidateList>
        <item>）</item>
      </candidateList>
      <explain>文本全半角错误。</explain>
      <paraID> B40E38A</paraID>
      <start>25</start>
      <end>26</end>
      <status>unmodified</status>
      <modifiedWord/>
      <trackRevisions>false</trackRevisions>
    </reviewItem>
    <reviewItem>
      <errorID>6a904ec2-ac46-47e9-b6e6-7783364cb173</errorID>
      <errorWord>，…</errorWord>
      <group>L1_Punc</group>
      <groupName>标点问题</groupName>
      <ability>L2_Punc</ability>
      <abilityName>标点符号检查</abilityName>
      <candidateList>
        <item>，</item>
      </candidateList>
      <explain/>
      <paraID>40A0E1C9</paraID>
      <start>52</start>
      <end>54</end>
      <status>unmodified</status>
      <modifiedWord/>
      <trackRevisions>false</trackRevisions>
    </reviewItem>
    <reviewItem>
      <errorID>b71a2375-d4fe-4009-a9be-a4746c18c154</errorID>
      <errorWord>，…</errorWord>
      <group>L1_Punc</group>
      <groupName>标点问题</groupName>
      <ability>L2_Punc</ability>
      <abilityName>标点符号检查</abilityName>
      <candidateList>
        <item>，</item>
      </candidateList>
      <explain/>
      <paraID>40A0E1C9</paraID>
      <start>73</start>
      <end>75</end>
      <status>unmodified</status>
      <modifiedWord/>
      <trackRevisions>false</trackRevisions>
    </reviewItem>
    <reviewItem>
      <errorID>3caf92de-eb9b-47aa-8e95-377f26b5aa9c</errorID>
      <errorWord>(</errorWord>
      <group>L1_Format</group>
      <groupName>格式问题</groupName>
      <ability>L2_HalfPunc</ability>
      <abilityName>全半角检查</abilityName>
      <candidateList>
        <item>（</item>
      </candidateList>
      <explain>文本全半角错误。</explain>
      <paraID>6DFAABA9</paraID>
      <start>57</start>
      <end>58</end>
      <status>unmodified</status>
      <modifiedWord/>
      <trackRevisions>false</trackRevisions>
    </reviewItem>
    <reviewItem>
      <errorID>af477431-8d47-4df2-8e5d-e1c3d2c1ad5b</errorID>
      <errorWord>)</errorWord>
      <group>L1_Format</group>
      <groupName>格式问题</groupName>
      <ability>L2_HalfPunc</ability>
      <abilityName>全半角检查</abilityName>
      <candidateList>
        <item>）</item>
      </candidateList>
      <explain>文本全半角错误。</explain>
      <paraID>6DFAABA9</paraID>
      <start>61</start>
      <end>62</end>
      <status>unmodified</status>
      <modifiedWord/>
      <trackRevisions>false</trackRevisions>
    </reviewItem>
    <reviewItem>
      <errorID>4222241f-5170-4233-980d-500dcfa6d2ac</errorID>
      <errorWord>(</errorWord>
      <group>L1_Format</group>
      <groupName>格式问题</groupName>
      <ability>L2_HalfPunc</ability>
      <abilityName>全半角检查</abilityName>
      <candidateList>
        <item>（</item>
      </candidateList>
      <explain>文本全半角错误。</explain>
      <paraID>14E3ED65</paraID>
      <start>17</start>
      <end>18</end>
      <status>unmodified</status>
      <modifiedWord/>
      <trackRevisions>false</trackRevisions>
    </reviewItem>
    <reviewItem>
      <errorID>dcf1a7f6-e162-4e1d-83c7-99e5ea16d23b</errorID>
      <errorWord>、…</errorWord>
      <group>L1_Punc</group>
      <groupName>标点问题</groupName>
      <ability>L2_Punc</ability>
      <abilityName>标点符号检查</abilityName>
      <candidateList>
        <item>、</item>
      </candidateList>
      <explain/>
      <paraID>14E3ED65</paraID>
      <start>23</start>
      <end>25</end>
      <status>unmodified</status>
      <modifiedWord/>
      <trackRevisions>false</trackRevisions>
    </reviewItem>
    <reviewItem>
      <errorID>a4cadcc9-d7b4-454b-b579-932d7d5b403d</errorID>
      <errorWord>)</errorWord>
      <group>L1_Format</group>
      <groupName>格式问题</groupName>
      <ability>L2_HalfPunc</ability>
      <abilityName>全半角检查</abilityName>
      <candidateList>
        <item>）</item>
      </candidateList>
      <explain>文本全半角错误。</explain>
      <paraID>14E3ED65</paraID>
      <start>26</start>
      <end>27</end>
      <status>unmodified</status>
      <modifiedWord/>
      <trackRevisions>false</trackRevisions>
    </reviewItem>
    <reviewItem>
      <errorID>d0a6ef7a-4642-4950-9d43-efd94984b83a</errorID>
      <errorWord>(</errorWord>
      <group>L1_Format</group>
      <groupName>格式问题</groupName>
      <ability>L2_HalfPunc</ability>
      <abilityName>全半角检查</abilityName>
      <candidateList>
        <item>（</item>
      </candidateList>
      <explain>文本全半角错误。</explain>
      <paraID> BF4FFD0</paraID>
      <start>21</start>
      <end>22</end>
      <status>unmodified</status>
      <modifiedWord/>
      <trackRevisions>false</trackRevisions>
    </reviewItem>
    <reviewItem>
      <errorID>2f8dfa94-bba6-448f-977b-677d3cc604a5</errorID>
      <errorWord>)</errorWord>
      <group>L1_Format</group>
      <groupName>格式问题</groupName>
      <ability>L2_HalfPunc</ability>
      <abilityName>全半角检查</abilityName>
      <candidateList>
        <item>）</item>
      </candidateList>
      <explain>文本全半角错误。</explain>
      <paraID> BF4FFD0</paraID>
      <start>24</start>
      <end>25</end>
      <status>unmodified</status>
      <modifiedWord/>
      <trackRevisions>false</trackRevisions>
    </reviewItem>
    <reviewItem>
      <errorID>ae3d5df6-f60f-40e4-a851-707d4f1708aa</errorID>
      <errorWord>)</errorWord>
      <group>L1_Format</group>
      <groupName>格式问题</groupName>
      <ability>L2_HalfPunc</ability>
      <abilityName>全半角检查</abilityName>
      <candidateList>
        <item>）</item>
      </candidateList>
      <explain>文本全半角错误。</explain>
      <paraID>4C6F1658</paraID>
      <start>49</start>
      <end>50</end>
      <status>unmodified</status>
      <modifiedWord/>
      <trackRevisions>false</trackRevisions>
    </reviewItem>
    <reviewItem>
      <errorID>9da7e2f5-d0d3-4e9a-b497-18a61e53eddb</errorID>
      <errorWord>(</errorWord>
      <group>L1_Format</group>
      <groupName>格式问题</groupName>
      <ability>L2_HalfPunc</ability>
      <abilityName>全半角检查</abilityName>
      <candidateList>
        <item>（</item>
      </candidateList>
      <explain>文本全半角错误。</explain>
      <paraID>22F0CCA7</paraID>
      <start>4</start>
      <end>5</end>
      <status>unmodified</status>
      <modifiedWord/>
      <trackRevisions>false</trackRevisions>
    </reviewItem>
    <reviewItem>
      <errorID>ef105165-13b0-4e5b-af46-50bc2d1a2726</errorID>
      <errorWord>)</errorWord>
      <group>L1_Format</group>
      <groupName>格式问题</groupName>
      <ability>L2_HalfPunc</ability>
      <abilityName>全半角检查</abilityName>
      <candidateList>
        <item>）</item>
      </candidateList>
      <explain>文本全半角错误。</explain>
      <paraID>22F0CCA7</paraID>
      <start>7</start>
      <end>8</end>
      <status>unmodified</status>
      <modifiedWord/>
      <trackRevisions>false</trackRevisions>
    </reviewItem>
    <reviewItem>
      <errorID>c28920b2-9bf7-4b4e-a202-faf6458bf419</errorID>
      <errorWord>(</errorWord>
      <group>L1_Format</group>
      <groupName>格式问题</groupName>
      <ability>L2_HalfPunc</ability>
      <abilityName>全半角检查</abilityName>
      <candidateList>
        <item>（</item>
      </candidateList>
      <explain>文本全半角错误。</explain>
      <paraID>1D3E85BD</paraID>
      <start>4</start>
      <end>5</end>
      <status>unmodified</status>
      <modifiedWord/>
      <trackRevisions>false</trackRevisions>
    </reviewItem>
    <reviewItem>
      <errorID>bc68032a-ed53-41d6-9bdf-9812542890e2</errorID>
      <errorWord>)</errorWord>
      <group>L1_Format</group>
      <groupName>格式问题</groupName>
      <ability>L2_HalfPunc</ability>
      <abilityName>全半角检查</abilityName>
      <candidateList>
        <item>）</item>
      </candidateList>
      <explain>文本全半角错误。</explain>
      <paraID>1D3E85BD</paraID>
      <start>7</start>
      <end>8</end>
      <status>unmodified</status>
      <modifiedWord/>
      <trackRevisions>false</trackRevisions>
    </reviewItem>
    <reviewItem>
      <errorID>ed548a63-8337-4d6b-911b-05ac40e56433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7337D953</paraID>
      <start>1</start>
      <end>2</end>
      <status>unmodified</status>
      <modifiedWord/>
      <trackRevisions>false</trackRevisions>
    </reviewItem>
    <reviewItem>
      <errorID>79abcfd5-b25a-4aa7-bfea-c81791f345e4</errorID>
      <errorWord>’</errorWord>
      <group>L1_Punc</group>
      <groupName>标点问题</groupName>
      <ability>L2_Punc</ability>
      <abilityName>标点符号检查</abilityName>
      <candidateList/>
      <explain>此处标点可能未正确匹配，请检查句子中是否存在标点冗余、缺失或使用错误的情况。</explain>
      <paraID>7337D953</paraID>
      <start>5</start>
      <end>6</end>
      <status>unmodified</status>
      <modifiedWord/>
      <trackRevisions>false</trackRevisions>
    </reviewItem>
    <reviewItem>
      <errorID>3c567d39-b7a8-47c7-86cb-57c9fd72a07d</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4BADFE13</paraID>
      <start>1</start>
      <end>2</end>
      <status>unmodified</status>
      <modifiedWord/>
      <trackRevisions>false</trackRevisions>
    </reviewItem>
    <reviewItem>
      <errorID>6795c8d1-6280-430c-8a72-c3cc9c56e645</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4BADFE13</paraID>
      <start>5</start>
      <end>6</end>
      <status>unmodified</status>
      <modifiedWord/>
      <trackRevisions>false</trackRevisions>
    </reviewItem>
    <reviewItem>
      <errorID>c3131d95-1b63-438c-afed-d1649e1ab09b</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6D23B5F</paraID>
      <start>1</start>
      <end>2</end>
      <status>unmodified</status>
      <modifiedWord/>
      <trackRevisions>false</trackRevisions>
    </reviewItem>
    <reviewItem>
      <errorID>279e5196-4292-4028-8c0a-c4b36f99f30f</errorID>
      <errorWord>’</errorWord>
      <group>L1_Punc</group>
      <groupName>标点问题</groupName>
      <ability>L2_Punc</ability>
      <abilityName>标点符号检查</abilityName>
      <candidateList/>
      <explain>此处标点可能未正确匹配，请检查句子中是否存在标点冗余、缺失或使用错误的情况。</explain>
      <paraID> 6D23B5F</paraID>
      <start>5</start>
      <end>6</end>
      <status>unmodified</status>
      <modifiedWord/>
      <trackRevisions>false</trackRevisions>
    </reviewItem>
    <reviewItem>
      <errorID>9169f439-2a83-4d74-bba7-b058c722c557</errorID>
      <errorWord>(</errorWord>
      <group>L1_Format</group>
      <groupName>格式问题</groupName>
      <ability>L2_HalfPunc</ability>
      <abilityName>全半角检查</abilityName>
      <candidateList>
        <item>（</item>
      </candidateList>
      <explain>文本全半角错误。</explain>
      <paraID>7EF79A53</paraID>
      <start>25</start>
      <end>26</end>
      <status>unmodified</status>
      <modifiedWord/>
      <trackRevisions>false</trackRevisions>
    </reviewItem>
    <reviewItem>
      <errorID>22cfc9ac-9ca9-43ad-bc54-dfdc350f55f2</errorID>
      <errorWord>)</errorWord>
      <group>L1_Format</group>
      <groupName>格式问题</groupName>
      <ability>L2_HalfPunc</ability>
      <abilityName>全半角检查</abilityName>
      <candidateList>
        <item>）</item>
      </candidateList>
      <explain>文本全半角错误。</explain>
      <paraID>7EF79A53</paraID>
      <start>38</start>
      <end>39</end>
      <status>unmodified</status>
      <modifiedWord/>
      <trackRevisions>false</trackRevisions>
    </reviewItem>
    <reviewItem>
      <errorID>55398846-9d8b-453b-99ed-98590ee205bc</errorID>
      <errorWord>(</errorWord>
      <group>L1_Format</group>
      <groupName>格式问题</groupName>
      <ability>L2_HalfPunc</ability>
      <abilityName>全半角检查</abilityName>
      <candidateList>
        <item>（</item>
      </candidateList>
      <explain>文本全半角错误。</explain>
      <paraID>7EF79A53</paraID>
      <start>63</start>
      <end>64</end>
      <status>unmodified</status>
      <modifiedWord/>
      <trackRevisions>false</trackRevisions>
    </reviewItem>
    <reviewItem>
      <errorID>51888ef9-5efe-4cab-af42-80ae91b97268</errorID>
      <errorWord>)</errorWord>
      <group>L1_Format</group>
      <groupName>格式问题</groupName>
      <ability>L2_HalfPunc</ability>
      <abilityName>全半角检查</abilityName>
      <candidateList>
        <item>）</item>
      </candidateList>
      <explain>文本全半角错误。</explain>
      <paraID>7EF79A53</paraID>
      <start>66</start>
      <end>67</end>
      <status>unmodified</status>
      <modifiedWord/>
      <trackRevisions>false</trackRevisions>
    </reviewItem>
    <reviewItem>
      <errorID>5a82071c-582c-4752-a47e-887a7589aaa6</errorID>
      <errorWord>(</errorWord>
      <group>L1_Format</group>
      <groupName>格式问题</groupName>
      <ability>L2_HalfPunc</ability>
      <abilityName>全半角检查</abilityName>
      <candidateList>
        <item>（</item>
      </candidateList>
      <explain>文本全半角错误。</explain>
      <paraID>7EF79A53</paraID>
      <start>72</start>
      <end>73</end>
      <status>unmodified</status>
      <modifiedWord/>
      <trackRevisions>false</trackRevisions>
    </reviewItem>
    <reviewItem>
      <errorID>51d7c6f6-7420-4f01-8449-7ff380cab594</errorID>
      <errorWord>)</errorWord>
      <group>L1_Format</group>
      <groupName>格式问题</groupName>
      <ability>L2_HalfPunc</ability>
      <abilityName>全半角检查</abilityName>
      <candidateList>
        <item>）</item>
      </candidateList>
      <explain>文本全半角错误。</explain>
      <paraID>7EF79A53</paraID>
      <start>75</start>
      <end>76</end>
      <status>unmodified</status>
      <modifiedWord/>
      <trackRevisions>false</trackRevisions>
    </reviewItem>
    <reviewItem>
      <errorID>9952ba29-d57b-468e-b78c-e6fe76055f98</errorID>
      <errorWord>(</errorWord>
      <group>L1_Format</group>
      <groupName>格式问题</groupName>
      <ability>L2_HalfPunc</ability>
      <abilityName>全半角检查</abilityName>
      <candidateList>
        <item>（</item>
      </candidateList>
      <explain>文本全半角错误。</explain>
      <paraID>4F3F08F7</paraID>
      <start>27</start>
      <end>28</end>
      <status>unmodified</status>
      <modifiedWord/>
      <trackRevisions>false</trackRevisions>
    </reviewItem>
    <reviewItem>
      <errorID>d8258e51-b5d0-41d5-ac83-776a2be8532d</errorID>
      <errorWord>)</errorWord>
      <group>L1_Format</group>
      <groupName>格式问题</groupName>
      <ability>L2_HalfPunc</ability>
      <abilityName>全半角检查</abilityName>
      <candidateList>
        <item>）</item>
      </candidateList>
      <explain>文本全半角错误。</explain>
      <paraID>4F3F08F7</paraID>
      <start>34</start>
      <end>35</end>
      <status>unmodified</status>
      <modifiedWord/>
      <trackRevisions>false</trackRevisions>
    </reviewItem>
    <reviewItem>
      <errorID>06b79a68-e6e4-4d0e-be2a-3055d8d710a7</errorID>
      <errorWord>)</errorWord>
      <group>L1_Format</group>
      <groupName>格式问题</groupName>
      <ability>L2_HalfPunc</ability>
      <abilityName>全半角检查</abilityName>
      <candidateList>
        <item>）</item>
      </candidateList>
      <explain>文本全半角错误。</explain>
      <paraID>4F3F08F7</paraID>
      <start>47</start>
      <end>48</end>
      <status>unmodified</status>
      <modifiedWord/>
      <trackRevisions>false</trackRevisions>
    </reviewItem>
    <reviewItem>
      <errorID>9d441900-cc49-4356-930a-eb6f4521d5db</errorID>
      <errorWord>(</errorWord>
      <group>L1_Format</group>
      <groupName>格式问题</groupName>
      <ability>L2_HalfPunc</ability>
      <abilityName>全半角检查</abilityName>
      <candidateList>
        <item>（</item>
      </candidateList>
      <explain>文本全半角错误。</explain>
      <paraID>2A7E0D49</paraID>
      <start>13</start>
      <end>14</end>
      <status>unmodified</status>
      <modifiedWord/>
      <trackRevisions>false</trackRevisions>
    </reviewItem>
    <reviewItem>
      <errorID>67bc0f67-5353-4e75-a496-5db9c14945eb</errorID>
      <errorWord>)</errorWord>
      <group>L1_Format</group>
      <groupName>格式问题</groupName>
      <ability>L2_HalfPunc</ability>
      <abilityName>全半角检查</abilityName>
      <candidateList>
        <item>）</item>
      </candidateList>
      <explain>文本全半角错误。</explain>
      <paraID>2A7E0D49</paraID>
      <start>25</start>
      <end>26</end>
      <status>unmodified</status>
      <modifiedWord/>
      <trackRevisions>false</trackRevisions>
    </reviewItem>
    <reviewItem>
      <errorID>3349953d-5a0b-4b6f-ba62-db55ba6da700</errorID>
      <errorWord>(</errorWord>
      <group>L1_Format</group>
      <groupName>格式问题</groupName>
      <ability>L2_HalfPunc</ability>
      <abilityName>全半角检查</abilityName>
      <candidateList>
        <item>（</item>
      </candidateList>
      <explain>文本全半角错误。</explain>
      <paraID> 9E94604</paraID>
      <start>9</start>
      <end>10</end>
      <status>unmodified</status>
      <modifiedWord/>
      <trackRevisions>false</trackRevisions>
    </reviewItem>
    <reviewItem>
      <errorID>67433fa1-4e05-400a-a740-c87866146551</errorID>
      <errorWord>)</errorWord>
      <group>L1_Format</group>
      <groupName>格式问题</groupName>
      <ability>L2_HalfPunc</ability>
      <abilityName>全半角检查</abilityName>
      <candidateList>
        <item>）</item>
      </candidateList>
      <explain>文本全半角错误。</explain>
      <paraID> 9E94604</paraID>
      <start>11</start>
      <end>12</end>
      <status>unmodified</status>
      <modifiedWord/>
      <trackRevisions>false</trackRevisions>
    </reviewItem>
    <reviewItem>
      <errorID>d8596eab-6444-4b76-8f62-1c709b30b912</errorID>
      <errorWord>(</errorWord>
      <group>L1_Format</group>
      <groupName>格式问题</groupName>
      <ability>L2_HalfPunc</ability>
      <abilityName>全半角检查</abilityName>
      <candidateList>
        <item>（</item>
      </candidateList>
      <explain>文本全半角错误。</explain>
      <paraID>7A95C974</paraID>
      <start>6</start>
      <end>7</end>
      <status>unmodified</status>
      <modifiedWord/>
      <trackRevisions>false</trackRevisions>
    </reviewItem>
    <reviewItem>
      <errorID>73210791-81bc-4dfc-ac36-b74f219c74d0</errorID>
      <errorWord>)</errorWord>
      <group>L1_Format</group>
      <groupName>格式问题</groupName>
      <ability>L2_HalfPunc</ability>
      <abilityName>全半角检查</abilityName>
      <candidateList>
        <item>）</item>
      </candidateList>
      <explain>文本全半角错误。</explain>
      <paraID>7A95C974</paraID>
      <start>11</start>
      <end>12</end>
      <status>unmodified</status>
      <modifiedWord/>
      <trackRevisions>false</trackRevisions>
    </reviewItem>
    <reviewItem>
      <errorID>31048614-8b8a-4304-8c34-702dc8e7c69a</errorID>
      <errorWord>(</errorWord>
      <group>L1_Format</group>
      <groupName>格式问题</groupName>
      <ability>L2_HalfPunc</ability>
      <abilityName>全半角检查</abilityName>
      <candidateList>
        <item>（</item>
      </candidateList>
      <explain>文本全半角错误。</explain>
      <paraID> A9D43CF</paraID>
      <start>7</start>
      <end>8</end>
      <status>unmodified</status>
      <modifiedWord/>
      <trackRevisions>false</trackRevisions>
    </reviewItem>
    <reviewItem>
      <errorID>9c6cff96-0ae8-4b05-95e8-90e5f7c502aa</errorID>
      <errorWord>)</errorWord>
      <group>L1_Format</group>
      <groupName>格式问题</groupName>
      <ability>L2_HalfPunc</ability>
      <abilityName>全半角检查</abilityName>
      <candidateList>
        <item>）</item>
      </candidateList>
      <explain>文本全半角错误。</explain>
      <paraID> A9D43CF</paraID>
      <start>12</start>
      <end>13</end>
      <status>unmodified</status>
      <modifiedWord/>
      <trackRevisions>false</trackRevisions>
    </reviewItem>
    <reviewItem>
      <errorID>61789008-843f-45c3-a573-3ac72c2059f5</errorID>
      <errorWord>(</errorWord>
      <group>L1_Format</group>
      <groupName>格式问题</groupName>
      <ability>L2_HalfPunc</ability>
      <abilityName>全半角检查</abilityName>
      <candidateList>
        <item>（</item>
      </candidateList>
      <explain>文本全半角错误。</explain>
      <paraID>47B2B15F</paraID>
      <start>13</start>
      <end>14</end>
      <status>unmodified</status>
      <modifiedWord/>
      <trackRevisions>false</trackRevisions>
    </reviewItem>
    <reviewItem>
      <errorID>51cc75ea-8a91-4dcc-9c0d-123276956ebf</errorID>
      <errorWord>)</errorWord>
      <group>L1_Format</group>
      <groupName>格式问题</groupName>
      <ability>L2_HalfPunc</ability>
      <abilityName>全半角检查</abilityName>
      <candidateList>
        <item>）</item>
      </candidateList>
      <explain>文本全半角错误。</explain>
      <paraID>47B2B15F</paraID>
      <start>15</start>
      <end>16</end>
      <status>unmodified</status>
      <modifiedWord/>
      <trackRevisions>false</trackRevisions>
    </reviewItem>
    <reviewItem>
      <errorID>d082ff99-1197-442c-bbb1-a7fdc04313c1</errorID>
      <errorWord>(</errorWord>
      <group>L1_Format</group>
      <groupName>格式问题</groupName>
      <ability>L2_HalfPunc</ability>
      <abilityName>全半角检查</abilityName>
      <candidateList>
        <item>（</item>
      </candidateList>
      <explain>文本全半角错误。</explain>
      <paraID> 48BCE65</paraID>
      <start>118</start>
      <end>119</end>
      <status>unmodified</status>
      <modifiedWord/>
      <trackRevisions>false</trackRevisions>
    </reviewItem>
    <reviewItem>
      <errorID>19818eed-8ea9-457f-9ce6-c8cf5ce91ba4</errorID>
      <errorWord>)</errorWord>
      <group>L1_Format</group>
      <groupName>格式问题</groupName>
      <ability>L2_HalfPunc</ability>
      <abilityName>全半角检查</abilityName>
      <candidateList>
        <item>）</item>
      </candidateList>
      <explain>文本全半角错误。</explain>
      <paraID> 48BCE65</paraID>
      <start>130</start>
      <end>131</end>
      <status>unmodified</status>
      <modifiedWord/>
      <trackRevisions>false</trackRevisions>
    </reviewItem>
    <reviewItem>
      <errorID>6f33f57a-69ba-4dc5-b458-b2b23aaa7523</errorID>
      <errorWord>(</errorWord>
      <group>L1_Format</group>
      <groupName>格式问题</groupName>
      <ability>L2_HalfPunc</ability>
      <abilityName>全半角检查</abilityName>
      <candidateList>
        <item>（</item>
      </candidateList>
      <explain>文本全半角错误。</explain>
      <paraID> 48BCE65</paraID>
      <start>156</start>
      <end>157</end>
      <status>unmodified</status>
      <modifiedWord/>
      <trackRevisions>false</trackRevisions>
    </reviewItem>
    <reviewItem>
      <errorID>03d9c74e-1688-45d8-b95b-dad28b1be912</errorID>
      <errorWord>)</errorWord>
      <group>L1_Format</group>
      <groupName>格式问题</groupName>
      <ability>L2_HalfPunc</ability>
      <abilityName>全半角检查</abilityName>
      <candidateList>
        <item>）</item>
      </candidateList>
      <explain>文本全半角错误。</explain>
      <paraID> 48BCE65</paraID>
      <start>192</start>
      <end>193</end>
      <status>unmodified</status>
      <modifiedWord/>
      <trackRevisions>false</trackRevisions>
    </reviewItem>
    <reviewItem>
      <errorID>a93b7196-57ac-4886-aa00-f17775ce354e</errorID>
      <errorWord>(</errorWord>
      <group>L1_Format</group>
      <groupName>格式问题</groupName>
      <ability>L2_HalfPunc</ability>
      <abilityName>全半角检查</abilityName>
      <candidateList>
        <item>（</item>
      </candidateList>
      <explain>文本全半角错误。</explain>
      <paraID>244F5EC8</paraID>
      <start>119</start>
      <end>120</end>
      <status>unmodified</status>
      <modifiedWord/>
      <trackRevisions>false</trackRevisions>
    </reviewItem>
    <reviewItem>
      <errorID>70821c48-249d-4ee9-bc41-c4de2282e444</errorID>
      <errorWord>)</errorWord>
      <group>L1_Format</group>
      <groupName>格式问题</groupName>
      <ability>L2_HalfPunc</ability>
      <abilityName>全半角检查</abilityName>
      <candidateList>
        <item>）</item>
      </candidateList>
      <explain>文本全半角错误。</explain>
      <paraID>244F5EC8</paraID>
      <start>131</start>
      <end>132</end>
      <status>unmodified</status>
      <modifiedWord/>
      <trackRevisions>false</trackRevisions>
    </reviewItem>
    <reviewItem>
      <errorID>382fa31b-298b-4f9a-9b11-dbb4c01fdc34</errorID>
      <errorWord>(</errorWord>
      <group>L1_Format</group>
      <groupName>格式问题</groupName>
      <ability>L2_HalfPunc</ability>
      <abilityName>全半角检查</abilityName>
      <candidateList>
        <item>（</item>
      </candidateList>
      <explain>文本全半角错误。</explain>
      <paraID>4BD132C4</paraID>
      <start>39</start>
      <end>40</end>
      <status>unmodified</status>
      <modifiedWord/>
      <trackRevisions>false</trackRevisions>
    </reviewItem>
    <reviewItem>
      <errorID>dc456dfa-166e-423b-9555-68f2d636e9cb</errorID>
      <errorWord>)</errorWord>
      <group>L1_Format</group>
      <groupName>格式问题</groupName>
      <ability>L2_HalfPunc</ability>
      <abilityName>全半角检查</abilityName>
      <candidateList>
        <item>）</item>
      </candidateList>
      <explain>文本全半角错误。</explain>
      <paraID>4BD132C4</paraID>
      <start>49</start>
      <end>50</end>
      <status>unmodified</status>
      <modifiedWord/>
      <trackRevisions>false</trackRevisions>
    </reviewItem>
    <reviewItem>
      <errorID>f871b77d-f630-4da4-862f-6814e0324d75</errorID>
      <errorWord>(</errorWord>
      <group>L1_Format</group>
      <groupName>格式问题</groupName>
      <ability>L2_HalfPunc</ability>
      <abilityName>全半角检查</abilityName>
      <candidateList>
        <item>（</item>
      </candidateList>
      <explain>文本全半角错误。</explain>
      <paraID>6B66A51F</paraID>
      <start>15</start>
      <end>16</end>
      <status>unmodified</status>
      <modifiedWord/>
      <trackRevisions>false</trackRevisions>
    </reviewItem>
    <reviewItem>
      <errorID>e62a6b4b-d627-4ca3-90e8-25468230d8b3</errorID>
      <errorWord>)</errorWord>
      <group>L1_Format</group>
      <groupName>格式问题</groupName>
      <ability>L2_HalfPunc</ability>
      <abilityName>全半角检查</abilityName>
      <candidateList>
        <item>）</item>
      </candidateList>
      <explain>文本全半角错误。</explain>
      <paraID>6B66A51F</paraID>
      <start>23</start>
      <end>24</end>
      <status>unmodified</status>
      <modifiedWord/>
      <trackRevisions>false</trackRevisions>
    </reviewItem>
    <reviewItem>
      <errorID>8ef58002-829e-4514-be90-1b517815e25d</errorID>
      <errorWord>(</errorWord>
      <group>L1_Format</group>
      <groupName>格式问题</groupName>
      <ability>L2_HalfPunc</ability>
      <abilityName>全半角检查</abilityName>
      <candidateList>
        <item>（</item>
      </candidateList>
      <explain>文本全半角错误。</explain>
      <paraID>2FFFA8AF</paraID>
      <start>73</start>
      <end>74</end>
      <status>unmodified</status>
      <modifiedWord/>
      <trackRevisions>false</trackRevisions>
    </reviewItem>
    <reviewItem>
      <errorID>dfd9d8d6-f540-4fdf-8bdf-6d2f88b1c3ba</errorID>
      <errorWord>)</errorWord>
      <group>L1_Format</group>
      <groupName>格式问题</groupName>
      <ability>L2_HalfPunc</ability>
      <abilityName>全半角检查</abilityName>
      <candidateList>
        <item>）</item>
      </candidateList>
      <explain>文本全半角错误。</explain>
      <paraID>2FFFA8AF</paraID>
      <start>85</start>
      <end>86</end>
      <status>unmodified</status>
      <modifiedWord/>
      <trackRevisions>false</trackRevisions>
    </reviewItem>
    <reviewItem>
      <errorID>9772924f-7578-42e9-8872-355f52946b7f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7DB495A1</paraID>
      <start>0</start>
      <end>3</end>
      <status>unmodified</status>
      <modifiedWord/>
      <trackRevisions>false</trackRevisions>
    </reviewItem>
    <reviewItem>
      <errorID>7544e46b-c5ac-4dee-94ab-5a1b15ef6120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77DA4958</paraID>
      <start>0</start>
      <end>3</end>
      <status>unmodified</status>
      <modifiedWord/>
      <trackRevisions>false</trackRevisions>
    </reviewItem>
    <reviewItem>
      <errorID>3bdd12f2-5fee-4503-8de4-0d2521962e96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7DDBDB01</paraID>
      <start>0</start>
      <end>3</end>
      <status>unmodified</status>
      <modifiedWord/>
      <trackRevisions>false</trackRevisions>
    </reviewItem>
    <reviewItem>
      <errorID>be7cc5ff-bca3-450a-a39f-e831e2ed1daf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1D89602D</paraID>
      <start>0</start>
      <end>3</end>
      <status>unmodified</status>
      <modifiedWord/>
      <trackRevisions>false</trackRevisions>
    </reviewItem>
    <reviewItem>
      <errorID>2b19c422-229d-4a0f-824e-922c0a1aee5e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455F63F5</paraID>
      <start>0</start>
      <end>3</end>
      <status>unmodified</status>
      <modifiedWord/>
      <trackRevisions>false</trackRevisions>
    </reviewItem>
    <reviewItem>
      <errorID>396cfc5b-39c2-4a73-a0b6-b51c7419f86f</errorID>
      <errorWord>曝露</errorWord>
      <group>L1_Word</group>
      <groupName>字词问题</groupName>
      <ability>L2_Typo</ability>
      <abilityName>字词错误</abilityName>
      <candidateList>
        <item>暴露</item>
      </candidateList>
      <explain>〈动〉（隐蔽的事物、缺陷、矛盾、问题等）显露出来：～目标｜～无遗。</explain>
      <paraID>455F63F5</paraID>
      <start>33</start>
      <end>35</end>
      <status>unmodified</status>
      <modifiedWord/>
      <trackRevisions>false</trackRevisions>
    </reviewItem>
    <reviewItem>
      <errorID>eae9a01c-8448-4c05-947c-a74fd84f9d04</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4EB5EA91</paraID>
      <start>0</start>
      <end>3</end>
      <status>unmodified</status>
      <modifiedWord/>
      <trackRevisions>false</trackRevisions>
    </reviewItem>
    <reviewItem>
      <errorID>acd023fd-ddc9-4cb3-b261-8367daa04bbf</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796FFCC6</paraID>
      <start>0</start>
      <end>3</end>
      <status>unmodified</status>
      <modifiedWord/>
      <trackRevisions>false</trackRevisions>
    </reviewItem>
    <reviewItem>
      <errorID>53326be5-25db-471d-a4c5-8268b1ab5d73</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A1D9C6A</paraID>
      <start>0</start>
      <end>3</end>
      <status>unmodified</status>
      <modifiedWord/>
      <trackRevisions>false</trackRevisions>
    </reviewItem>
    <reviewItem>
      <errorID>0624fbbd-c7bd-4705-bb6c-9fb0044ca91e</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48498582</paraID>
      <start>0</start>
      <end>3</end>
      <status>unmodified</status>
      <modifiedWord/>
      <trackRevisions>false</trackRevisions>
    </reviewItem>
    <reviewItem>
      <errorID>193ea590-b742-477b-aee8-ad4cd8df619e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794C06F</paraID>
      <start>0</start>
      <end>3</end>
      <status>unmodified</status>
      <modifiedWord/>
      <trackRevisions>false</trackRevisions>
    </reviewItem>
    <reviewItem>
      <errorID>da882375-c960-442c-b48d-85f027323744</errorID>
      <errorWord>(</errorWord>
      <group>L1_Format</group>
      <groupName>格式问题</groupName>
      <ability>L2_HalfPunc</ability>
      <abilityName>全半角检查</abilityName>
      <candidateList>
        <item>（</item>
      </candidateList>
      <explain>文本全半角错误。</explain>
      <paraID>34992F47</paraID>
      <start>150</start>
      <end>151</end>
      <status>unmodified</status>
      <modifiedWord/>
      <trackRevisions>false</trackRevisions>
    </reviewItem>
    <reviewItem>
      <errorID>6b5f7272-1fa2-4e04-adfa-4a756b898c4e</errorID>
      <errorWord>)</errorWord>
      <group>L1_Format</group>
      <groupName>格式问题</groupName>
      <ability>L2_HalfPunc</ability>
      <abilityName>全半角检查</abilityName>
      <candidateList>
        <item>）</item>
      </candidateList>
      <explain>文本全半角错误。</explain>
      <paraID>34992F47</paraID>
      <start>162</start>
      <end>163</end>
      <status>unmodified</status>
      <modifiedWord/>
      <trackRevisions>false</trackRevisions>
    </reviewItem>
    <reviewItem>
      <errorID>7a0536f1-7361-49e1-a952-e2911fed6428</errorID>
      <errorWord>(</errorWord>
      <group>L1_Format</group>
      <groupName>格式问题</groupName>
      <ability>L2_HalfPunc</ability>
      <abilityName>全半角检查</abilityName>
      <candidateList>
        <item>（</item>
      </candidateList>
      <explain>文本全半角错误。</explain>
      <paraID>34992F47</paraID>
      <start>188</start>
      <end>189</end>
      <status>unmodified</status>
      <modifiedWord/>
      <trackRevisions>false</trackRevisions>
    </reviewItem>
    <reviewItem>
      <errorID>e0847d6b-3704-4b6e-913c-b4954e9922a8</errorID>
      <errorWord>)</errorWord>
      <group>L1_Format</group>
      <groupName>格式问题</groupName>
      <ability>L2_HalfPunc</ability>
      <abilityName>全半角检查</abilityName>
      <candidateList>
        <item>）</item>
      </candidateList>
      <explain>文本全半角错误。</explain>
      <paraID>34992F47</paraID>
      <start>224</start>
      <end>225</end>
      <status>unmodified</status>
      <modifiedWord/>
      <trackRevisions>false</trackRevisions>
    </reviewItem>
    <reviewItem>
      <errorID>612f51ff-078f-4784-a1fe-80f7eb1c6048</errorID>
      <errorWord>(</errorWord>
      <group>L1_Format</group>
      <groupName>格式问题</groupName>
      <ability>L2_HalfPunc</ability>
      <abilityName>全半角检查</abilityName>
      <candidateList>
        <item>（</item>
      </candidateList>
      <explain>文本全半角错误。</explain>
      <paraID>5EBE86D2</paraID>
      <start>119</start>
      <end>120</end>
      <status>unmodified</status>
      <modifiedWord/>
      <trackRevisions>false</trackRevisions>
    </reviewItem>
    <reviewItem>
      <errorID>dd77fef5-5df9-4e2e-821a-7bc3891d47cf</errorID>
      <errorWord>)</errorWord>
      <group>L1_Format</group>
      <groupName>格式问题</groupName>
      <ability>L2_HalfPunc</ability>
      <abilityName>全半角检查</abilityName>
      <candidateList>
        <item>）</item>
      </candidateList>
      <explain>文本全半角错误。</explain>
      <paraID>5EBE86D2</paraID>
      <start>131</start>
      <end>132</end>
      <status>unmodified</status>
      <modifiedWord/>
      <trackRevisions>false</trackRevisions>
    </reviewItem>
    <reviewItem>
      <errorID>fa13744f-7fd9-495c-a250-5a718d243207</errorID>
      <errorWord>(</errorWord>
      <group>L1_Format</group>
      <groupName>格式问题</groupName>
      <ability>L2_HalfPunc</ability>
      <abilityName>全半角检查</abilityName>
      <candidateList>
        <item>（</item>
      </candidateList>
      <explain>文本全半角错误。</explain>
      <paraID>5EBE86D2</paraID>
      <start>157</start>
      <end>158</end>
      <status>unmodified</status>
      <modifiedWord/>
      <trackRevisions>false</trackRevisions>
    </reviewItem>
    <reviewItem>
      <errorID>6859bb86-5aec-4174-bd26-99e772ae2f13</errorID>
      <errorWord>)</errorWord>
      <group>L1_Format</group>
      <groupName>格式问题</groupName>
      <ability>L2_HalfPunc</ability>
      <abilityName>全半角检查</abilityName>
      <candidateList>
        <item>）</item>
      </candidateList>
      <explain>文本全半角错误。</explain>
      <paraID>5EBE86D2</paraID>
      <start>193</start>
      <end>194</end>
      <status>unmodified</status>
      <modifiedWord/>
      <trackRevisions>false</trackRevisions>
    </reviewItem>
    <reviewItem>
      <errorID>1bd2dfa9-57df-4112-8717-72684e832568</errorID>
      <errorWord>(</errorWord>
      <group>L1_Format</group>
      <groupName>格式问题</groupName>
      <ability>L2_HalfPunc</ability>
      <abilityName>全半角检查</abilityName>
      <candidateList>
        <item>（</item>
      </candidateList>
      <explain>文本全半角错误。</explain>
      <paraID>25AEB4F7</paraID>
      <start>55</start>
      <end>56</end>
      <status>unmodified</status>
      <modifiedWord/>
      <trackRevisions>false</trackRevisions>
    </reviewItem>
    <reviewItem>
      <errorID>fdf54c8f-07c5-46d6-b340-563c23c78a24</errorID>
      <errorWord>)</errorWord>
      <group>L1_Format</group>
      <groupName>格式问题</groupName>
      <ability>L2_HalfPunc</ability>
      <abilityName>全半角检查</abilityName>
      <candidateList>
        <item>）</item>
      </candidateList>
      <explain>文本全半角错误。</explain>
      <paraID>25AEB4F7</paraID>
      <start>67</start>
      <end>68</end>
      <status>unmodified</status>
      <modifiedWord/>
      <trackRevisions>false</trackRevisions>
    </reviewItem>
    <reviewItem>
      <errorID>0216f88e-63b3-4ac8-9cab-194d7c65a9f0</errorID>
      <errorWord>(</errorWord>
      <group>L1_Format</group>
      <groupName>格式问题</groupName>
      <ability>L2_HalfPunc</ability>
      <abilityName>全半角检查</abilityName>
      <candidateList>
        <item>（</item>
      </candidateList>
      <explain>文本全半角错误。</explain>
      <paraID>5F7EF523</paraID>
      <start>38</start>
      <end>39</end>
      <status>unmodified</status>
      <modifiedWord/>
      <trackRevisions>false</trackRevisions>
    </reviewItem>
    <reviewItem>
      <errorID>8b266d01-b90a-478b-9a29-e7b1f57fd420</errorID>
      <errorWord>)</errorWord>
      <group>L1_Format</group>
      <groupName>格式问题</groupName>
      <ability>L2_HalfPunc</ability>
      <abilityName>全半角检查</abilityName>
      <candidateList>
        <item>）</item>
      </candidateList>
      <explain>文本全半角错误。</explain>
      <paraID>5F7EF523</paraID>
      <start>50</start>
      <end>51</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032f8e-1389-46a8-be5d-44fad7b044fd}">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55</Pages>
  <Words>34642</Words>
  <Characters>38130</Characters>
  <Lines>1</Lines>
  <Paragraphs>1</Paragraphs>
  <TotalTime>0</TotalTime>
  <ScaleCrop>false</ScaleCrop>
  <LinksUpToDate>false</LinksUpToDate>
  <CharactersWithSpaces>38470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2024-04-26T17:13:00Z</dcterms:created>
  <dc:creator>94434</dc:creator>
  <cp:lastModifiedBy>Luck</cp:lastModifiedBy>
  <cp:lastPrinted>2026-03-23T20:10:00Z</cp:lastPrinted>
  <dcterms:modified xsi:type="dcterms:W3CDTF">2026-07-02T05:38:01Z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F93DBA98C7914144B82C2210819BB01D</vt:lpwstr>
  </property>
  <property fmtid="{D5CDD505-2E9C-101B-9397-08002B2CF9AE}" pid="4" name="KSOTemplateDocerSaveRecord">
    <vt:lpwstr>eyJoZGlkIjoiMTc3YjA0YTFhMDFmZGJkZWZlNTY2MDNlZTZiNjNjNzEiLCJ1c2VySWQiOiI2MDM5MzIzMTkifQ==</vt:lpwstr>
  </property>
</Properties>
</file>