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4598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 w14:paraId="5BA37C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 w14:paraId="57D14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喀地环评字〔202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〕</w:t>
      </w:r>
      <w:r>
        <w:rPr>
          <w:rFonts w:hint="eastAsia" w:cs="Times New Roman"/>
          <w:color w:val="auto"/>
          <w:sz w:val="32"/>
          <w:szCs w:val="32"/>
          <w:highlight w:val="none"/>
          <w:lang w:val="en-US" w:eastAsia="zh-CN"/>
        </w:rPr>
        <w:t>295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号</w:t>
      </w:r>
    </w:p>
    <w:p w14:paraId="23A234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540" w:lineRule="exact"/>
        <w:textAlignment w:val="auto"/>
        <w:rPr>
          <w:rFonts w:hint="default" w:ascii="Times New Roman" w:hAnsi="Times New Roman" w:eastAsia="仿宋" w:cs="Times New Roman"/>
          <w:bCs/>
          <w:sz w:val="32"/>
          <w:szCs w:val="32"/>
          <w:highlight w:val="none"/>
        </w:rPr>
      </w:pPr>
    </w:p>
    <w:p w14:paraId="242EF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highlight w:val="none"/>
          <w:lang w:val="en-US" w:eastAsia="zh-CN" w:bidi="ar-SA"/>
        </w:rPr>
        <w:t>关于《新疆瑞科凌再生资源利用有限公司</w:t>
      </w:r>
    </w:p>
    <w:p w14:paraId="1C649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highlight w:val="none"/>
          <w:lang w:val="en-US" w:eastAsia="zh-CN" w:bidi="ar-SA"/>
        </w:rPr>
        <w:t>年处理2万吨废旧塑料（农膜）低温热解及</w:t>
      </w:r>
    </w:p>
    <w:p w14:paraId="4C46E8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Cs/>
          <w:kern w:val="2"/>
          <w:sz w:val="44"/>
          <w:szCs w:val="44"/>
          <w:highlight w:val="none"/>
          <w:lang w:val="en-US" w:eastAsia="zh-CN" w:bidi="ar-SA"/>
        </w:rPr>
        <w:t>资源化项目环境影响报告表》的批复</w:t>
      </w:r>
    </w:p>
    <w:p w14:paraId="56C6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简体" w:cs="Times New Roman"/>
          <w:b/>
          <w:color w:val="auto"/>
          <w:sz w:val="32"/>
          <w:szCs w:val="32"/>
          <w:highlight w:val="none"/>
        </w:rPr>
      </w:pPr>
    </w:p>
    <w:p w14:paraId="2942D3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新疆瑞科凌再生资源利用有限公司：</w:t>
      </w:r>
    </w:p>
    <w:p w14:paraId="7F204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你单位报来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的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《新疆瑞科凌再生资源利用有限公司年处理2万吨废旧塑料（农膜）低温热解及资源化项目环境影响报告表》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及相关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附件收悉，经研究，批复如下：</w:t>
      </w:r>
    </w:p>
    <w:p w14:paraId="5EFB69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一、项目基本情况</w:t>
      </w:r>
    </w:p>
    <w:p w14:paraId="2AE7DAF4"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420"/>
        <w:textAlignment w:val="auto"/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本项目性质为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新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建，位于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喀什地区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伽师县工业园区佛伽路12号，中心地理坐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标：东经76°43′55.212″，北纬39°25′49.224″。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项目东侧隔路为新疆鑫慧铜业有限公司、南侧为已倒闭的新疆和众同兴粮油商贸有限公司、西侧为荒地、北侧为新疆宏鹏电线电缆制造有限公司，租赁佛伽路12号现有标准化厂房，占地面积3700平方米。</w:t>
      </w:r>
      <w:r>
        <w:rPr>
          <w:rFonts w:hint="eastAsia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  <w:lang w:val="en-US" w:eastAsia="zh-CN"/>
        </w:rPr>
        <w:t>主要建设内容：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建设年处理2万吨废旧塑料（农膜）低温热解及资源化生产线2条，包括热解主炉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2台（每台35吨）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及热解上料系统、油品冷凝系统、不可凝气系统、炭黑回收系统、原料仓储区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（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废旧农膜、废塑料及滴灌带</w:t>
      </w:r>
      <w:r>
        <w:rPr>
          <w:rFonts w:hint="eastAsia" w:eastAsia="方正仿宋_GBK" w:cs="Times New Roman"/>
          <w:color w:val="auto"/>
          <w:sz w:val="32"/>
          <w:szCs w:val="32"/>
          <w:highlight w:val="none"/>
          <w:lang w:val="en-US" w:eastAsia="zh-CN"/>
        </w:rPr>
        <w:t>采用吨包袋装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、成品仓储区（配置油接收罐4个，单个容积48立方米；油中转罐2个，单个容积6.5立方米，用于暂存热解液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；炭黑吨包袋装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）、办公及研发、配套建设变配电设施、供水系统、供热系统、排水系统等。新建循环水箱300立方米，2座冷却循环塔（单台循环水量50立方米/日），一般固废暂存间5平方米，危废暂存间5平方米。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  <w:lang w:val="en-US" w:eastAsia="zh-CN"/>
        </w:rPr>
        <w:t>产品及规模：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热解液9000吨（外售），热解碳渣5000吨（外售），热解不凝气6000吨（自用）。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  <w:lang w:val="en-US" w:eastAsia="zh-CN"/>
        </w:rPr>
        <w:t>主要原辅材料：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废旧农膜、废塑料及滴灌带、尿素、生石灰、片碱、工业纯碱等，</w:t>
      </w:r>
      <w:r>
        <w:rPr>
          <w:rFonts w:hint="default" w:ascii="Times New Roman" w:hAnsi="Times New Roman" w:eastAsia="方正仿宋_GBK" w:cs="Times New Roman"/>
          <w:b/>
          <w:bCs/>
          <w:color w:val="auto"/>
          <w:sz w:val="32"/>
          <w:szCs w:val="32"/>
          <w:highlight w:val="none"/>
          <w:lang w:val="en-US" w:eastAsia="zh-CN"/>
        </w:rPr>
        <w:t>生产工艺流程：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投料—加热热解—出不凝气—出碳渣—出热解液。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项目不涉及自然保护区、风景名胜区、饮用水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水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源保护区等敏感区域。项目总投资5000万元，环保投资70万元，占总投资的1.4％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43D95B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二、环保措施</w:t>
      </w:r>
    </w:p>
    <w:p w14:paraId="1FAF0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由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新疆清如许环保科技有限公司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编制的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《新疆瑞科凌再生资源利用有限公司年处理2万吨废旧塑料（农膜）低温热解及资源化项目环境影响报告表》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比较规范，环保法规使用正确，环境影响评价内容较全面，主要环境影响因子选择适当，环境影响分析与评价标准基本合理准确，重点做好以下工作：</w:t>
      </w:r>
    </w:p>
    <w:p w14:paraId="54D76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highlight w:val="none"/>
          <w:lang w:eastAsia="zh-CN"/>
        </w:rPr>
        <w:t>（一）施工期</w:t>
      </w:r>
    </w:p>
    <w:p w14:paraId="5B2C3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eastAsia" w:eastAsia="方正仿宋_GBK"/>
          <w:sz w:val="32"/>
          <w:szCs w:val="32"/>
          <w:highlight w:val="none"/>
        </w:rPr>
      </w:pPr>
      <w:r>
        <w:rPr>
          <w:rFonts w:hint="eastAsia" w:eastAsia="方正仿宋_GBK"/>
          <w:sz w:val="32"/>
          <w:szCs w:val="32"/>
          <w:highlight w:val="none"/>
        </w:rPr>
        <w:t>本项目为利用已建成厂房进行建设，施工期污染主要为基础设备安装。生活垃圾集中收集后由环卫部门统一清运，合理安排施工时间，禁止夜间施工，执行《建筑施工噪声排放标准》（GB12523—2025）相关要求。</w:t>
      </w:r>
    </w:p>
    <w:p w14:paraId="7A89B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楷体_GBK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highlight w:val="none"/>
          <w:lang w:eastAsia="zh-CN"/>
        </w:rPr>
        <w:t>（二）运营期</w:t>
      </w:r>
    </w:p>
    <w:p w14:paraId="2F152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</w:pP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1.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废气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热解不凝气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排入主炉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二燃室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经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过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换热+SCR脱硝+布袋除尘器+双碱法+除雾器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处理后，通过21米高排气筒排放，颗粒物、氮氧化物、二氧化硫、非甲烷总烃执行《石油化学工业污染物排放标准》（GB31571—2015，含2024年修改单）表4排放限值要求，氨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气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执行《工业锅炉污染物防治可行技术指南》（HJ1178—2021）中的限值要求。炭渣出料废气通过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“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集气罩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+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布袋除尘器</w:t>
      </w:r>
      <w:r>
        <w:rPr>
          <w:rFonts w:hint="eastAsia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处理后，通过21米排气筒排放，执行《石油化学工业污染物排放标准》（GB31571—2015，含2024年修改单）表4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排放限值要求</w:t>
      </w:r>
      <w:r>
        <w:rPr>
          <w:rFonts w:hint="default" w:ascii="Times New Roman" w:hAnsi="Times New Roman" w:eastAsia="方正仿宋_GBK" w:cs="Times New Roman"/>
          <w:sz w:val="32"/>
          <w:szCs w:val="32"/>
          <w:highlight w:val="none"/>
          <w:lang w:val="en-US" w:eastAsia="zh-CN"/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裂解油储罐顶部设置油气回收装置，油罐呼吸废气无组织排放。无组织废气通过生产厂房自然通风的方式，逸散至项目区大气环境中，厂界无组织废气非甲烷总烃、颗粒物、臭气浓度执行《石油化学工业污染物排放标准》（GB31571—2015，含2024年修改单）表7限值要求及《恶臭污染物排放标准》（GB14554—93）中新扩改建二级排放标准，厂区内非甲烷总烃执行《挥发性有机物无组织排放控制标准》（GB37822—2019）表A.1限值要求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。</w:t>
      </w:r>
    </w:p>
    <w:p w14:paraId="1F4BE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</w:pP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2.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废水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按规定对项目进行分区防渗处理，严禁跑、冒、滴、漏，防止对地下水造成污染。项目生产废水（热解生产线冷却水、脱硫系统用水、脱硝系统用水）经循环水箱（防腐钢结构）沉淀后循环使用，不外排；生活污水经化粪池收集后排入园区污水管网，最终进入伽师县工业园区污水处理厂处理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。</w:t>
      </w:r>
    </w:p>
    <w:p w14:paraId="68AE73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</w:pP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3.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噪声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选用低噪声设备，采取减振、密闭、隔声、消声等处理措施，厂界噪声执行《工业企业厂界环境噪声排放标准》（GB12348—2008）表1中3类标准要求。</w:t>
      </w:r>
    </w:p>
    <w:p w14:paraId="0A79BC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</w:pP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>4.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固废</w:t>
      </w:r>
      <w:r>
        <w:rPr>
          <w:rFonts w:hint="eastAsia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除尘灰、脱硫石膏经收集后外售综合利用；</w:t>
      </w:r>
      <w:r>
        <w:rPr>
          <w:rFonts w:hint="default" w:ascii="Times New Roman" w:hAnsi="Times New Roman" w:eastAsia="方正仿宋_GBK" w:cs="Times New Roman"/>
          <w:caps w:val="0"/>
          <w:smallCaps w:val="0"/>
          <w:color w:val="auto"/>
          <w:kern w:val="0"/>
          <w:sz w:val="32"/>
          <w:szCs w:val="32"/>
          <w:lang w:val="en-US" w:eastAsia="zh-CN"/>
        </w:rPr>
        <w:t>生活垃圾集中收集由环卫部门统一清运处置；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废机油、废油桶、清罐废渣、含油污水、废催化剂分类收集</w:t>
      </w:r>
      <w:r>
        <w:rPr>
          <w:rFonts w:hint="eastAsia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暂存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危废暂存间，定期交由有资质的单位进行处置。危险废物的收集、贮存、运输须符合《危险废物贮存污染控制标准》（GB18597—2023）、《危险废物收集贮存运输技术规范》（HJ2025—2012）和《危险废物转移管理办法》等要求。一般固废按照《一般工业固体废物贮存和填埋污染控制标准》（GB18599—2020）要求处置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u w:val="none"/>
          <w:lang w:eastAsia="zh-CN"/>
        </w:rPr>
        <w:t>。</w:t>
      </w:r>
    </w:p>
    <w:p w14:paraId="23E99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 xml:space="preserve">5.风险防范措施要求  </w:t>
      </w:r>
      <w:r>
        <w:rPr>
          <w:rFonts w:hint="default" w:ascii="Times New Roman" w:hAnsi="Times New Roman" w:eastAsia="方正仿宋_GBK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项目厂区设置应急事故池，配套建设事故废水收集系统，用于事故状态下的废水收集，储罐区设置1.5米高围堰；项目区内采取分区防渗措施，其中生产车间、危废仓库、储油罐区、应急事故池划分为重点防渗区，除重点防渗区以外其他地面作为一般防渗区；制定突发环境事件应急预案，发生事故时立即启动，并定期开展演练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 w14:paraId="0FB4B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zh-CN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6.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应尽快申报办理相关排污许可证手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续，排污许可证申请及核发按《排污许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可管理条例》《排污许可管理办法》执行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 w14:paraId="7DC10A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32" w:firstLineChars="200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highlight w:val="none"/>
          <w:lang w:val="en-US" w:eastAsia="zh-CN"/>
        </w:rPr>
        <w:t>7.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highlight w:val="none"/>
          <w:lang w:val="en-US" w:eastAsia="zh-CN"/>
        </w:rPr>
        <w:t>本项目主要污染物排放总量指标：</w:t>
      </w:r>
      <w:r>
        <w:rPr>
          <w:rFonts w:hint="eastAsia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highlight w:val="none"/>
          <w:lang w:eastAsia="zh-CN"/>
        </w:rPr>
        <w:t>挥发性有机物</w:t>
      </w:r>
      <w:r>
        <w:rPr>
          <w:rFonts w:hint="eastAsia" w:eastAsia="方正仿宋_GBK" w:cs="Times New Roman"/>
          <w:color w:val="000000"/>
          <w:spacing w:val="-2"/>
          <w:kern w:val="28"/>
          <w:sz w:val="32"/>
          <w:szCs w:val="32"/>
          <w:highlight w:val="none"/>
          <w:lang w:val="en-US" w:eastAsia="zh-CN"/>
        </w:rPr>
        <w:t>8.64</w:t>
      </w:r>
      <w:r>
        <w:rPr>
          <w:rFonts w:hint="eastAsia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highlight w:val="none"/>
          <w:lang w:val="en-US" w:eastAsia="zh-CN"/>
        </w:rPr>
        <w:t>吨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highlight w:val="none"/>
          <w:lang w:val="en-US" w:eastAsia="zh-CN"/>
        </w:rPr>
        <w:t>/</w:t>
      </w:r>
      <w:r>
        <w:rPr>
          <w:rFonts w:hint="eastAsia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highlight w:val="none"/>
          <w:lang w:val="en-US" w:eastAsia="zh-CN"/>
        </w:rPr>
        <w:t>年，氮氧化物</w:t>
      </w:r>
      <w:r>
        <w:rPr>
          <w:rFonts w:hint="eastAsia" w:eastAsia="方正仿宋_GBK" w:cs="Times New Roman"/>
          <w:color w:val="000000"/>
          <w:spacing w:val="-2"/>
          <w:kern w:val="28"/>
          <w:sz w:val="32"/>
          <w:szCs w:val="32"/>
          <w:highlight w:val="none"/>
          <w:lang w:val="en-US" w:eastAsia="zh-CN"/>
        </w:rPr>
        <w:t>10.8</w:t>
      </w:r>
      <w:r>
        <w:rPr>
          <w:rFonts w:hint="eastAsia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highlight w:val="none"/>
          <w:lang w:val="en-US" w:eastAsia="zh-CN"/>
        </w:rPr>
        <w:t>吨</w:t>
      </w:r>
      <w:r>
        <w:rPr>
          <w:rFonts w:hint="default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highlight w:val="none"/>
          <w:lang w:val="en-US" w:eastAsia="zh-CN"/>
        </w:rPr>
        <w:t>/</w:t>
      </w:r>
      <w:r>
        <w:rPr>
          <w:rFonts w:hint="eastAsia" w:ascii="Times New Roman" w:hAnsi="Times New Roman" w:eastAsia="方正仿宋_GBK" w:cs="Times New Roman"/>
          <w:color w:val="000000"/>
          <w:spacing w:val="-2"/>
          <w:kern w:val="28"/>
          <w:sz w:val="32"/>
          <w:szCs w:val="32"/>
          <w:highlight w:val="none"/>
          <w:lang w:val="en-US" w:eastAsia="zh-CN"/>
        </w:rPr>
        <w:t>年。</w:t>
      </w:r>
    </w:p>
    <w:p w14:paraId="756E2C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highlight w:val="none"/>
        </w:rPr>
        <w:t>三、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highlight w:val="none"/>
          <w:lang w:eastAsia="zh-CN"/>
        </w:rPr>
        <w:t>相关要求</w:t>
      </w:r>
      <w:r>
        <w:rPr>
          <w:rFonts w:hint="default" w:ascii="Times New Roman" w:hAnsi="Times New Roman" w:eastAsia="方正黑体_GBK" w:cs="Times New Roman"/>
          <w:bCs/>
          <w:sz w:val="32"/>
          <w:szCs w:val="32"/>
          <w:highlight w:val="none"/>
          <w:lang w:val="en-US" w:eastAsia="zh-CN"/>
        </w:rPr>
        <w:t xml:space="preserve">  </w:t>
      </w:r>
    </w:p>
    <w:p w14:paraId="479F6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640" w:firstLineChars="200"/>
        <w:textAlignment w:val="auto"/>
        <w:rPr>
          <w:rFonts w:eastAsia="方正仿宋_GBK"/>
          <w:sz w:val="32"/>
          <w:szCs w:val="32"/>
          <w:highlight w:val="none"/>
        </w:rPr>
      </w:pPr>
      <w:r>
        <w:rPr>
          <w:rFonts w:eastAsia="方正仿宋_GBK"/>
          <w:sz w:val="32"/>
          <w:szCs w:val="32"/>
          <w:highlight w:val="none"/>
        </w:rPr>
        <w:t>项目严格执行环境保护</w:t>
      </w:r>
      <w:r>
        <w:rPr>
          <w:rFonts w:hint="eastAsia" w:eastAsia="方正仿宋_GBK"/>
          <w:sz w:val="32"/>
          <w:szCs w:val="32"/>
          <w:highlight w:val="none"/>
        </w:rPr>
        <w:t>“</w:t>
      </w:r>
      <w:r>
        <w:rPr>
          <w:rFonts w:eastAsia="方正仿宋_GBK"/>
          <w:sz w:val="32"/>
          <w:szCs w:val="32"/>
          <w:highlight w:val="none"/>
        </w:rPr>
        <w:t>三同时</w:t>
      </w:r>
      <w:r>
        <w:rPr>
          <w:rFonts w:hint="eastAsia" w:eastAsia="方正仿宋_GBK"/>
          <w:sz w:val="32"/>
          <w:szCs w:val="32"/>
          <w:highlight w:val="none"/>
        </w:rPr>
        <w:t>”</w:t>
      </w:r>
      <w:r>
        <w:rPr>
          <w:rFonts w:eastAsia="方正仿宋_GBK"/>
          <w:sz w:val="32"/>
          <w:szCs w:val="32"/>
          <w:highlight w:val="none"/>
        </w:rPr>
        <w:t>制度和《报告</w:t>
      </w:r>
      <w:r>
        <w:rPr>
          <w:rFonts w:hint="eastAsia" w:eastAsia="方正仿宋_GBK"/>
          <w:sz w:val="32"/>
          <w:szCs w:val="32"/>
          <w:highlight w:val="none"/>
        </w:rPr>
        <w:t>表</w:t>
      </w:r>
      <w:r>
        <w:rPr>
          <w:rFonts w:eastAsia="方正仿宋_GBK"/>
          <w:sz w:val="32"/>
          <w:szCs w:val="32"/>
          <w:highlight w:val="none"/>
        </w:rPr>
        <w:t>》中提出的各项环保措施，认真落实生态环境保护主体责任，建立内部生态环境管理体系，明确机构、人员职责和制度，加强生态环境管理，推动各项生态环境保护措施落实。本项目的日常环境监督管理由喀什地区生态环境局</w:t>
      </w:r>
      <w:r>
        <w:rPr>
          <w:rFonts w:hint="eastAsia" w:eastAsia="方正仿宋_GBK"/>
          <w:sz w:val="32"/>
          <w:szCs w:val="32"/>
          <w:highlight w:val="none"/>
          <w:lang w:val="en-US" w:eastAsia="zh-CN"/>
        </w:rPr>
        <w:t>伽师</w:t>
      </w:r>
      <w:r>
        <w:rPr>
          <w:rFonts w:eastAsia="方正仿宋_GBK"/>
          <w:sz w:val="32"/>
          <w:szCs w:val="32"/>
          <w:highlight w:val="none"/>
        </w:rPr>
        <w:t>县分局负责，地区生态环境保护综合行政执法支队不定期进行抽查。项目建设完工后，由建设单位对项目进行竣工环保验收，验收合格后方可正式投入运行。如项目的性质、规模、地点、采用的工艺、防治污染、防止生态破坏的措施发生重大变动，须报我局重新审批。</w:t>
      </w:r>
    </w:p>
    <w:p w14:paraId="3B27E144"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exact"/>
        <w:ind w:firstLine="480"/>
        <w:textAlignment w:val="auto"/>
        <w:rPr>
          <w:rFonts w:hint="default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</w:rPr>
      </w:pPr>
    </w:p>
    <w:p w14:paraId="50A8C1BB"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80" w:lineRule="exact"/>
        <w:ind w:left="0" w:leftChars="0" w:firstLine="0" w:firstLineChars="0"/>
        <w:textAlignment w:val="auto"/>
        <w:rPr>
          <w:rFonts w:hint="default" w:ascii="Times New Roman" w:hAnsi="Times New Roman" w:eastAsia="方正仿宋_GBK" w:cs="Times New Roman"/>
          <w:sz w:val="32"/>
          <w:szCs w:val="32"/>
          <w:highlight w:val="none"/>
        </w:rPr>
      </w:pPr>
    </w:p>
    <w:p w14:paraId="3F1AE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spacing w:line="480" w:lineRule="exact"/>
        <w:ind w:firstLine="640" w:firstLineChars="200"/>
        <w:jc w:val="center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  <w:t xml:space="preserve">          </w:t>
      </w:r>
      <w:r>
        <w:rPr>
          <w:rFonts w:hint="eastAsia" w:eastAsia="方正仿宋_GBK" w:cs="Times New Roman"/>
          <w:kern w:val="0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eastAsia="zh-CN"/>
        </w:rPr>
        <w:t>喀什地区生态环境局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  <w:t xml:space="preserve">        </w:t>
      </w:r>
    </w:p>
    <w:p w14:paraId="7E38904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  <w:t xml:space="preserve">                        </w:t>
      </w:r>
      <w:r>
        <w:rPr>
          <w:rFonts w:hint="eastAsia" w:eastAsia="方正仿宋_GBK" w:cs="Times New Roman"/>
          <w:kern w:val="0"/>
          <w:sz w:val="32"/>
          <w:szCs w:val="3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</w:rPr>
        <w:t>20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方正仿宋_GBK" w:cs="Times New Roman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</w:rPr>
        <w:t>年</w:t>
      </w:r>
      <w:r>
        <w:rPr>
          <w:rFonts w:hint="eastAsia" w:eastAsia="方正仿宋_GBK" w:cs="Times New Roman"/>
          <w:kern w:val="0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</w:rPr>
        <w:t>月</w:t>
      </w:r>
      <w:r>
        <w:rPr>
          <w:rFonts w:hint="eastAsia" w:eastAsia="方正仿宋_GBK" w:cs="Times New Roman"/>
          <w:kern w:val="0"/>
          <w:sz w:val="32"/>
          <w:szCs w:val="32"/>
          <w:highlight w:val="none"/>
          <w:lang w:val="en-US" w:eastAsia="zh-CN"/>
        </w:rPr>
        <w:t>17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</w:rPr>
        <w:t>日</w:t>
      </w:r>
      <w:r>
        <w:rPr>
          <w:rFonts w:hint="default" w:ascii="Times New Roman" w:hAnsi="Times New Roman" w:eastAsia="方正仿宋_GBK" w:cs="Times New Roman"/>
          <w:kern w:val="0"/>
          <w:sz w:val="32"/>
          <w:szCs w:val="32"/>
          <w:highlight w:val="none"/>
          <w:lang w:val="en-US" w:eastAsia="zh-CN"/>
        </w:rPr>
        <w:t xml:space="preserve">    </w:t>
      </w:r>
    </w:p>
    <w:p w14:paraId="6EFEA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</w:pPr>
    </w:p>
    <w:p w14:paraId="67DBE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</w:pPr>
    </w:p>
    <w:p w14:paraId="3B95B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</w:pPr>
      <w:bookmarkStart w:id="0" w:name="_GoBack"/>
      <w:bookmarkEnd w:id="0"/>
    </w:p>
    <w:p w14:paraId="2B896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</w:pPr>
    </w:p>
    <w:p w14:paraId="7DE83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</w:pPr>
    </w:p>
    <w:p w14:paraId="36E4DA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1200" w:hanging="1200" w:hangingChars="400"/>
        <w:jc w:val="both"/>
        <w:textAlignment w:val="auto"/>
        <w:rPr>
          <w:rFonts w:hint="default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  <w:t>抄送：喀什地区生态环境局</w:t>
      </w:r>
      <w:r>
        <w:rPr>
          <w:rFonts w:hint="eastAsia" w:eastAsia="方正仿宋_GBK" w:cs="Times New Roman"/>
          <w:color w:val="000000"/>
          <w:sz w:val="30"/>
          <w:szCs w:val="30"/>
          <w:highlight w:val="none"/>
          <w:lang w:val="en-US" w:eastAsia="zh-CN"/>
        </w:rPr>
        <w:t>伽师县</w:t>
      </w: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  <w:t>分局、喀什地区生态环境保护综</w:t>
      </w:r>
    </w:p>
    <w:p w14:paraId="5BBA3E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00" w:lineRule="exact"/>
        <w:ind w:left="899" w:leftChars="321" w:firstLine="0" w:firstLineChars="0"/>
        <w:jc w:val="both"/>
        <w:textAlignment w:val="auto"/>
        <w:rPr>
          <w:rFonts w:hint="eastAsia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  <w:t>合行政执法支队、各科室，</w:t>
      </w:r>
      <w:r>
        <w:rPr>
          <w:rFonts w:hint="eastAsia" w:ascii="Times New Roman" w:hAnsi="Times New Roman" w:eastAsia="方正仿宋_GBK" w:cs="Times New Roman"/>
          <w:color w:val="000000"/>
          <w:sz w:val="30"/>
          <w:szCs w:val="30"/>
          <w:highlight w:val="none"/>
          <w:lang w:val="en-US" w:eastAsia="zh-CN"/>
        </w:rPr>
        <w:t>新疆清如许环保科技有限公司</w:t>
      </w:r>
    </w:p>
    <w:sectPr>
      <w:headerReference r:id="rId3" w:type="default"/>
      <w:footerReference r:id="rId4" w:type="default"/>
      <w:footerReference r:id="rId5" w:type="even"/>
      <w:pgSz w:w="11906" w:h="16838"/>
      <w:pgMar w:top="1984" w:right="1531" w:bottom="1701" w:left="1531" w:header="851" w:footer="1531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20110">
    <w:pPr>
      <w:pStyle w:val="11"/>
      <w:rPr>
        <w:rStyle w:val="16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D23661">
                          <w:pPr>
                            <w:pStyle w:val="11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8D23661">
                    <w:pPr>
                      <w:pStyle w:val="11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E5D87">
    <w:pPr>
      <w:pStyle w:val="11"/>
      <w:framePr w:wrap="around" w:vAnchor="text" w:hAnchor="margin" w:xAlign="center" w:y="1"/>
      <w:rPr>
        <w:rStyle w:val="16"/>
      </w:rPr>
    </w:pPr>
    <w:r>
      <w:fldChar w:fldCharType="begin"/>
    </w:r>
    <w:r>
      <w:rPr>
        <w:rStyle w:val="16"/>
      </w:rPr>
      <w:instrText xml:space="preserve">PAGE  </w:instrText>
    </w:r>
    <w:r>
      <w:fldChar w:fldCharType="end"/>
    </w:r>
  </w:p>
  <w:p w14:paraId="7B993A3F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28FD6">
    <w:pPr>
      <w:pStyle w:val="1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D3329"/>
    <w:rsid w:val="022D6340"/>
    <w:rsid w:val="0289048A"/>
    <w:rsid w:val="03745755"/>
    <w:rsid w:val="04042E5A"/>
    <w:rsid w:val="05E93370"/>
    <w:rsid w:val="072252A2"/>
    <w:rsid w:val="0A3730AF"/>
    <w:rsid w:val="16AB0A85"/>
    <w:rsid w:val="1807234A"/>
    <w:rsid w:val="1C2058EC"/>
    <w:rsid w:val="1F7950BD"/>
    <w:rsid w:val="215D4FFD"/>
    <w:rsid w:val="24F10580"/>
    <w:rsid w:val="259B2C8F"/>
    <w:rsid w:val="269B0C66"/>
    <w:rsid w:val="29DA6AE4"/>
    <w:rsid w:val="328778D5"/>
    <w:rsid w:val="32951EFA"/>
    <w:rsid w:val="32FB3683"/>
    <w:rsid w:val="33E30286"/>
    <w:rsid w:val="3422277D"/>
    <w:rsid w:val="441B57A8"/>
    <w:rsid w:val="493C6A78"/>
    <w:rsid w:val="4C903E21"/>
    <w:rsid w:val="4FEB29DA"/>
    <w:rsid w:val="53275BF3"/>
    <w:rsid w:val="576F1DC6"/>
    <w:rsid w:val="5A2C6A8A"/>
    <w:rsid w:val="5D944393"/>
    <w:rsid w:val="5EE82A63"/>
    <w:rsid w:val="5F324656"/>
    <w:rsid w:val="60456DB3"/>
    <w:rsid w:val="61BE7E4E"/>
    <w:rsid w:val="66837BCB"/>
    <w:rsid w:val="69BA151B"/>
    <w:rsid w:val="6C36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ascii="Verdana" w:hAnsi="Verdana" w:cs="Verdana"/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3"/>
    <w:qFormat/>
    <w:uiPriority w:val="0"/>
    <w:rPr>
      <w:rFonts w:ascii="宋体" w:hAnsi="Courier New"/>
    </w:rPr>
  </w:style>
  <w:style w:type="paragraph" w:styleId="3">
    <w:name w:val="toc 1"/>
    <w:basedOn w:val="1"/>
    <w:next w:val="1"/>
    <w:qFormat/>
    <w:uiPriority w:val="0"/>
  </w:style>
  <w:style w:type="paragraph" w:styleId="6">
    <w:name w:val="Normal Indent"/>
    <w:basedOn w:val="1"/>
    <w:next w:val="1"/>
    <w:qFormat/>
    <w:uiPriority w:val="0"/>
    <w:pPr>
      <w:spacing w:line="520" w:lineRule="exact"/>
      <w:ind w:firstLine="624"/>
    </w:pPr>
    <w:rPr>
      <w:rFonts w:eastAsia="宋体"/>
    </w:rPr>
  </w:style>
  <w:style w:type="paragraph" w:styleId="7">
    <w:name w:val="Body Text"/>
    <w:basedOn w:val="1"/>
    <w:next w:val="8"/>
    <w:unhideWhenUsed/>
    <w:qFormat/>
    <w:uiPriority w:val="99"/>
    <w:pPr>
      <w:spacing w:after="120"/>
    </w:pPr>
  </w:style>
  <w:style w:type="paragraph" w:styleId="8">
    <w:name w:val="Body Text 2"/>
    <w:basedOn w:val="1"/>
    <w:qFormat/>
    <w:uiPriority w:val="0"/>
    <w:pPr>
      <w:spacing w:after="120" w:line="480" w:lineRule="auto"/>
    </w:pPr>
  </w:style>
  <w:style w:type="paragraph" w:styleId="9">
    <w:name w:val="Body Text Indent"/>
    <w:basedOn w:val="1"/>
    <w:next w:val="10"/>
    <w:qFormat/>
    <w:uiPriority w:val="0"/>
    <w:pPr>
      <w:widowControl w:val="0"/>
      <w:spacing w:before="240" w:line="360" w:lineRule="auto"/>
      <w:ind w:firstLine="200" w:firstLineChars="200"/>
      <w:jc w:val="both"/>
    </w:pPr>
    <w:rPr>
      <w:kern w:val="2"/>
      <w:sz w:val="24"/>
      <w:szCs w:val="24"/>
      <w:lang w:val="en-US" w:eastAsia="zh-CN" w:bidi="ar-SA"/>
    </w:rPr>
  </w:style>
  <w:style w:type="paragraph" w:styleId="10">
    <w:name w:val="Body Text First Indent 2"/>
    <w:basedOn w:val="9"/>
    <w:next w:val="1"/>
    <w:qFormat/>
    <w:uiPriority w:val="0"/>
    <w:pPr>
      <w:spacing w:before="0" w:after="120" w:line="240" w:lineRule="auto"/>
      <w:ind w:left="420" w:leftChars="200" w:firstLine="420"/>
    </w:pPr>
    <w:rPr>
      <w:rFonts w:eastAsia="仿宋_GB2312"/>
      <w:sz w:val="28"/>
      <w:szCs w:val="20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next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character" w:styleId="16">
    <w:name w:val="page number"/>
    <w:basedOn w:val="15"/>
    <w:qFormat/>
    <w:uiPriority w:val="0"/>
  </w:style>
  <w:style w:type="paragraph" w:customStyle="1" w:styleId="17">
    <w:name w:val="xl27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1"/>
    </w:rPr>
  </w:style>
  <w:style w:type="paragraph" w:customStyle="1" w:styleId="18">
    <w:name w:val="text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17"/>
      <w:szCs w:val="17"/>
    </w:rPr>
  </w:style>
  <w:style w:type="paragraph" w:customStyle="1" w:styleId="19">
    <w:name w:val="+正文"/>
    <w:basedOn w:val="1"/>
    <w:qFormat/>
    <w:uiPriority w:val="0"/>
    <w:pPr>
      <w:spacing w:line="360" w:lineRule="auto"/>
      <w:ind w:firstLine="200" w:firstLineChars="200"/>
    </w:pPr>
    <w:rPr>
      <w:rFonts w:ascii="Times New Roman" w:hAnsi="宋体"/>
      <w:color w:val="FF0000"/>
      <w:sz w:val="24"/>
    </w:rPr>
  </w:style>
  <w:style w:type="paragraph" w:customStyle="1" w:styleId="20">
    <w:name w:val="样式 首行缩进:  2 字符1"/>
    <w:basedOn w:val="1"/>
    <w:qFormat/>
    <w:uiPriority w:val="0"/>
    <w:pPr>
      <w:spacing w:line="400" w:lineRule="exact"/>
    </w:pPr>
    <w:rPr>
      <w:rFonts w:ascii="宋体"/>
      <w:szCs w:val="20"/>
    </w:rPr>
  </w:style>
  <w:style w:type="table" w:customStyle="1" w:styleId="21">
    <w:name w:val="Table Normal"/>
    <w:basedOn w:val="14"/>
    <w:unhideWhenUsed/>
    <w:qFormat/>
    <w:uiPriority w:val="2"/>
    <w:pPr>
      <w:widowControl w:val="0"/>
    </w:pPr>
    <w:rPr>
      <w:rFonts w:ascii="Calibri" w:hAnsi="Calibri" w:eastAsia="宋体" w:cs="Times New Roman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Default"/>
    <w:basedOn w:val="23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宋体" w:cs="Times New Roman"/>
      <w:color w:val="000000"/>
      <w:sz w:val="24"/>
      <w:szCs w:val="22"/>
      <w:lang w:val="en-US" w:eastAsia="zh-CN" w:bidi="ar-SA"/>
    </w:rPr>
  </w:style>
  <w:style w:type="paragraph" w:customStyle="1" w:styleId="23">
    <w:name w:val="A-表格文字"/>
    <w:basedOn w:val="1"/>
    <w:next w:val="1"/>
    <w:autoRedefine/>
    <w:qFormat/>
    <w:uiPriority w:val="0"/>
    <w:pPr>
      <w:autoSpaceDE w:val="0"/>
      <w:autoSpaceDN w:val="0"/>
      <w:adjustRightInd w:val="0"/>
      <w:jc w:val="center"/>
      <w:textAlignment w:val="center"/>
    </w:pPr>
    <w:rPr>
      <w:rFonts w:ascii="Times New Roman" w:hAnsi="Times New Roman"/>
      <w:kern w:val="0"/>
      <w:szCs w:val="21"/>
    </w:rPr>
  </w:style>
  <w:style w:type="paragraph" w:customStyle="1" w:styleId="24">
    <w:name w:val="报告正文"/>
    <w:basedOn w:val="1"/>
    <w:qFormat/>
    <w:uiPriority w:val="0"/>
    <w:pPr>
      <w:keepNext w:val="0"/>
      <w:keepLines w:val="0"/>
      <w:widowControl w:val="0"/>
      <w:suppressLineNumbers w:val="0"/>
      <w:adjustRightInd w:val="0"/>
      <w:snapToGrid w:val="0"/>
      <w:spacing w:before="0" w:beforeAutospacing="0" w:after="0" w:afterAutospacing="0" w:line="300" w:lineRule="auto"/>
      <w:ind w:left="0" w:right="0"/>
      <w:jc w:val="both"/>
    </w:pPr>
    <w:rPr>
      <w:rFonts w:hint="eastAsia" w:ascii="宋体" w:hAnsi="Calibri" w:eastAsia="宋体" w:cs="Times New Roman"/>
      <w:kern w:val="2"/>
      <w:sz w:val="28"/>
      <w:szCs w:val="20"/>
      <w:lang w:val="en-US" w:eastAsia="zh-CN" w:bidi="ar"/>
    </w:rPr>
  </w:style>
  <w:style w:type="paragraph" w:customStyle="1" w:styleId="25">
    <w:name w:val="正文缩进两格"/>
    <w:autoRedefine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2202</Words>
  <Characters>2402</Characters>
  <Lines>0</Lines>
  <Paragraphs>0</Paragraphs>
  <TotalTime>0</TotalTime>
  <ScaleCrop>false</ScaleCrop>
  <LinksUpToDate>false</LinksUpToDate>
  <CharactersWithSpaces>2415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2025-03-20T07:51:00Z</dcterms:created>
  <dc:creator>Administrator</dc:creator>
  <cp:lastModifiedBy>WPS_1643423142</cp:lastModifiedBy>
  <cp:lastPrinted>2025-10-13T02:28:00Z</cp:lastPrinted>
  <dcterms:modified xsi:type="dcterms:W3CDTF">2026-08-19T04:05:06Z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eyJoZGlkIjoiNjAzZTEwZmUyNWRmZDNhMmJkZmQxMTYwZTAwOWM1ZTEiLCJ1c2VySWQiOiIxMzI2MzE1OTczIn0=</vt:lpwstr>
  </property>
  <property fmtid="{D5CDD505-2E9C-101B-9397-08002B2CF9AE}" pid="4" name="ICV">
    <vt:lpwstr>611CF133F9BE415886062985E8B57D49_12</vt:lpwstr>
  </property>
</Properties>
</file>