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仿宋简体" w:hAnsi="方正仿宋简体" w:eastAsia="方正仿宋简体" w:cs="方正仿宋简体"/>
          <w:sz w:val="32"/>
          <w:szCs w:val="32"/>
          <w:highlight w:val="none"/>
          <w:lang w:eastAsia="zh-CN"/>
        </w:rPr>
      </w:pPr>
      <w:bookmarkStart w:id="0" w:name="_GoBack"/>
      <w:bookmarkEnd w:id="0"/>
      <w:r>
        <w:rPr>
          <w:rFonts w:hint="eastAsia" w:ascii="方正仿宋简体" w:hAnsi="方正仿宋简体" w:eastAsia="方正仿宋简体" w:cs="方正仿宋简体"/>
          <w:sz w:val="32"/>
          <w:szCs w:val="32"/>
          <w:highlight w:val="none"/>
          <w:lang w:eastAsia="zh-CN"/>
        </w:rPr>
        <w:t>附件</w:t>
      </w:r>
      <w:r>
        <w:rPr>
          <w:rFonts w:hint="eastAsia" w:ascii="方正仿宋简体" w:hAnsi="方正仿宋简体" w:eastAsia="方正仿宋简体" w:cs="方正仿宋简体"/>
          <w:sz w:val="32"/>
          <w:szCs w:val="32"/>
          <w:highlight w:val="none"/>
          <w:lang w:val="en-US" w:eastAsia="zh-CN"/>
        </w:rPr>
        <w:t>6：</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黑体简体" w:hAnsi="方正黑体简体" w:eastAsia="方正黑体简体" w:cs="方正黑体简体"/>
          <w:sz w:val="40"/>
          <w:szCs w:val="40"/>
          <w:highlight w:val="none"/>
        </w:rPr>
      </w:pPr>
      <w:r>
        <w:rPr>
          <w:rFonts w:hint="eastAsia" w:ascii="方正黑体简体" w:hAnsi="方正黑体简体" w:eastAsia="方正黑体简体" w:cs="方正黑体简体"/>
          <w:sz w:val="40"/>
          <w:szCs w:val="40"/>
          <w:highlight w:val="none"/>
          <w:lang w:eastAsia="zh-CN"/>
        </w:rPr>
        <w:t>监测表</w:t>
      </w:r>
      <w:r>
        <w:rPr>
          <w:rFonts w:hint="eastAsia" w:ascii="方正黑体简体" w:hAnsi="方正黑体简体" w:eastAsia="方正黑体简体" w:cs="方正黑体简体"/>
          <w:sz w:val="40"/>
          <w:szCs w:val="40"/>
          <w:highlight w:val="none"/>
        </w:rPr>
        <w:t>统计指标解释</w:t>
      </w:r>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黑体简体" w:hAnsi="方正黑体简体" w:eastAsia="方正黑体简体" w:cs="方正黑体简体"/>
          <w:sz w:val="32"/>
          <w:szCs w:val="32"/>
          <w:highlight w:val="none"/>
        </w:rPr>
      </w:pP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仿宋简体" w:hAnsi="方正仿宋简体" w:eastAsia="方正仿宋简体" w:cs="方正仿宋简体"/>
          <w:sz w:val="32"/>
          <w:szCs w:val="32"/>
          <w:highlight w:val="none"/>
        </w:rPr>
      </w:pPr>
      <w:r>
        <w:rPr>
          <w:rFonts w:hint="eastAsia" w:ascii="方正黑体简体" w:hAnsi="方正黑体简体" w:eastAsia="方正黑体简体" w:cs="方正黑体简体"/>
          <w:sz w:val="32"/>
          <w:szCs w:val="32"/>
          <w:highlight w:val="none"/>
          <w:lang w:val="en-US" w:eastAsia="zh-CN"/>
        </w:rPr>
        <w:t>1.</w:t>
      </w:r>
      <w:r>
        <w:rPr>
          <w:rFonts w:hint="eastAsia" w:ascii="方正黑体简体" w:hAnsi="方正黑体简体" w:eastAsia="方正黑体简体" w:cs="方正黑体简体"/>
          <w:sz w:val="32"/>
          <w:szCs w:val="32"/>
          <w:highlight w:val="none"/>
        </w:rPr>
        <w:t>产业园占地面积</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指经当地人民政府或有关部门批准，在规划期内产业园所有土地、水域面积之和。</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仿宋简体" w:hAnsi="方正仿宋简体" w:eastAsia="方正仿宋简体" w:cs="方正仿宋简体"/>
          <w:sz w:val="32"/>
          <w:szCs w:val="32"/>
          <w:highlight w:val="none"/>
        </w:rPr>
      </w:pPr>
      <w:r>
        <w:rPr>
          <w:rFonts w:hint="eastAsia" w:ascii="方正黑体简体" w:hAnsi="方正黑体简体" w:eastAsia="方正黑体简体" w:cs="方正黑体简体"/>
          <w:sz w:val="32"/>
          <w:szCs w:val="32"/>
          <w:highlight w:val="none"/>
          <w:lang w:val="en-US" w:eastAsia="zh-CN"/>
        </w:rPr>
        <w:t>2.</w:t>
      </w:r>
      <w:r>
        <w:rPr>
          <w:rFonts w:hint="eastAsia" w:ascii="方正黑体简体" w:hAnsi="方正黑体简体" w:eastAsia="方正黑体简体" w:cs="方正黑体简体"/>
          <w:sz w:val="32"/>
          <w:szCs w:val="32"/>
          <w:highlight w:val="none"/>
        </w:rPr>
        <w:t>产业园耕地面积</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指产业园内种植农作物的土地面积。</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仿宋简体" w:hAnsi="方正仿宋简体" w:eastAsia="方正仿宋简体" w:cs="方正仿宋简体"/>
          <w:sz w:val="32"/>
          <w:szCs w:val="32"/>
          <w:highlight w:val="none"/>
        </w:rPr>
      </w:pPr>
      <w:r>
        <w:rPr>
          <w:rFonts w:hint="eastAsia" w:ascii="方正黑体简体" w:hAnsi="方正黑体简体" w:eastAsia="方正黑体简体" w:cs="方正黑体简体"/>
          <w:sz w:val="32"/>
          <w:szCs w:val="32"/>
          <w:highlight w:val="none"/>
          <w:lang w:val="en-US" w:eastAsia="zh-CN"/>
        </w:rPr>
        <w:t>3.</w:t>
      </w:r>
      <w:r>
        <w:rPr>
          <w:rFonts w:hint="eastAsia" w:ascii="方正黑体简体" w:hAnsi="方正黑体简体" w:eastAsia="方正黑体简体" w:cs="方正黑体简体"/>
          <w:sz w:val="32"/>
          <w:szCs w:val="32"/>
          <w:highlight w:val="none"/>
        </w:rPr>
        <w:t>高标准农田面积</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指产业园内已经建成的高标准农田面积。</w:t>
      </w:r>
    </w:p>
    <w:p>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方正仿宋简体" w:hAnsi="方正仿宋简体" w:eastAsia="方正仿宋简体" w:cs="方正仿宋简体"/>
          <w:sz w:val="32"/>
          <w:szCs w:val="32"/>
          <w:highlight w:val="none"/>
        </w:rPr>
      </w:pPr>
      <w:r>
        <w:rPr>
          <w:rFonts w:hint="eastAsia" w:ascii="方正黑体简体" w:hAnsi="方正黑体简体" w:eastAsia="方正黑体简体" w:cs="方正黑体简体"/>
          <w:sz w:val="32"/>
          <w:szCs w:val="32"/>
          <w:highlight w:val="none"/>
          <w:lang w:val="en-US" w:eastAsia="zh-CN"/>
        </w:rPr>
        <w:t>4.</w:t>
      </w:r>
      <w:r>
        <w:rPr>
          <w:rFonts w:hint="eastAsia" w:ascii="方正黑体简体" w:hAnsi="方正黑体简体" w:eastAsia="方正黑体简体" w:cs="方正黑体简体"/>
          <w:sz w:val="32"/>
          <w:szCs w:val="32"/>
          <w:highlight w:val="none"/>
        </w:rPr>
        <w:t>产业园总产值</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指产业园内农业生产、农产品加工、农业服务业、休闲农业等一二三产业产值之和。</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5.</w:t>
      </w:r>
      <w:r>
        <w:rPr>
          <w:rFonts w:hint="eastAsia" w:ascii="方正仿宋简体" w:hAnsi="方正仿宋简体" w:eastAsia="方正仿宋简体" w:cs="方正仿宋简体"/>
          <w:b/>
          <w:bCs/>
          <w:sz w:val="32"/>
          <w:szCs w:val="32"/>
          <w:highlight w:val="none"/>
        </w:rPr>
        <w:t>二产</w:t>
      </w:r>
      <w:r>
        <w:rPr>
          <w:rFonts w:hint="eastAsia" w:ascii="方正仿宋简体" w:hAnsi="方正仿宋简体" w:eastAsia="方正仿宋简体" w:cs="方正仿宋简体"/>
          <w:b/>
          <w:bCs/>
          <w:sz w:val="32"/>
          <w:szCs w:val="32"/>
          <w:highlight w:val="none"/>
          <w:lang w:eastAsia="zh-CN"/>
        </w:rPr>
        <w:t>（</w:t>
      </w:r>
      <w:r>
        <w:rPr>
          <w:rFonts w:hint="eastAsia" w:ascii="方正仿宋简体" w:hAnsi="方正仿宋简体" w:eastAsia="方正仿宋简体" w:cs="方正仿宋简体"/>
          <w:b/>
          <w:bCs/>
          <w:sz w:val="32"/>
          <w:szCs w:val="32"/>
          <w:highlight w:val="none"/>
        </w:rPr>
        <w:t>农产品加工业产值</w:t>
      </w:r>
      <w:r>
        <w:rPr>
          <w:rFonts w:hint="eastAsia" w:ascii="方正仿宋简体" w:hAnsi="方正仿宋简体" w:eastAsia="方正仿宋简体" w:cs="方正仿宋简体"/>
          <w:b/>
          <w:bCs/>
          <w:sz w:val="32"/>
          <w:szCs w:val="32"/>
          <w:highlight w:val="none"/>
          <w:lang w:eastAsia="zh-CN"/>
        </w:rPr>
        <w:t>）</w:t>
      </w:r>
      <w:r>
        <w:rPr>
          <w:rFonts w:hint="eastAsia" w:ascii="方正仿宋简体" w:hAnsi="方正仿宋简体" w:eastAsia="方正仿宋简体" w:cs="方正仿宋简体"/>
          <w:b/>
          <w:bCs/>
          <w:sz w:val="32"/>
          <w:szCs w:val="32"/>
          <w:highlight w:val="none"/>
        </w:rPr>
        <w:t>指</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产业园内农产品加工转化产生的价值之和。</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6.</w:t>
      </w:r>
      <w:r>
        <w:rPr>
          <w:rFonts w:hint="eastAsia" w:ascii="方正仿宋简体" w:hAnsi="方正仿宋简体" w:eastAsia="方正仿宋简体" w:cs="方正仿宋简体"/>
          <w:b/>
          <w:bCs/>
          <w:sz w:val="32"/>
          <w:szCs w:val="32"/>
          <w:highlight w:val="none"/>
        </w:rPr>
        <w:t>三产产值</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指产业园内除第一 -产业、第二产业以外的行业产值，包括休闲农业和乡村旅游、农村电商等。</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7.</w:t>
      </w:r>
      <w:r>
        <w:rPr>
          <w:rFonts w:hint="eastAsia" w:ascii="方正仿宋简体" w:hAnsi="方正仿宋简体" w:eastAsia="方正仿宋简体" w:cs="方正仿宋简体"/>
          <w:b/>
          <w:bCs/>
          <w:sz w:val="32"/>
          <w:szCs w:val="32"/>
          <w:highlight w:val="none"/>
        </w:rPr>
        <w:t>园内企业全年纳税总额</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指产业园内农业企业全年交纳的所有税金之和，包括增值税、营业税、消费税、企业所得税等。</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8.</w:t>
      </w:r>
      <w:r>
        <w:rPr>
          <w:rFonts w:hint="eastAsia" w:ascii="方正仿宋简体" w:hAnsi="方正仿宋简体" w:eastAsia="方正仿宋简体" w:cs="方正仿宋简体"/>
          <w:b/>
          <w:bCs/>
          <w:sz w:val="32"/>
          <w:szCs w:val="32"/>
          <w:highlight w:val="none"/>
        </w:rPr>
        <w:t>产业园覆盖的行政村数</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指产业园地域范围内的行政村数量。</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9.</w:t>
      </w:r>
      <w:r>
        <w:rPr>
          <w:rFonts w:hint="eastAsia" w:ascii="方正仿宋简体" w:hAnsi="方正仿宋简体" w:eastAsia="方正仿宋简体" w:cs="方正仿宋简体"/>
          <w:b/>
          <w:bCs/>
          <w:sz w:val="32"/>
          <w:szCs w:val="32"/>
          <w:highlight w:val="none"/>
        </w:rPr>
        <w:t>园内农户数量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指产业园内农业户籍居民家庭数量。</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10.</w:t>
      </w:r>
      <w:r>
        <w:rPr>
          <w:rFonts w:hint="eastAsia" w:ascii="方正仿宋简体" w:hAnsi="方正仿宋简体" w:eastAsia="方正仿宋简体" w:cs="方正仿宋简体"/>
          <w:b/>
          <w:bCs/>
          <w:sz w:val="32"/>
          <w:szCs w:val="32"/>
          <w:highlight w:val="none"/>
        </w:rPr>
        <w:t>全县国内生产总值</w:t>
      </w:r>
      <w:r>
        <w:rPr>
          <w:rFonts w:hint="eastAsia" w:ascii="方正仿宋简体" w:hAnsi="方正仿宋简体" w:eastAsia="方正仿宋简体" w:cs="方正仿宋简体"/>
          <w:sz w:val="32"/>
          <w:szCs w:val="32"/>
          <w:highlight w:val="none"/>
        </w:rPr>
        <w:t xml:space="preserve"> 指产业园所在县年度生产的全部最终产品和劳务的价值。</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11.</w:t>
      </w:r>
      <w:r>
        <w:rPr>
          <w:rFonts w:hint="eastAsia" w:ascii="方正仿宋简体" w:hAnsi="方正仿宋简体" w:eastAsia="方正仿宋简体" w:cs="方正仿宋简体"/>
          <w:b/>
          <w:bCs/>
          <w:sz w:val="32"/>
          <w:szCs w:val="32"/>
          <w:highlight w:val="none"/>
        </w:rPr>
        <w:t>产业园主导产业总产值</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指产业园主导产业的生产、加工、服务、功能拓展等一二三产业产值之和。</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12.</w:t>
      </w:r>
      <w:r>
        <w:rPr>
          <w:rFonts w:hint="eastAsia" w:ascii="方正仿宋简体" w:hAnsi="方正仿宋简体" w:eastAsia="方正仿宋简体" w:cs="方正仿宋简体"/>
          <w:b/>
          <w:bCs/>
          <w:sz w:val="32"/>
          <w:szCs w:val="32"/>
          <w:highlight w:val="none"/>
        </w:rPr>
        <w:t>产业园农产品销售总额</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指产业园主导产业所有农产品销售收入总额。农产品网络销售额是通过网络平台销售的农产品收入总额。</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13.</w:t>
      </w:r>
      <w:r>
        <w:rPr>
          <w:rFonts w:hint="eastAsia" w:ascii="方正仿宋简体" w:hAnsi="方正仿宋简体" w:eastAsia="方正仿宋简体" w:cs="方正仿宋简体"/>
          <w:b/>
          <w:bCs/>
          <w:sz w:val="32"/>
          <w:szCs w:val="32"/>
          <w:highlight w:val="none"/>
        </w:rPr>
        <w:t>产业园休闲农业和乡村旅游营业收入</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指产业园休闲农业和乡村旅游经营主体从事经营活动的营业收入总额。</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14.</w:t>
      </w:r>
      <w:r>
        <w:rPr>
          <w:rFonts w:hint="eastAsia" w:ascii="方正仿宋简体" w:hAnsi="方正仿宋简体" w:eastAsia="方正仿宋简体" w:cs="方正仿宋简体"/>
          <w:b/>
          <w:bCs/>
          <w:sz w:val="32"/>
          <w:szCs w:val="32"/>
          <w:highlight w:val="none"/>
        </w:rPr>
        <w:t>园内</w:t>
      </w:r>
      <w:r>
        <w:rPr>
          <w:rFonts w:hint="eastAsia" w:ascii="方正仿宋简体" w:hAnsi="方正仿宋简体" w:eastAsia="方正仿宋简体" w:cs="方正仿宋简体"/>
          <w:b/>
          <w:bCs/>
          <w:sz w:val="32"/>
          <w:szCs w:val="32"/>
          <w:highlight w:val="none"/>
          <w:lang w:val="en-US" w:eastAsia="zh-CN"/>
        </w:rPr>
        <w:t>自治区级</w:t>
      </w:r>
      <w:r>
        <w:rPr>
          <w:rFonts w:hint="eastAsia" w:ascii="方正仿宋简体" w:hAnsi="方正仿宋简体" w:eastAsia="方正仿宋简体" w:cs="方正仿宋简体"/>
          <w:b/>
          <w:bCs/>
          <w:sz w:val="32"/>
          <w:szCs w:val="32"/>
          <w:highlight w:val="none"/>
        </w:rPr>
        <w:t>及以上农业产业化龙头企业数量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指产业园内以农林产品加工或流通为主，生产规模和经营指标达到规定标准并经</w:t>
      </w:r>
      <w:r>
        <w:rPr>
          <w:rFonts w:hint="eastAsia" w:ascii="方正仿宋简体" w:hAnsi="方正仿宋简体" w:eastAsia="方正仿宋简体" w:cs="方正仿宋简体"/>
          <w:sz w:val="32"/>
          <w:szCs w:val="32"/>
          <w:highlight w:val="none"/>
          <w:lang w:val="en-US" w:eastAsia="zh-CN"/>
        </w:rPr>
        <w:t>自治区</w:t>
      </w:r>
      <w:r>
        <w:rPr>
          <w:rFonts w:hint="eastAsia" w:ascii="方正仿宋简体" w:hAnsi="方正仿宋简体" w:eastAsia="方正仿宋简体" w:cs="方正仿宋简体"/>
          <w:sz w:val="32"/>
          <w:szCs w:val="32"/>
          <w:highlight w:val="none"/>
        </w:rPr>
        <w:t>农业农村、林业等部门认定的企业数量。</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15.</w:t>
      </w:r>
      <w:r>
        <w:rPr>
          <w:rFonts w:hint="eastAsia" w:ascii="方正仿宋简体" w:hAnsi="方正仿宋简体" w:eastAsia="方正仿宋简体" w:cs="方正仿宋简体"/>
          <w:b/>
          <w:bCs/>
          <w:sz w:val="32"/>
          <w:szCs w:val="32"/>
          <w:highlight w:val="none"/>
        </w:rPr>
        <w:t>园内农民合作社数量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指产业园内经过工商管理部门登记注册，具备独立法人和市场主体资格的农民合作组织数量。</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16.</w:t>
      </w:r>
      <w:r>
        <w:rPr>
          <w:rFonts w:hint="eastAsia" w:ascii="方正仿宋简体" w:hAnsi="方正仿宋简体" w:eastAsia="方正仿宋简体" w:cs="方正仿宋简体"/>
          <w:b/>
          <w:bCs/>
          <w:sz w:val="32"/>
          <w:szCs w:val="32"/>
          <w:highlight w:val="none"/>
        </w:rPr>
        <w:t>园内家庭农场数量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指以家庭 成员为主要经营者，通过承包、租赁或流转土地从事农业生产经营，以农业为主要收入来源的新型经营主体数量。</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17.</w:t>
      </w:r>
      <w:r>
        <w:rPr>
          <w:rFonts w:hint="eastAsia" w:ascii="方正仿宋简体" w:hAnsi="方正仿宋简体" w:eastAsia="方正仿宋简体" w:cs="方正仿宋简体"/>
          <w:b/>
          <w:bCs/>
          <w:sz w:val="32"/>
          <w:szCs w:val="32"/>
          <w:highlight w:val="none"/>
        </w:rPr>
        <w:t>主导产业专家团队数量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指产业园与科研单位或大专院校合作组建的、为主导产业提供技术服务的专家团队数量</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sz w:val="32"/>
          <w:szCs w:val="32"/>
          <w:highlight w:val="none"/>
        </w:rPr>
        <w:t>包含院士工作站、实验室、研发中心等</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18.</w:t>
      </w:r>
      <w:r>
        <w:rPr>
          <w:rFonts w:hint="eastAsia" w:ascii="方正仿宋简体" w:hAnsi="方正仿宋简体" w:eastAsia="方正仿宋简体" w:cs="方正仿宋简体"/>
          <w:b/>
          <w:bCs/>
          <w:sz w:val="32"/>
          <w:szCs w:val="32"/>
          <w:highlight w:val="none"/>
        </w:rPr>
        <w:t>农作物耕种收综合机械化率</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指产业园各种农作物机耕、机播</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sz w:val="32"/>
          <w:szCs w:val="32"/>
          <w:highlight w:val="none"/>
        </w:rPr>
        <w:t>栽、插</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sz w:val="32"/>
          <w:szCs w:val="32"/>
          <w:highlight w:val="none"/>
        </w:rPr>
        <w:t>、机收的综合作业水平。</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19.</w:t>
      </w:r>
      <w:r>
        <w:rPr>
          <w:rFonts w:hint="eastAsia" w:ascii="方正仿宋简体" w:hAnsi="方正仿宋简体" w:eastAsia="方正仿宋简体" w:cs="方正仿宋简体"/>
          <w:b/>
          <w:bCs/>
          <w:sz w:val="32"/>
          <w:szCs w:val="32"/>
          <w:highlight w:val="none"/>
        </w:rPr>
        <w:t>园内农产品冷库总库容</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指产业园内所有冷藏库、保鲜库、气调库的总库容。</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20.</w:t>
      </w:r>
      <w:r>
        <w:rPr>
          <w:rFonts w:hint="eastAsia" w:ascii="方正仿宋简体" w:hAnsi="方正仿宋简体" w:eastAsia="方正仿宋简体" w:cs="方正仿宋简体"/>
          <w:b/>
          <w:bCs/>
          <w:sz w:val="32"/>
          <w:szCs w:val="32"/>
          <w:highlight w:val="none"/>
        </w:rPr>
        <w:t>园内冷藏车总箱容</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指产业园内所有冷藏车的总箱容。</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21.</w:t>
      </w:r>
      <w:r>
        <w:rPr>
          <w:rFonts w:hint="eastAsia" w:ascii="方正仿宋简体" w:hAnsi="方正仿宋简体" w:eastAsia="方正仿宋简体" w:cs="方正仿宋简体"/>
          <w:b/>
          <w:bCs/>
          <w:sz w:val="32"/>
          <w:szCs w:val="32"/>
          <w:highlight w:val="none"/>
        </w:rPr>
        <w:t>产业园智能农机精准作业面积</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指产业园应用撒播无人机、无人驾驶插秧机、无人驾驶拖拉机等先进农机装备作业面积。</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22.</w:t>
      </w:r>
      <w:r>
        <w:rPr>
          <w:rFonts w:hint="eastAsia" w:ascii="方正仿宋简体" w:hAnsi="方正仿宋简体" w:eastAsia="方正仿宋简体" w:cs="方正仿宋简体"/>
          <w:b/>
          <w:bCs/>
          <w:sz w:val="32"/>
          <w:szCs w:val="32"/>
          <w:highlight w:val="none"/>
        </w:rPr>
        <w:t>节水灌溉覆盖面积</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指配备灌既工程设备且能正常灌溉的种植面积。</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23.</w:t>
      </w:r>
      <w:r>
        <w:rPr>
          <w:rFonts w:hint="eastAsia" w:ascii="方正仿宋简体" w:hAnsi="方正仿宋简体" w:eastAsia="方正仿宋简体" w:cs="方正仿宋简体"/>
          <w:b/>
          <w:bCs/>
          <w:sz w:val="32"/>
          <w:szCs w:val="32"/>
          <w:highlight w:val="none"/>
        </w:rPr>
        <w:t>化肥施用量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指本年内实际用于农业生产的化肥数量，包括氮肥、磷肥、钾肥和复合肥。化肥施用量要求按折纯量计算。</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24.</w:t>
      </w:r>
      <w:r>
        <w:rPr>
          <w:rFonts w:hint="eastAsia" w:ascii="方正仿宋简体" w:hAnsi="方正仿宋简体" w:eastAsia="方正仿宋简体" w:cs="方正仿宋简体"/>
          <w:b/>
          <w:bCs/>
          <w:sz w:val="32"/>
          <w:szCs w:val="32"/>
          <w:highlight w:val="none"/>
        </w:rPr>
        <w:t>农药施用量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指本年内实际用于农业生产的农药数量。农药施用量要求按折百量计算。</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25.</w:t>
      </w:r>
      <w:r>
        <w:rPr>
          <w:rFonts w:hint="eastAsia" w:ascii="方正仿宋简体" w:hAnsi="方正仿宋简体" w:eastAsia="方正仿宋简体" w:cs="方正仿宋简体"/>
          <w:b/>
          <w:bCs/>
          <w:sz w:val="32"/>
          <w:szCs w:val="32"/>
          <w:highlight w:val="none"/>
        </w:rPr>
        <w:t>畜禽粪污总量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指主导产业为养殖业的产业园本年内产生的畜禽粪污总量。畜禽粪污</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26.</w:t>
      </w:r>
      <w:r>
        <w:rPr>
          <w:rFonts w:hint="eastAsia" w:ascii="方正仿宋简体" w:hAnsi="方正仿宋简体" w:eastAsia="方正仿宋简体" w:cs="方正仿宋简体"/>
          <w:b/>
          <w:bCs/>
          <w:sz w:val="32"/>
          <w:szCs w:val="32"/>
          <w:highlight w:val="none"/>
        </w:rPr>
        <w:t>园内农民人均可支配收入</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指产业园内农民可用于最终消费和储蓄等自由支配的收入总和。</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27.</w:t>
      </w:r>
      <w:r>
        <w:rPr>
          <w:rFonts w:hint="eastAsia" w:ascii="方正仿宋简体" w:hAnsi="方正仿宋简体" w:eastAsia="方正仿宋简体" w:cs="方正仿宋简体"/>
          <w:b/>
          <w:bCs/>
          <w:sz w:val="32"/>
          <w:szCs w:val="32"/>
          <w:highlight w:val="none"/>
        </w:rPr>
        <w:t>中央财政资金投入</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指中央财政投入产业园建设的资金总额。</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28.</w:t>
      </w:r>
      <w:r>
        <w:rPr>
          <w:rFonts w:hint="eastAsia" w:ascii="方正仿宋简体" w:hAnsi="方正仿宋简体" w:eastAsia="方正仿宋简体" w:cs="方正仿宋简体"/>
          <w:b/>
          <w:bCs/>
          <w:sz w:val="32"/>
          <w:szCs w:val="32"/>
          <w:highlight w:val="none"/>
        </w:rPr>
        <w:t>地方财政资金投入</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指地方财政投 入产业园建设的资金总额。</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29.</w:t>
      </w:r>
      <w:r>
        <w:rPr>
          <w:rFonts w:hint="eastAsia" w:ascii="方正仿宋简体" w:hAnsi="方正仿宋简体" w:eastAsia="方正仿宋简体" w:cs="方正仿宋简体"/>
          <w:b/>
          <w:bCs/>
          <w:sz w:val="32"/>
          <w:szCs w:val="32"/>
          <w:highlight w:val="none"/>
        </w:rPr>
        <w:t>社会资本投入</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指各类社会资本投入产业园建设的资金总额。</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30.</w:t>
      </w:r>
      <w:r>
        <w:rPr>
          <w:rFonts w:hint="eastAsia" w:ascii="方正仿宋简体" w:hAnsi="方正仿宋简体" w:eastAsia="方正仿宋简体" w:cs="方正仿宋简体"/>
          <w:b/>
          <w:bCs/>
          <w:sz w:val="32"/>
          <w:szCs w:val="32"/>
          <w:highlight w:val="none"/>
        </w:rPr>
        <w:t>金融机构贷款</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指银行等金融机构投入产业园建设的贷款额。</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31.</w:t>
      </w:r>
      <w:r>
        <w:rPr>
          <w:rFonts w:hint="eastAsia" w:ascii="方正仿宋简体" w:hAnsi="方正仿宋简体" w:eastAsia="方正仿宋简体" w:cs="方正仿宋简体"/>
          <w:b/>
          <w:bCs/>
          <w:sz w:val="32"/>
          <w:szCs w:val="32"/>
          <w:highlight w:val="none"/>
        </w:rPr>
        <w:t>开工项目个数</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指产业园内新开工项目的个数。</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32.</w:t>
      </w:r>
      <w:r>
        <w:rPr>
          <w:rFonts w:hint="eastAsia" w:ascii="方正仿宋简体" w:hAnsi="方正仿宋简体" w:eastAsia="方正仿宋简体" w:cs="方正仿宋简体"/>
          <w:b/>
          <w:bCs/>
          <w:sz w:val="32"/>
          <w:szCs w:val="32"/>
          <w:highlight w:val="none"/>
        </w:rPr>
        <w:t>投产项目个数</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指产业园内投产使用的项目个数。</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33.</w:t>
      </w:r>
      <w:r>
        <w:rPr>
          <w:rFonts w:hint="eastAsia" w:ascii="方正仿宋简体" w:hAnsi="方正仿宋简体" w:eastAsia="方正仿宋简体" w:cs="方正仿宋简体"/>
          <w:b/>
          <w:bCs/>
          <w:sz w:val="32"/>
          <w:szCs w:val="32"/>
          <w:highlight w:val="none"/>
        </w:rPr>
        <w:t>新增配套建设用地数量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指产业园所在地方政府年度新增并落实的建设用地面积。</w:t>
      </w:r>
    </w:p>
    <w:p>
      <w:pPr>
        <w:keepNext w:val="0"/>
        <w:keepLines w:val="0"/>
        <w:pageBreakBefore w:val="0"/>
        <w:widowControl w:val="0"/>
        <w:kinsoku/>
        <w:wordWrap/>
        <w:overflowPunct/>
        <w:topLinePunct w:val="0"/>
        <w:autoSpaceDE/>
        <w:autoSpaceDN/>
        <w:bidi w:val="0"/>
        <w:adjustRightInd/>
        <w:snapToGrid/>
        <w:spacing w:line="620" w:lineRule="exact"/>
        <w:ind w:firstLine="643" w:firstLineChars="200"/>
        <w:textAlignment w:val="auto"/>
        <w:rPr>
          <w:rFonts w:hint="eastAsia" w:ascii="方正仿宋简体" w:hAnsi="方正仿宋简体" w:eastAsia="方正仿宋简体" w:cs="方正仿宋简体"/>
          <w:sz w:val="32"/>
          <w:szCs w:val="32"/>
          <w:highlight w:val="none"/>
        </w:rPr>
      </w:pPr>
      <w:r>
        <w:rPr>
          <w:rFonts w:hint="eastAsia" w:ascii="方正仿宋简体" w:hAnsi="方正仿宋简体" w:eastAsia="方正仿宋简体" w:cs="方正仿宋简体"/>
          <w:b/>
          <w:bCs/>
          <w:sz w:val="32"/>
          <w:szCs w:val="32"/>
          <w:highlight w:val="none"/>
          <w:lang w:val="en-US" w:eastAsia="zh-CN"/>
        </w:rPr>
        <w:t>34.</w:t>
      </w:r>
      <w:r>
        <w:rPr>
          <w:rFonts w:hint="eastAsia" w:ascii="方正仿宋简体" w:hAnsi="方正仿宋简体" w:eastAsia="方正仿宋简体" w:cs="方正仿宋简体"/>
          <w:b/>
          <w:bCs/>
          <w:sz w:val="32"/>
          <w:szCs w:val="32"/>
          <w:highlight w:val="none"/>
        </w:rPr>
        <w:t>新增设施农用地数量</w:t>
      </w:r>
      <w:r>
        <w:rPr>
          <w:rFonts w:hint="eastAsia" w:ascii="方正仿宋简体" w:hAnsi="方正仿宋简体" w:eastAsia="方正仿宋简体" w:cs="方正仿宋简体"/>
          <w:sz w:val="32"/>
          <w:szCs w:val="32"/>
          <w:highlight w:val="none"/>
          <w:lang w:val="en-US" w:eastAsia="zh-CN"/>
        </w:rPr>
        <w:t xml:space="preserve"> </w:t>
      </w:r>
      <w:r>
        <w:rPr>
          <w:rFonts w:hint="eastAsia" w:ascii="方正仿宋简体" w:hAnsi="方正仿宋简体" w:eastAsia="方正仿宋简体" w:cs="方正仿宋简体"/>
          <w:sz w:val="32"/>
          <w:szCs w:val="32"/>
          <w:highlight w:val="none"/>
        </w:rPr>
        <w:t>指产业园所在地方政府年度新增并落实的配套设施农用地面积。</w:t>
      </w:r>
    </w:p>
    <w:p>
      <w:pPr>
        <w:rPr>
          <w:rFonts w:hint="eastAsia"/>
          <w:highlight w:val="none"/>
          <w:lang w:eastAsia="zh-CN"/>
        </w:rPr>
      </w:pPr>
    </w:p>
    <w:p/>
    <w:sectPr>
      <w:footerReference r:id="rId3" w:type="default"/>
      <w:pgSz w:w="11879" w:h="16783" w:orient="landscape"/>
      <w:pgMar w:top="1984" w:right="1531" w:bottom="1701" w:left="1531" w:header="851" w:footer="992" w:gutter="0"/>
      <w:pgNumType w:fmt="decimal"/>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82CBDCC-BBD8-417A-8CE3-E99C98879DAA}"/>
  </w:font>
  <w:font w:name="Arial">
    <w:panose1 w:val="020B0604020202020204"/>
    <w:charset w:val="01"/>
    <w:family w:val="swiss"/>
    <w:pitch w:val="default"/>
    <w:sig w:usb0="E0002AFF" w:usb1="C0007843" w:usb2="00000009" w:usb3="00000000" w:csb0="400001FF" w:csb1="FFFF0000"/>
    <w:embedRegular r:id="rId2" w:fontKey="{77A81949-40CC-4DCF-BD4E-EABE2721A54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9665053F-7C2E-4DB2-B758-394D1A8BD38E}"/>
  </w:font>
  <w:font w:name="Symbol">
    <w:panose1 w:val="05050102010706020507"/>
    <w:charset w:val="02"/>
    <w:family w:val="roman"/>
    <w:pitch w:val="default"/>
    <w:sig w:usb0="00000000" w:usb1="00000000" w:usb2="00000000" w:usb3="00000000" w:csb0="80000000" w:csb1="00000000"/>
    <w:embedRegular r:id="rId4" w:fontKey="{2B27DF55-B44B-495D-949D-265172C8C5D8}"/>
  </w:font>
  <w:font w:name="Calibri">
    <w:panose1 w:val="020F0502020204030204"/>
    <w:charset w:val="00"/>
    <w:family w:val="swiss"/>
    <w:pitch w:val="default"/>
    <w:sig w:usb0="E00002FF" w:usb1="4000ACFF" w:usb2="00000001" w:usb3="00000000" w:csb0="2000019F" w:csb1="00000000"/>
    <w:embedRegular r:id="rId5" w:fontKey="{32B82A37-6989-42DE-9FF6-52BB5D84C1D0}"/>
  </w:font>
  <w:font w:name="华文中宋">
    <w:panose1 w:val="02010600040101010101"/>
    <w:charset w:val="86"/>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0" w:usb1="00000000" w:usb2="00000000" w:usb3="00000000" w:csb0="00000000" w:csb1="00000000"/>
  </w:font>
  <w:font w:name="方正仿宋简体">
    <w:panose1 w:val="02010601030101010101"/>
    <w:charset w:val="86"/>
    <w:family w:val="auto"/>
    <w:pitch w:val="default"/>
    <w:sig w:usb0="00000000" w:usb1="00000000" w:usb2="00000000" w:usb3="00000000" w:csb0="00000000" w:csb1="00000000"/>
    <w:embedRegular r:id="rId6" w:fontKey="{6ADED5D5-883A-4A0C-8328-06E7BA5C4294}"/>
  </w:font>
  <w:font w:name="方正大黑简体">
    <w:altName w:val="黑体"/>
    <w:panose1 w:val="02010601030101010101"/>
    <w:charset w:val="86"/>
    <w:family w:val="auto"/>
    <w:pitch w:val="default"/>
    <w:sig w:usb0="00000000" w:usb1="00000000" w:usb2="00000000" w:usb3="00000000" w:csb0="00040000" w:csb1="00000000"/>
  </w:font>
  <w:font w:name="方正黑体简体">
    <w:panose1 w:val="02010601030101010101"/>
    <w:charset w:val="86"/>
    <w:family w:val="auto"/>
    <w:pitch w:val="default"/>
    <w:sig w:usb0="00000000" w:usb1="00000000" w:usb2="00000000" w:usb3="00000000" w:csb0="00000000" w:csb1="00000000"/>
    <w:embedRegular r:id="rId7" w:fontKey="{B6494A2C-226B-472B-BEB5-05D5D2EA1400}"/>
  </w:font>
  <w:font w:name="方正楷体简体">
    <w:panose1 w:val="02010601030101010101"/>
    <w:charset w:val="86"/>
    <w:family w:val="auto"/>
    <w:pitch w:val="default"/>
    <w:sig w:usb0="00000000" w:usb1="00000000" w:usb2="00000000" w:usb3="00000000" w:csb0="00000000" w:csb1="00000000"/>
  </w:font>
  <w:font w:name="等线">
    <w:panose1 w:val="02010600030101010101"/>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0" distR="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799" cy="1828800"/>
                      </a:xfrm>
                      <a:prstGeom prst="rect">
                        <a:avLst/>
                      </a:prstGeom>
                      <a:ln>
                        <a:noFill/>
                      </a:ln>
                    </wps:spPr>
                    <wps:txbx>
                      <w:txbxContent>
                        <w:p>
                          <w:pPr>
                            <w:pStyle w:val="4"/>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- 1 -</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5&#10;dblS0AAAAAUBAAAPAAAAAAAAAAEAIAAAACIAAABkcnMvZG93bnJldi54bWxQSwECFAAUAAAACACH&#10;TuJAbYWvi7oBAABQAwAADgAAAAAAAAABACAAAAAfAQAAZHJzL2Uyb0RvYy54bWxQSwUGAAAAAAYA&#10;BgBZAQAASwUAAAAA&#10;">
              <v:fill on="f" focussize="0,0"/>
              <v:stroke on="f"/>
              <v:imagedata o:title=""/>
              <o:lock v:ext="edit" aspectratio="f"/>
              <v:textbox inset="0mm,0mm,0mm,0mm" style="mso-fit-shape-to-text:t;">
                <w:txbxContent>
                  <w:p>
                    <w:pPr>
                      <w:pStyle w:val="4"/>
                      <w:rPr>
                        <w:rFonts w:hint="eastAsia" w:ascii="宋体" w:hAnsi="宋体" w:eastAsia="宋体" w:cs="宋体"/>
                        <w:sz w:val="28"/>
                        <w:szCs w:val="28"/>
                        <w:lang w:eastAsia="zh-CN"/>
                      </w:rPr>
                    </w:pPr>
                    <w:r>
                      <w:rPr>
                        <w:rFonts w:hint="eastAsia" w:ascii="宋体" w:hAnsi="宋体" w:cs="宋体"/>
                        <w:sz w:val="28"/>
                        <w:szCs w:val="28"/>
                        <w:lang w:eastAsia="zh-CN"/>
                      </w:rPr>
                      <w:t xml:space="preserve">—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- 1 -</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53D58"/>
    <w:rsid w:val="070E0177"/>
    <w:rsid w:val="07192FD3"/>
    <w:rsid w:val="0C7767A4"/>
    <w:rsid w:val="204F4633"/>
    <w:rsid w:val="22EE4379"/>
    <w:rsid w:val="22F82FC8"/>
    <w:rsid w:val="2BFE399A"/>
    <w:rsid w:val="2CC41CC1"/>
    <w:rsid w:val="56B82D41"/>
    <w:rsid w:val="58C2015E"/>
    <w:rsid w:val="6A005EBC"/>
    <w:rsid w:val="6A0B538D"/>
    <w:rsid w:val="70E43BFB"/>
    <w:rsid w:val="79F22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2"/>
    <w:basedOn w:val="1"/>
    <w:next w:val="1"/>
    <w:qFormat/>
    <w:uiPriority w:val="0"/>
    <w:pPr>
      <w:keepNext/>
      <w:keepLines/>
      <w:spacing w:line="408" w:lineRule="auto"/>
      <w:ind w:left="576" w:hanging="576"/>
      <w:outlineLvl w:val="1"/>
    </w:pPr>
    <w:rPr>
      <w:rFonts w:ascii="Arial" w:hAnsi="Arial" w:eastAsia="黑体" w:cs="Arial"/>
      <w:b/>
      <w:bCs/>
      <w:sz w:val="32"/>
      <w:szCs w:val="32"/>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customStyle="1" w:styleId="2">
    <w:name w:val="样式1"/>
    <w:basedOn w:val="1"/>
    <w:next w:val="1"/>
    <w:qFormat/>
    <w:uiPriority w:val="0"/>
    <w:pPr>
      <w:adjustRightInd w:val="0"/>
      <w:snapToGrid w:val="0"/>
      <w:spacing w:line="560" w:lineRule="exact"/>
      <w:ind w:firstLine="602" w:firstLineChars="200"/>
    </w:pPr>
    <w:rPr>
      <w:rFonts w:eastAsia="宋体" w:cs="Times New Roman"/>
      <w:snapToGrid w:val="0"/>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9">
    <w:name w:val="font51"/>
    <w:basedOn w:val="8"/>
    <w:qFormat/>
    <w:uiPriority w:val="0"/>
    <w:rPr>
      <w:rFonts w:ascii="华文中宋" w:hAnsi="华文中宋" w:eastAsia="华文中宋" w:cs="华文中宋"/>
      <w:b/>
      <w:color w:val="000000"/>
      <w:sz w:val="36"/>
      <w:szCs w:val="36"/>
      <w:u w:val="none"/>
    </w:rPr>
  </w:style>
  <w:style w:type="character" w:customStyle="1" w:styleId="10">
    <w:name w:val="font11"/>
    <w:basedOn w:val="8"/>
    <w:qFormat/>
    <w:uiPriority w:val="0"/>
    <w:rPr>
      <w:rFonts w:ascii="黑体" w:hAnsi="宋体" w:eastAsia="黑体" w:cs="黑体"/>
      <w:color w:val="000000"/>
      <w:sz w:val="32"/>
      <w:szCs w:val="32"/>
      <w:u w:val="none"/>
    </w:rPr>
  </w:style>
  <w:style w:type="character" w:customStyle="1" w:styleId="11">
    <w:name w:val="font101"/>
    <w:basedOn w:val="8"/>
    <w:qFormat/>
    <w:uiPriority w:val="0"/>
    <w:rPr>
      <w:rFonts w:hint="default" w:ascii="Times New Roman" w:hAnsi="Times New Roman" w:cs="Times New Roman"/>
      <w:color w:val="000000"/>
      <w:sz w:val="32"/>
      <w:szCs w:val="32"/>
      <w:u w:val="none"/>
    </w:rPr>
  </w:style>
  <w:style w:type="character" w:customStyle="1" w:styleId="12">
    <w:name w:val="font112"/>
    <w:basedOn w:val="8"/>
    <w:qFormat/>
    <w:uiPriority w:val="0"/>
    <w:rPr>
      <w:rFonts w:hint="eastAsia" w:ascii="宋体" w:hAnsi="宋体" w:eastAsia="宋体" w:cs="宋体"/>
      <w:color w:val="000000"/>
      <w:sz w:val="20"/>
      <w:szCs w:val="20"/>
      <w:u w:val="none"/>
    </w:rPr>
  </w:style>
  <w:style w:type="character" w:customStyle="1" w:styleId="13">
    <w:name w:val="font31"/>
    <w:basedOn w:val="8"/>
    <w:qFormat/>
    <w:uiPriority w:val="0"/>
    <w:rPr>
      <w:rFonts w:hint="default" w:ascii="Times New Roman" w:hAnsi="Times New Roman" w:cs="Times New Roman"/>
      <w:color w:val="000000"/>
      <w:sz w:val="20"/>
      <w:szCs w:val="20"/>
      <w:u w:val="none"/>
    </w:rPr>
  </w:style>
  <w:style w:type="character" w:customStyle="1" w:styleId="14">
    <w:name w:val="font81"/>
    <w:basedOn w:val="8"/>
    <w:qFormat/>
    <w:uiPriority w:val="0"/>
    <w:rPr>
      <w:rFonts w:hint="default" w:ascii="Wingdings" w:hAnsi="Wingdings" w:cs="Wingdings"/>
      <w:color w:val="000000"/>
      <w:sz w:val="20"/>
      <w:szCs w:val="20"/>
      <w:u w:val="none"/>
    </w:rPr>
  </w:style>
  <w:style w:type="character" w:customStyle="1" w:styleId="15">
    <w:name w:val="font71"/>
    <w:basedOn w:val="8"/>
    <w:qFormat/>
    <w:uiPriority w:val="0"/>
    <w:rPr>
      <w:rFonts w:hint="eastAsia" w:ascii="宋体" w:hAnsi="宋体" w:eastAsia="宋体" w:cs="宋体"/>
      <w:color w:val="000000"/>
      <w:sz w:val="20"/>
      <w:szCs w:val="20"/>
      <w:u w:val="none"/>
    </w:rPr>
  </w:style>
  <w:style w:type="character" w:customStyle="1" w:styleId="16">
    <w:name w:val="font61"/>
    <w:basedOn w:val="8"/>
    <w:qFormat/>
    <w:uiPriority w:val="0"/>
    <w:rPr>
      <w:rFonts w:hint="default" w:ascii="Times New Roman" w:hAnsi="Times New Roman" w:cs="Times New Roman"/>
      <w:color w:val="000000"/>
      <w:sz w:val="20"/>
      <w:szCs w:val="20"/>
      <w:u w:val="none"/>
    </w:rPr>
  </w:style>
  <w:style w:type="character" w:customStyle="1" w:styleId="17">
    <w:name w:val="font91"/>
    <w:basedOn w:val="8"/>
    <w:qFormat/>
    <w:uiPriority w:val="0"/>
    <w:rPr>
      <w:rFonts w:hint="default" w:ascii="Times New Roman" w:hAnsi="Times New Roman" w:cs="Times New Roman"/>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12623</Words>
  <Characters>12981</Characters>
  <Lines>0</Lines>
  <Paragraphs>0</Paragraphs>
  <TotalTime>36</TotalTime>
  <ScaleCrop>false</ScaleCrop>
  <LinksUpToDate>false</LinksUpToDate>
  <CharactersWithSpaces>13405</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朱苗</dc:creator>
  <cp:lastModifiedBy>Administrator</cp:lastModifiedBy>
  <cp:lastPrinted>2022-04-02T03:23:00Z</cp:lastPrinted>
  <dcterms:modified xsi:type="dcterms:W3CDTF">2022-04-29T10:21:09Z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KSOSaveFontToCloudKey">
    <vt:lpwstr>354061954_embed</vt:lpwstr>
  </property>
  <property fmtid="{D5CDD505-2E9C-101B-9397-08002B2CF9AE}" pid="4" name="ICV">
    <vt:lpwstr>E4F7BE900EEF45D6A5D707DE8D16E5E3</vt:lpwstr>
  </property>
</Properties>
</file>